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5E2A" w14:textId="77777777" w:rsidR="00DC1628" w:rsidRDefault="00DC1628" w:rsidP="00527456">
      <w:pPr>
        <w:widowControl w:val="0"/>
        <w:spacing w:after="0" w:line="240" w:lineRule="auto"/>
        <w:ind w:firstLine="709"/>
        <w:jc w:val="center"/>
        <w:outlineLvl w:val="0"/>
        <w:rPr>
          <w:rFonts w:ascii="Times New Roman" w:eastAsia="Times New Roman" w:hAnsi="Times New Roman" w:cs="Times New Roman"/>
          <w:b/>
          <w:bCs/>
          <w:sz w:val="28"/>
          <w:szCs w:val="28"/>
        </w:rPr>
      </w:pPr>
      <w:bookmarkStart w:id="0" w:name="_Toc354487729"/>
      <w:bookmarkStart w:id="1" w:name="_Toc385846342"/>
    </w:p>
    <w:tbl>
      <w:tblPr>
        <w:tblStyle w:val="af6"/>
        <w:tblW w:w="0" w:type="auto"/>
        <w:tblLook w:val="04A0" w:firstRow="1" w:lastRow="0" w:firstColumn="1" w:lastColumn="0" w:noHBand="0" w:noVBand="1"/>
      </w:tblPr>
      <w:tblGrid>
        <w:gridCol w:w="10137"/>
      </w:tblGrid>
      <w:tr w:rsidR="00DC1628" w14:paraId="263DA3E4" w14:textId="77777777" w:rsidTr="00DC1628">
        <w:tc>
          <w:tcPr>
            <w:tcW w:w="10137" w:type="dxa"/>
            <w:tcBorders>
              <w:top w:val="thinThickSmallGap" w:sz="24" w:space="0" w:color="auto"/>
              <w:left w:val="thinThickSmallGap" w:sz="24" w:space="0" w:color="auto"/>
              <w:bottom w:val="thinThickSmallGap" w:sz="24" w:space="0" w:color="auto"/>
              <w:right w:val="thinThickSmallGap" w:sz="24" w:space="0" w:color="auto"/>
            </w:tcBorders>
          </w:tcPr>
          <w:p w14:paraId="25C51B00" w14:textId="7EB4B93B" w:rsidR="00DC1628" w:rsidRDefault="00DC1628" w:rsidP="00527456">
            <w:pPr>
              <w:widowControl w:val="0"/>
              <w:jc w:val="center"/>
              <w:outlineLvl w:val="0"/>
              <w:rPr>
                <w:rFonts w:ascii="Times New Roman" w:eastAsia="Times New Roman" w:hAnsi="Times New Roman" w:cs="Times New Roman"/>
                <w:b/>
                <w:bCs/>
                <w:sz w:val="28"/>
                <w:szCs w:val="28"/>
              </w:rPr>
            </w:pPr>
          </w:p>
          <w:p w14:paraId="76331194" w14:textId="34D335CD" w:rsidR="00FA45C2" w:rsidRDefault="00FA45C2" w:rsidP="005E0747">
            <w:pPr>
              <w:widowControl w:val="0"/>
              <w:jc w:val="right"/>
              <w:outlineLvl w:val="0"/>
              <w:rPr>
                <w:rFonts w:ascii="Times New Roman" w:eastAsia="Times New Roman" w:hAnsi="Times New Roman" w:cs="Times New Roman"/>
                <w:bCs/>
                <w:sz w:val="28"/>
                <w:szCs w:val="28"/>
              </w:rPr>
            </w:pPr>
          </w:p>
          <w:p w14:paraId="0BD715E0" w14:textId="10813749" w:rsidR="00FA45C2" w:rsidRPr="00FA45C2" w:rsidRDefault="00411905" w:rsidP="00FA45C2">
            <w:pPr>
              <w:widowControl w:val="0"/>
              <w:jc w:val="center"/>
              <w:outlineLvl w:val="0"/>
              <w:rPr>
                <w:rFonts w:ascii="Times New Roman" w:eastAsia="Times New Roman" w:hAnsi="Times New Roman" w:cs="Times New Roman"/>
                <w:bCs/>
                <w:sz w:val="28"/>
                <w:szCs w:val="28"/>
              </w:rPr>
            </w:pPr>
            <w:r>
              <w:rPr>
                <w:noProof/>
                <w:lang w:eastAsia="ru-RU"/>
              </w:rPr>
              <w:drawing>
                <wp:inline distT="0" distB="0" distL="0" distR="0" wp14:anchorId="4832A9A3" wp14:editId="5AA29BF1">
                  <wp:extent cx="612775" cy="638175"/>
                  <wp:effectExtent l="0" t="0" r="0" b="9525"/>
                  <wp:docPr id="3" name="Рисунок 3"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638175"/>
                          </a:xfrm>
                          <a:prstGeom prst="rect">
                            <a:avLst/>
                          </a:prstGeom>
                          <a:noFill/>
                          <a:ln>
                            <a:noFill/>
                          </a:ln>
                        </pic:spPr>
                      </pic:pic>
                    </a:graphicData>
                  </a:graphic>
                </wp:inline>
              </w:drawing>
            </w:r>
          </w:p>
          <w:p w14:paraId="572DFF8F" w14:textId="77777777" w:rsidR="00DC1628" w:rsidRDefault="00DC1628" w:rsidP="00DC1628">
            <w:pPr>
              <w:widowControl w:val="0"/>
              <w:jc w:val="center"/>
              <w:outlineLvl w:val="0"/>
              <w:rPr>
                <w:rFonts w:ascii="Times New Roman" w:eastAsia="Times New Roman" w:hAnsi="Times New Roman" w:cs="Times New Roman"/>
                <w:bCs/>
                <w:sz w:val="72"/>
                <w:szCs w:val="72"/>
              </w:rPr>
            </w:pPr>
          </w:p>
          <w:p w14:paraId="5A0787CB" w14:textId="77777777" w:rsidR="00411905" w:rsidRDefault="00411905" w:rsidP="00DC1628">
            <w:pPr>
              <w:widowControl w:val="0"/>
              <w:jc w:val="center"/>
              <w:outlineLvl w:val="0"/>
              <w:rPr>
                <w:rFonts w:ascii="Times New Roman" w:eastAsia="Times New Roman" w:hAnsi="Times New Roman" w:cs="Times New Roman"/>
                <w:bCs/>
                <w:sz w:val="72"/>
                <w:szCs w:val="72"/>
              </w:rPr>
            </w:pPr>
          </w:p>
          <w:p w14:paraId="5F64772D" w14:textId="77777777" w:rsidR="00DC1628" w:rsidRPr="00DC1628" w:rsidRDefault="00DC1628" w:rsidP="00DC1628">
            <w:pPr>
              <w:widowControl w:val="0"/>
              <w:jc w:val="center"/>
              <w:outlineLvl w:val="0"/>
              <w:rPr>
                <w:rFonts w:ascii="Times New Roman" w:eastAsia="Times New Roman" w:hAnsi="Times New Roman" w:cs="Times New Roman"/>
                <w:b/>
                <w:bCs/>
                <w:i/>
                <w:sz w:val="52"/>
                <w:szCs w:val="52"/>
              </w:rPr>
            </w:pPr>
            <w:r w:rsidRPr="00DC1628">
              <w:rPr>
                <w:rFonts w:ascii="Times New Roman" w:eastAsia="Times New Roman" w:hAnsi="Times New Roman" w:cs="Times New Roman"/>
                <w:b/>
                <w:bCs/>
                <w:i/>
                <w:sz w:val="52"/>
                <w:szCs w:val="52"/>
              </w:rPr>
              <w:t>Доклад</w:t>
            </w:r>
          </w:p>
          <w:p w14:paraId="2C3CCFBE" w14:textId="77777777" w:rsidR="00DC1628" w:rsidRPr="00DC1628" w:rsidRDefault="00DC1628" w:rsidP="00DC1628">
            <w:pPr>
              <w:jc w:val="center"/>
              <w:rPr>
                <w:rFonts w:ascii="Times New Roman" w:hAnsi="Times New Roman" w:cs="Times New Roman"/>
                <w:b/>
                <w:i/>
                <w:sz w:val="52"/>
                <w:szCs w:val="52"/>
              </w:rPr>
            </w:pPr>
            <w:r w:rsidRPr="00DC1628">
              <w:rPr>
                <w:rFonts w:ascii="Times New Roman" w:hAnsi="Times New Roman" w:cs="Times New Roman"/>
                <w:b/>
                <w:i/>
                <w:sz w:val="52"/>
                <w:szCs w:val="52"/>
              </w:rPr>
              <w:t>Главы городского округа</w:t>
            </w:r>
          </w:p>
          <w:p w14:paraId="71E1E5D7" w14:textId="77777777" w:rsidR="00DC1628" w:rsidRDefault="00DC1628" w:rsidP="00DC1628">
            <w:pPr>
              <w:jc w:val="center"/>
              <w:rPr>
                <w:rFonts w:ascii="Times New Roman" w:hAnsi="Times New Roman" w:cs="Times New Roman"/>
                <w:b/>
                <w:i/>
                <w:sz w:val="52"/>
                <w:szCs w:val="52"/>
              </w:rPr>
            </w:pPr>
            <w:r w:rsidRPr="00DC1628">
              <w:rPr>
                <w:rFonts w:ascii="Times New Roman" w:hAnsi="Times New Roman" w:cs="Times New Roman"/>
                <w:b/>
                <w:i/>
                <w:sz w:val="52"/>
                <w:szCs w:val="52"/>
              </w:rPr>
              <w:t xml:space="preserve">город Ханты-Мансийск </w:t>
            </w:r>
          </w:p>
          <w:p w14:paraId="29A9C698" w14:textId="06D160F0" w:rsidR="00DC1628" w:rsidRDefault="00DC1628" w:rsidP="00DC1628">
            <w:pPr>
              <w:jc w:val="center"/>
              <w:rPr>
                <w:rFonts w:ascii="Times New Roman" w:hAnsi="Times New Roman" w:cs="Times New Roman"/>
                <w:b/>
                <w:i/>
                <w:sz w:val="52"/>
                <w:szCs w:val="52"/>
              </w:rPr>
            </w:pPr>
            <w:r w:rsidRPr="00DC1628">
              <w:rPr>
                <w:rFonts w:ascii="Times New Roman" w:hAnsi="Times New Roman" w:cs="Times New Roman"/>
                <w:b/>
                <w:i/>
                <w:sz w:val="52"/>
                <w:szCs w:val="52"/>
              </w:rPr>
              <w:t>о достиг</w:t>
            </w:r>
            <w:r>
              <w:rPr>
                <w:rFonts w:ascii="Times New Roman" w:hAnsi="Times New Roman" w:cs="Times New Roman"/>
                <w:b/>
                <w:i/>
                <w:sz w:val="52"/>
                <w:szCs w:val="52"/>
              </w:rPr>
              <w:t xml:space="preserve">нутых значениях показателей для </w:t>
            </w:r>
            <w:r w:rsidRPr="00DC1628">
              <w:rPr>
                <w:rFonts w:ascii="Times New Roman" w:hAnsi="Times New Roman" w:cs="Times New Roman"/>
                <w:b/>
                <w:i/>
                <w:sz w:val="52"/>
                <w:szCs w:val="52"/>
              </w:rPr>
              <w:t>оценки эффективности деятельности органов местного самоуправления за 2016 год и их планируемых значениях на 3-летний период</w:t>
            </w:r>
          </w:p>
          <w:p w14:paraId="0694CA8B" w14:textId="77777777" w:rsidR="00FA45C2" w:rsidRDefault="00FA45C2" w:rsidP="00DC1628">
            <w:pPr>
              <w:jc w:val="center"/>
              <w:rPr>
                <w:rFonts w:ascii="Times New Roman" w:hAnsi="Times New Roman" w:cs="Times New Roman"/>
                <w:b/>
                <w:i/>
                <w:sz w:val="52"/>
                <w:szCs w:val="52"/>
              </w:rPr>
            </w:pPr>
          </w:p>
          <w:p w14:paraId="71347235" w14:textId="77777777" w:rsidR="00DC1628" w:rsidRPr="00DC1628" w:rsidRDefault="00DC1628" w:rsidP="00DC1628">
            <w:pPr>
              <w:widowControl w:val="0"/>
              <w:jc w:val="center"/>
              <w:outlineLvl w:val="0"/>
              <w:rPr>
                <w:rFonts w:ascii="Times New Roman" w:eastAsia="Times New Roman" w:hAnsi="Times New Roman" w:cs="Times New Roman"/>
                <w:b/>
                <w:bCs/>
                <w:i/>
                <w:sz w:val="72"/>
                <w:szCs w:val="72"/>
                <w:highlight w:val="yellow"/>
                <w:lang w:eastAsia="x-none"/>
              </w:rPr>
            </w:pPr>
          </w:p>
          <w:p w14:paraId="3D9D6589" w14:textId="77777777" w:rsidR="00DC1628" w:rsidRDefault="00DC1628" w:rsidP="00DC1628">
            <w:pPr>
              <w:widowControl w:val="0"/>
              <w:jc w:val="center"/>
              <w:outlineLvl w:val="0"/>
              <w:rPr>
                <w:rFonts w:ascii="Times New Roman" w:eastAsia="Times New Roman" w:hAnsi="Times New Roman" w:cs="Times New Roman"/>
                <w:b/>
                <w:bCs/>
                <w:sz w:val="72"/>
                <w:szCs w:val="72"/>
              </w:rPr>
            </w:pPr>
          </w:p>
          <w:p w14:paraId="2B456290" w14:textId="77777777" w:rsidR="00411905" w:rsidRDefault="00411905" w:rsidP="00DC1628">
            <w:pPr>
              <w:widowControl w:val="0"/>
              <w:jc w:val="center"/>
              <w:outlineLvl w:val="0"/>
              <w:rPr>
                <w:rFonts w:ascii="Times New Roman" w:eastAsia="Times New Roman" w:hAnsi="Times New Roman" w:cs="Times New Roman"/>
                <w:b/>
                <w:bCs/>
                <w:sz w:val="72"/>
                <w:szCs w:val="72"/>
              </w:rPr>
            </w:pPr>
          </w:p>
          <w:p w14:paraId="5A4D056B" w14:textId="77777777" w:rsidR="00DC1628" w:rsidRDefault="00DC1628" w:rsidP="00DC1628">
            <w:pPr>
              <w:widowControl w:val="0"/>
              <w:jc w:val="center"/>
              <w:outlineLvl w:val="0"/>
              <w:rPr>
                <w:rFonts w:ascii="Times New Roman" w:eastAsia="Times New Roman" w:hAnsi="Times New Roman" w:cs="Times New Roman"/>
                <w:b/>
                <w:bCs/>
                <w:sz w:val="28"/>
                <w:szCs w:val="28"/>
              </w:rPr>
            </w:pPr>
          </w:p>
          <w:p w14:paraId="2C77EC71" w14:textId="25C3D470" w:rsidR="005E0747" w:rsidRPr="00FA45C2" w:rsidRDefault="005E0747" w:rsidP="005E0747">
            <w:pPr>
              <w:widowControl w:val="0"/>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_____________/Н.А. Дунаевская/</w:t>
            </w:r>
          </w:p>
          <w:p w14:paraId="0FB67BD4" w14:textId="77777777" w:rsidR="005E0747" w:rsidRPr="00FA45C2" w:rsidRDefault="005E0747" w:rsidP="005E0747">
            <w:pPr>
              <w:widowControl w:val="0"/>
              <w:jc w:val="right"/>
              <w:outlineLvl w:val="0"/>
              <w:rPr>
                <w:rFonts w:ascii="Times New Roman" w:eastAsia="Times New Roman" w:hAnsi="Times New Roman" w:cs="Times New Roman"/>
                <w:bCs/>
                <w:sz w:val="28"/>
                <w:szCs w:val="28"/>
              </w:rPr>
            </w:pPr>
            <w:r w:rsidRPr="00FA45C2">
              <w:rPr>
                <w:rFonts w:ascii="Times New Roman" w:eastAsia="Times New Roman" w:hAnsi="Times New Roman" w:cs="Times New Roman"/>
                <w:bCs/>
                <w:sz w:val="28"/>
                <w:szCs w:val="28"/>
              </w:rPr>
              <w:t>Исполняющий полномочия</w:t>
            </w:r>
          </w:p>
          <w:p w14:paraId="66B92025" w14:textId="77777777" w:rsidR="005E0747" w:rsidRPr="00FA45C2" w:rsidRDefault="005E0747" w:rsidP="005E0747">
            <w:pPr>
              <w:widowControl w:val="0"/>
              <w:jc w:val="right"/>
              <w:outlineLvl w:val="0"/>
              <w:rPr>
                <w:rFonts w:ascii="Times New Roman" w:eastAsia="Times New Roman" w:hAnsi="Times New Roman" w:cs="Times New Roman"/>
                <w:bCs/>
                <w:sz w:val="28"/>
                <w:szCs w:val="28"/>
              </w:rPr>
            </w:pPr>
            <w:r w:rsidRPr="00FA45C2">
              <w:rPr>
                <w:rFonts w:ascii="Times New Roman" w:eastAsia="Times New Roman" w:hAnsi="Times New Roman" w:cs="Times New Roman"/>
                <w:bCs/>
                <w:sz w:val="28"/>
                <w:szCs w:val="28"/>
              </w:rPr>
              <w:t>Главы города Ханты-Мансийска</w:t>
            </w:r>
          </w:p>
          <w:p w14:paraId="67132B1E" w14:textId="2C7F8F35" w:rsidR="005E0747" w:rsidRDefault="005E0747" w:rsidP="005E0747">
            <w:pPr>
              <w:widowControl w:val="0"/>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r w:rsidRPr="00FA45C2">
              <w:rPr>
                <w:rFonts w:ascii="Times New Roman" w:eastAsia="Times New Roman" w:hAnsi="Times New Roman" w:cs="Times New Roman"/>
                <w:bCs/>
                <w:sz w:val="28"/>
                <w:szCs w:val="28"/>
              </w:rPr>
              <w:t>» апреля 2017 г.</w:t>
            </w:r>
          </w:p>
          <w:p w14:paraId="4110889A" w14:textId="0A7474B2" w:rsidR="00DC1628" w:rsidRDefault="00DC1628" w:rsidP="00DC1628">
            <w:pPr>
              <w:widowControl w:val="0"/>
              <w:jc w:val="center"/>
              <w:outlineLvl w:val="0"/>
              <w:rPr>
                <w:rFonts w:ascii="Times New Roman" w:eastAsia="Times New Roman" w:hAnsi="Times New Roman" w:cs="Times New Roman"/>
                <w:b/>
                <w:bCs/>
                <w:sz w:val="28"/>
                <w:szCs w:val="28"/>
              </w:rPr>
            </w:pPr>
          </w:p>
          <w:p w14:paraId="736B2E73" w14:textId="77777777" w:rsidR="00DC1628" w:rsidRDefault="00DC1628" w:rsidP="00527456">
            <w:pPr>
              <w:widowControl w:val="0"/>
              <w:jc w:val="center"/>
              <w:outlineLvl w:val="0"/>
              <w:rPr>
                <w:rFonts w:ascii="Times New Roman" w:eastAsia="Times New Roman" w:hAnsi="Times New Roman" w:cs="Times New Roman"/>
                <w:b/>
                <w:bCs/>
                <w:sz w:val="28"/>
                <w:szCs w:val="28"/>
              </w:rPr>
            </w:pPr>
          </w:p>
          <w:p w14:paraId="35F8D62F" w14:textId="77777777" w:rsidR="00DC1628" w:rsidRDefault="00DC1628" w:rsidP="00527456">
            <w:pPr>
              <w:widowControl w:val="0"/>
              <w:jc w:val="center"/>
              <w:outlineLvl w:val="0"/>
              <w:rPr>
                <w:rFonts w:ascii="Times New Roman" w:eastAsia="Times New Roman" w:hAnsi="Times New Roman" w:cs="Times New Roman"/>
                <w:b/>
                <w:bCs/>
                <w:sz w:val="28"/>
                <w:szCs w:val="28"/>
              </w:rPr>
            </w:pPr>
          </w:p>
        </w:tc>
      </w:tr>
    </w:tbl>
    <w:p w14:paraId="4B8E2927" w14:textId="77777777" w:rsidR="00DC1628" w:rsidRDefault="00DC1628" w:rsidP="00527456">
      <w:pPr>
        <w:widowControl w:val="0"/>
        <w:spacing w:after="0" w:line="240" w:lineRule="auto"/>
        <w:ind w:firstLine="709"/>
        <w:jc w:val="center"/>
        <w:outlineLvl w:val="0"/>
        <w:rPr>
          <w:rFonts w:ascii="Times New Roman" w:eastAsia="Times New Roman" w:hAnsi="Times New Roman" w:cs="Times New Roman"/>
          <w:b/>
          <w:bCs/>
          <w:sz w:val="28"/>
          <w:szCs w:val="28"/>
        </w:rPr>
      </w:pPr>
    </w:p>
    <w:p w14:paraId="3650F20E" w14:textId="77777777" w:rsidR="00FA45C2" w:rsidRDefault="00FA45C2" w:rsidP="00527456">
      <w:pPr>
        <w:widowControl w:val="0"/>
        <w:spacing w:after="0" w:line="240" w:lineRule="auto"/>
        <w:ind w:firstLine="709"/>
        <w:jc w:val="center"/>
        <w:outlineLvl w:val="0"/>
        <w:rPr>
          <w:rFonts w:ascii="Times New Roman" w:eastAsia="Times New Roman" w:hAnsi="Times New Roman" w:cs="Times New Roman"/>
          <w:b/>
          <w:bCs/>
          <w:sz w:val="28"/>
          <w:szCs w:val="28"/>
        </w:rPr>
      </w:pPr>
    </w:p>
    <w:p w14:paraId="1B301664" w14:textId="77777777" w:rsidR="00FA45C2" w:rsidRDefault="00FA45C2" w:rsidP="00527456">
      <w:pPr>
        <w:widowControl w:val="0"/>
        <w:spacing w:after="0" w:line="240" w:lineRule="auto"/>
        <w:ind w:firstLine="709"/>
        <w:jc w:val="center"/>
        <w:outlineLvl w:val="0"/>
        <w:rPr>
          <w:rFonts w:ascii="Times New Roman" w:eastAsia="Times New Roman" w:hAnsi="Times New Roman" w:cs="Times New Roman"/>
          <w:b/>
          <w:bCs/>
          <w:sz w:val="28"/>
          <w:szCs w:val="28"/>
        </w:rPr>
      </w:pPr>
    </w:p>
    <w:p w14:paraId="266E1B1C" w14:textId="77777777" w:rsidR="00EB4435" w:rsidRPr="00FE0342" w:rsidRDefault="00EB4435" w:rsidP="00527456">
      <w:pPr>
        <w:widowControl w:val="0"/>
        <w:spacing w:after="0" w:line="240" w:lineRule="auto"/>
        <w:ind w:firstLine="709"/>
        <w:jc w:val="center"/>
        <w:outlineLvl w:val="0"/>
        <w:rPr>
          <w:rFonts w:ascii="Times New Roman" w:eastAsia="Times New Roman" w:hAnsi="Times New Roman" w:cs="Times New Roman"/>
          <w:b/>
          <w:bCs/>
          <w:sz w:val="28"/>
          <w:szCs w:val="28"/>
        </w:rPr>
      </w:pPr>
      <w:r w:rsidRPr="00FE0342">
        <w:rPr>
          <w:rFonts w:ascii="Times New Roman" w:eastAsia="Times New Roman" w:hAnsi="Times New Roman" w:cs="Times New Roman"/>
          <w:b/>
          <w:bCs/>
          <w:sz w:val="28"/>
          <w:szCs w:val="28"/>
        </w:rPr>
        <w:t>Доклад</w:t>
      </w:r>
    </w:p>
    <w:p w14:paraId="6912C9A0" w14:textId="1BFDA2CE" w:rsidR="00EB4435" w:rsidRPr="00FE0342" w:rsidRDefault="00EB4435" w:rsidP="00527456">
      <w:pPr>
        <w:spacing w:after="0" w:line="240" w:lineRule="auto"/>
        <w:ind w:firstLine="709"/>
        <w:jc w:val="center"/>
        <w:rPr>
          <w:rFonts w:ascii="Times New Roman" w:hAnsi="Times New Roman" w:cs="Times New Roman"/>
          <w:b/>
          <w:sz w:val="28"/>
          <w:szCs w:val="28"/>
        </w:rPr>
      </w:pPr>
      <w:r w:rsidRPr="00FE0342">
        <w:rPr>
          <w:rFonts w:ascii="Times New Roman" w:hAnsi="Times New Roman" w:cs="Times New Roman"/>
          <w:b/>
          <w:sz w:val="28"/>
          <w:szCs w:val="28"/>
        </w:rPr>
        <w:t>Главы городского округа</w:t>
      </w:r>
    </w:p>
    <w:p w14:paraId="10CDF1C5" w14:textId="77777777" w:rsidR="00EB4435" w:rsidRPr="00FE0342" w:rsidRDefault="00EB4435" w:rsidP="00527456">
      <w:pPr>
        <w:spacing w:after="0" w:line="240" w:lineRule="auto"/>
        <w:ind w:firstLine="709"/>
        <w:jc w:val="center"/>
        <w:rPr>
          <w:rFonts w:ascii="Times New Roman" w:hAnsi="Times New Roman" w:cs="Times New Roman"/>
          <w:b/>
          <w:sz w:val="28"/>
          <w:szCs w:val="28"/>
        </w:rPr>
      </w:pPr>
      <w:r w:rsidRPr="00FE0342">
        <w:rPr>
          <w:rFonts w:ascii="Times New Roman" w:hAnsi="Times New Roman" w:cs="Times New Roman"/>
          <w:b/>
          <w:sz w:val="28"/>
          <w:szCs w:val="28"/>
        </w:rPr>
        <w:t>город Ханты-Мансийск о достигнутых значениях показателей для</w:t>
      </w:r>
    </w:p>
    <w:p w14:paraId="47C0C298" w14:textId="77777777" w:rsidR="00EB4435" w:rsidRPr="00FE0342" w:rsidRDefault="00EB4435" w:rsidP="00527456">
      <w:pPr>
        <w:spacing w:after="0" w:line="240" w:lineRule="auto"/>
        <w:ind w:firstLine="709"/>
        <w:jc w:val="center"/>
        <w:rPr>
          <w:rFonts w:ascii="Times New Roman" w:hAnsi="Times New Roman" w:cs="Times New Roman"/>
          <w:b/>
          <w:sz w:val="28"/>
          <w:szCs w:val="28"/>
        </w:rPr>
      </w:pPr>
      <w:r w:rsidRPr="00FE0342">
        <w:rPr>
          <w:rFonts w:ascii="Times New Roman" w:hAnsi="Times New Roman" w:cs="Times New Roman"/>
          <w:b/>
          <w:sz w:val="28"/>
          <w:szCs w:val="28"/>
        </w:rPr>
        <w:t>оценки эффективности деятельности органов местного самоуправления за 201</w:t>
      </w:r>
      <w:r w:rsidR="00A07D99">
        <w:rPr>
          <w:rFonts w:ascii="Times New Roman" w:hAnsi="Times New Roman" w:cs="Times New Roman"/>
          <w:b/>
          <w:sz w:val="28"/>
          <w:szCs w:val="28"/>
        </w:rPr>
        <w:t>6</w:t>
      </w:r>
      <w:r w:rsidRPr="00FE0342">
        <w:rPr>
          <w:rFonts w:ascii="Times New Roman" w:hAnsi="Times New Roman" w:cs="Times New Roman"/>
          <w:b/>
          <w:sz w:val="28"/>
          <w:szCs w:val="28"/>
        </w:rPr>
        <w:t xml:space="preserve"> год и их планируемых значениях на 3-летний период</w:t>
      </w:r>
    </w:p>
    <w:p w14:paraId="48F62B9E" w14:textId="77777777" w:rsidR="00EB4435" w:rsidRPr="00FC133B" w:rsidRDefault="00EB4435" w:rsidP="00527456">
      <w:pPr>
        <w:widowControl w:val="0"/>
        <w:spacing w:after="0" w:line="240" w:lineRule="auto"/>
        <w:ind w:firstLine="709"/>
        <w:jc w:val="center"/>
        <w:outlineLvl w:val="0"/>
        <w:rPr>
          <w:rFonts w:ascii="Times New Roman" w:eastAsia="Times New Roman" w:hAnsi="Times New Roman" w:cs="Times New Roman"/>
          <w:b/>
          <w:bCs/>
          <w:sz w:val="28"/>
          <w:szCs w:val="28"/>
          <w:highlight w:val="yellow"/>
          <w:lang w:eastAsia="x-none"/>
        </w:rPr>
      </w:pPr>
    </w:p>
    <w:p w14:paraId="26F4238B" w14:textId="77777777" w:rsidR="001D38A9" w:rsidRPr="0013502F" w:rsidRDefault="001D38A9" w:rsidP="00527456">
      <w:pPr>
        <w:widowControl w:val="0"/>
        <w:spacing w:after="0" w:line="240" w:lineRule="auto"/>
        <w:ind w:firstLine="709"/>
        <w:jc w:val="center"/>
        <w:outlineLvl w:val="0"/>
        <w:rPr>
          <w:rFonts w:ascii="Times New Roman" w:eastAsia="Times New Roman" w:hAnsi="Times New Roman" w:cs="Times New Roman"/>
          <w:b/>
          <w:bCs/>
          <w:sz w:val="28"/>
          <w:szCs w:val="28"/>
          <w:lang w:eastAsia="x-none"/>
        </w:rPr>
      </w:pPr>
      <w:bookmarkStart w:id="2" w:name="_Toc416735660"/>
      <w:r w:rsidRPr="0013502F">
        <w:rPr>
          <w:rFonts w:ascii="Times New Roman" w:eastAsia="Times New Roman" w:hAnsi="Times New Roman" w:cs="Times New Roman"/>
          <w:b/>
          <w:bCs/>
          <w:sz w:val="28"/>
          <w:szCs w:val="28"/>
          <w:lang w:val="en-US" w:eastAsia="x-none"/>
        </w:rPr>
        <w:t>I</w:t>
      </w:r>
      <w:r w:rsidRPr="0013502F">
        <w:rPr>
          <w:rFonts w:ascii="Times New Roman" w:eastAsia="Times New Roman" w:hAnsi="Times New Roman" w:cs="Times New Roman"/>
          <w:b/>
          <w:bCs/>
          <w:sz w:val="28"/>
          <w:szCs w:val="28"/>
          <w:lang w:val="x-none" w:eastAsia="x-none"/>
        </w:rPr>
        <w:t>.</w:t>
      </w:r>
      <w:r w:rsidRPr="0013502F">
        <w:rPr>
          <w:rFonts w:ascii="Times New Roman" w:eastAsia="Times New Roman" w:hAnsi="Times New Roman" w:cs="Times New Roman"/>
          <w:b/>
          <w:bCs/>
          <w:sz w:val="28"/>
          <w:szCs w:val="28"/>
          <w:lang w:val="x-none" w:eastAsia="x-none"/>
        </w:rPr>
        <w:tab/>
        <w:t xml:space="preserve">Основные </w:t>
      </w:r>
      <w:r w:rsidR="0079738C" w:rsidRPr="0013502F">
        <w:rPr>
          <w:rFonts w:ascii="Times New Roman" w:eastAsia="Times New Roman" w:hAnsi="Times New Roman" w:cs="Times New Roman"/>
          <w:b/>
          <w:bCs/>
          <w:sz w:val="28"/>
          <w:szCs w:val="28"/>
          <w:lang w:eastAsia="x-none"/>
        </w:rPr>
        <w:t>итоги социально-экономического развития</w:t>
      </w:r>
      <w:r w:rsidRPr="0013502F">
        <w:rPr>
          <w:rFonts w:ascii="Times New Roman" w:eastAsia="Times New Roman" w:hAnsi="Times New Roman" w:cs="Times New Roman"/>
          <w:b/>
          <w:bCs/>
          <w:sz w:val="28"/>
          <w:szCs w:val="28"/>
          <w:lang w:val="x-none" w:eastAsia="x-none"/>
        </w:rPr>
        <w:t xml:space="preserve"> города Ханты-Мансийска за 201</w:t>
      </w:r>
      <w:r w:rsidR="00137E44" w:rsidRPr="0013502F">
        <w:rPr>
          <w:rFonts w:ascii="Times New Roman" w:eastAsia="Times New Roman" w:hAnsi="Times New Roman" w:cs="Times New Roman"/>
          <w:b/>
          <w:bCs/>
          <w:sz w:val="28"/>
          <w:szCs w:val="28"/>
          <w:lang w:eastAsia="x-none"/>
        </w:rPr>
        <w:t>6</w:t>
      </w:r>
      <w:r w:rsidRPr="0013502F">
        <w:rPr>
          <w:rFonts w:ascii="Times New Roman" w:eastAsia="Times New Roman" w:hAnsi="Times New Roman" w:cs="Times New Roman"/>
          <w:b/>
          <w:bCs/>
          <w:sz w:val="28"/>
          <w:szCs w:val="28"/>
          <w:lang w:val="x-none" w:eastAsia="x-none"/>
        </w:rPr>
        <w:t xml:space="preserve"> год</w:t>
      </w:r>
      <w:bookmarkEnd w:id="2"/>
    </w:p>
    <w:p w14:paraId="7F04487C" w14:textId="77777777" w:rsidR="0079738C" w:rsidRPr="0013502F" w:rsidRDefault="0079738C" w:rsidP="00527456">
      <w:pPr>
        <w:widowControl w:val="0"/>
        <w:spacing w:after="0" w:line="240" w:lineRule="auto"/>
        <w:ind w:firstLine="709"/>
        <w:jc w:val="center"/>
        <w:outlineLvl w:val="0"/>
        <w:rPr>
          <w:rFonts w:ascii="Times New Roman" w:eastAsia="Times New Roman" w:hAnsi="Times New Roman" w:cs="Times New Roman"/>
          <w:b/>
          <w:bCs/>
          <w:sz w:val="28"/>
          <w:szCs w:val="28"/>
          <w:lang w:eastAsia="x-none"/>
        </w:rPr>
      </w:pPr>
    </w:p>
    <w:p w14:paraId="625DB7B4" w14:textId="08EEBCCB" w:rsidR="00137E44" w:rsidRPr="0013502F" w:rsidRDefault="00137E44" w:rsidP="00527456">
      <w:pPr>
        <w:spacing w:after="0" w:line="240" w:lineRule="auto"/>
        <w:ind w:right="142" w:firstLine="709"/>
        <w:jc w:val="both"/>
        <w:rPr>
          <w:rFonts w:ascii="Times New Roman" w:eastAsia="Calibri" w:hAnsi="Times New Roman" w:cs="Times New Roman"/>
          <w:sz w:val="28"/>
          <w:szCs w:val="28"/>
        </w:rPr>
      </w:pPr>
      <w:proofErr w:type="gramStart"/>
      <w:r w:rsidRPr="0013502F">
        <w:rPr>
          <w:rFonts w:ascii="Times New Roman" w:eastAsia="Calibri" w:hAnsi="Times New Roman" w:cs="Times New Roman"/>
          <w:sz w:val="28"/>
          <w:szCs w:val="28"/>
        </w:rPr>
        <w:t>Итоги  социально</w:t>
      </w:r>
      <w:proofErr w:type="gramEnd"/>
      <w:r w:rsidRPr="0013502F">
        <w:rPr>
          <w:rFonts w:ascii="Times New Roman" w:eastAsia="Calibri" w:hAnsi="Times New Roman" w:cs="Times New Roman"/>
          <w:sz w:val="28"/>
          <w:szCs w:val="28"/>
        </w:rPr>
        <w:t>-экономического развития  Ханты-Мансийска в 2016 году в целом свидетельствуют о сохранении финансовой, экономической и социальной стабильности</w:t>
      </w:r>
      <w:r w:rsidRPr="007D3796">
        <w:rPr>
          <w:rFonts w:ascii="Times New Roman" w:eastAsia="Calibri" w:hAnsi="Times New Roman" w:cs="Times New Roman"/>
          <w:sz w:val="28"/>
          <w:szCs w:val="28"/>
        </w:rPr>
        <w:t>, развитии инвестиционных условий, в том числе для среднего и малого бизнеса.</w:t>
      </w:r>
      <w:r w:rsidRPr="0013502F">
        <w:rPr>
          <w:rFonts w:ascii="Times New Roman" w:eastAsia="Calibri" w:hAnsi="Times New Roman" w:cs="Times New Roman"/>
          <w:sz w:val="28"/>
          <w:szCs w:val="28"/>
        </w:rPr>
        <w:t xml:space="preserve">  </w:t>
      </w:r>
    </w:p>
    <w:p w14:paraId="405D5B91" w14:textId="77777777" w:rsidR="00137E44" w:rsidRPr="0013502F" w:rsidRDefault="00137E44" w:rsidP="00527456">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Основные показатели, характеризующие социально-экономическое положение, демонстрируют положительную динамику.</w:t>
      </w:r>
    </w:p>
    <w:p w14:paraId="588EA816" w14:textId="77777777" w:rsidR="001D38A9" w:rsidRPr="0013502F" w:rsidRDefault="001D38A9" w:rsidP="0052745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73D328BC" w14:textId="77777777" w:rsidR="001D38A9" w:rsidRPr="0013502F" w:rsidRDefault="001D38A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Демографическая ситуация</w:t>
      </w:r>
    </w:p>
    <w:p w14:paraId="06CE9ED9" w14:textId="77777777" w:rsidR="00C51049" w:rsidRPr="0013502F" w:rsidRDefault="00C51049" w:rsidP="00527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B0A9B2" w14:textId="753B3F1D" w:rsidR="0030254B" w:rsidRPr="0013502F" w:rsidRDefault="0030254B" w:rsidP="00527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Город Ханты-Мансийск входит в пятерку самых крупных по численности населения муниципальных образований</w:t>
      </w:r>
      <w:r w:rsidR="007576D2">
        <w:rPr>
          <w:rFonts w:ascii="Times New Roman" w:eastAsia="Times New Roman" w:hAnsi="Times New Roman" w:cs="Times New Roman"/>
          <w:sz w:val="28"/>
          <w:szCs w:val="28"/>
          <w:lang w:eastAsia="ru-RU"/>
        </w:rPr>
        <w:t xml:space="preserve"> Ханты-Мансийского автономного </w:t>
      </w:r>
      <w:r w:rsidRPr="0013502F">
        <w:rPr>
          <w:rFonts w:ascii="Times New Roman" w:eastAsia="Times New Roman" w:hAnsi="Times New Roman" w:cs="Times New Roman"/>
          <w:sz w:val="28"/>
          <w:szCs w:val="28"/>
          <w:lang w:eastAsia="ru-RU"/>
        </w:rPr>
        <w:t>округа - Югры. Среднегодовая числ</w:t>
      </w:r>
      <w:r w:rsidR="005E295E" w:rsidRPr="0013502F">
        <w:rPr>
          <w:rFonts w:ascii="Times New Roman" w:eastAsia="Times New Roman" w:hAnsi="Times New Roman" w:cs="Times New Roman"/>
          <w:sz w:val="28"/>
          <w:szCs w:val="28"/>
          <w:lang w:eastAsia="ru-RU"/>
        </w:rPr>
        <w:t>енность населения города за 2016</w:t>
      </w:r>
      <w:r w:rsidRPr="0013502F">
        <w:rPr>
          <w:rFonts w:ascii="Times New Roman" w:eastAsia="Times New Roman" w:hAnsi="Times New Roman" w:cs="Times New Roman"/>
          <w:sz w:val="28"/>
          <w:szCs w:val="28"/>
          <w:lang w:eastAsia="ru-RU"/>
        </w:rPr>
        <w:t xml:space="preserve"> год составила </w:t>
      </w:r>
      <w:r w:rsidR="005E295E" w:rsidRPr="0013502F">
        <w:rPr>
          <w:rFonts w:ascii="Times New Roman" w:eastAsia="Times New Roman" w:hAnsi="Times New Roman" w:cs="Times New Roman"/>
          <w:sz w:val="28"/>
          <w:szCs w:val="28"/>
          <w:lang w:eastAsia="ru-RU"/>
        </w:rPr>
        <w:t>97,9</w:t>
      </w:r>
      <w:r w:rsidR="001B791F">
        <w:rPr>
          <w:rFonts w:ascii="Times New Roman" w:eastAsia="Times New Roman" w:hAnsi="Times New Roman" w:cs="Times New Roman"/>
          <w:sz w:val="28"/>
          <w:szCs w:val="28"/>
          <w:lang w:eastAsia="ru-RU"/>
        </w:rPr>
        <w:t xml:space="preserve"> </w:t>
      </w:r>
      <w:r w:rsidR="00A4720E" w:rsidRPr="00A4720E">
        <w:rPr>
          <w:rFonts w:ascii="Times New Roman" w:eastAsia="Times New Roman" w:hAnsi="Times New Roman" w:cs="Times New Roman"/>
          <w:sz w:val="28"/>
          <w:szCs w:val="28"/>
          <w:lang w:eastAsia="ru-RU"/>
        </w:rPr>
        <w:t>тысяч</w:t>
      </w:r>
      <w:r w:rsidRPr="00A4720E">
        <w:rPr>
          <w:rFonts w:ascii="Times New Roman" w:eastAsia="Times New Roman" w:hAnsi="Times New Roman" w:cs="Times New Roman"/>
          <w:sz w:val="28"/>
          <w:szCs w:val="28"/>
          <w:lang w:eastAsia="ru-RU"/>
        </w:rPr>
        <w:t xml:space="preserve"> чел., </w:t>
      </w:r>
      <w:r w:rsidR="005E295E" w:rsidRPr="00A4720E">
        <w:rPr>
          <w:rFonts w:ascii="Times New Roman" w:eastAsia="Times New Roman" w:hAnsi="Times New Roman" w:cs="Times New Roman"/>
          <w:sz w:val="28"/>
          <w:szCs w:val="28"/>
          <w:lang w:eastAsia="ru-RU"/>
        </w:rPr>
        <w:t>увеличившись по сравнению с 2015</w:t>
      </w:r>
      <w:r w:rsidRPr="00A4720E">
        <w:rPr>
          <w:rFonts w:ascii="Times New Roman" w:eastAsia="Times New Roman" w:hAnsi="Times New Roman" w:cs="Times New Roman"/>
          <w:sz w:val="28"/>
          <w:szCs w:val="28"/>
          <w:lang w:eastAsia="ru-RU"/>
        </w:rPr>
        <w:t xml:space="preserve"> годом на </w:t>
      </w:r>
      <w:r w:rsidR="000F4A28" w:rsidRPr="00A4720E">
        <w:rPr>
          <w:rFonts w:ascii="Times New Roman" w:eastAsia="Times New Roman" w:hAnsi="Times New Roman" w:cs="Times New Roman"/>
          <w:sz w:val="28"/>
          <w:szCs w:val="28"/>
          <w:lang w:eastAsia="ru-RU"/>
        </w:rPr>
        <w:t>1,8</w:t>
      </w:r>
      <w:r w:rsidR="001B791F" w:rsidRPr="00A4720E">
        <w:rPr>
          <w:rFonts w:ascii="Times New Roman" w:eastAsia="Times New Roman" w:hAnsi="Times New Roman" w:cs="Times New Roman"/>
          <w:sz w:val="28"/>
          <w:szCs w:val="28"/>
          <w:lang w:eastAsia="ru-RU"/>
        </w:rPr>
        <w:t xml:space="preserve"> </w:t>
      </w:r>
      <w:r w:rsidR="00A4720E" w:rsidRPr="00A4720E">
        <w:rPr>
          <w:rFonts w:ascii="Times New Roman" w:eastAsia="Times New Roman" w:hAnsi="Times New Roman" w:cs="Times New Roman"/>
          <w:sz w:val="28"/>
          <w:szCs w:val="28"/>
          <w:lang w:eastAsia="ru-RU"/>
        </w:rPr>
        <w:t>тысяч</w:t>
      </w:r>
      <w:r w:rsidR="001B791F" w:rsidRPr="00A4720E">
        <w:rPr>
          <w:rFonts w:ascii="Times New Roman" w:eastAsia="Times New Roman" w:hAnsi="Times New Roman" w:cs="Times New Roman"/>
          <w:sz w:val="28"/>
          <w:szCs w:val="28"/>
          <w:lang w:eastAsia="ru-RU"/>
        </w:rPr>
        <w:t xml:space="preserve"> чел.</w:t>
      </w:r>
    </w:p>
    <w:p w14:paraId="776AFAB6" w14:textId="7CF13763" w:rsidR="005E295E" w:rsidRPr="0013502F" w:rsidRDefault="005E295E" w:rsidP="00527456">
      <w:pPr>
        <w:widowControl w:val="0"/>
        <w:autoSpaceDE w:val="0"/>
        <w:autoSpaceDN w:val="0"/>
        <w:adjustRightInd w:val="0"/>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Основным фактором увеличения демографического потенциала города является положительный естественный прирост, значительное превышение показателя рождаемости над показателем смертности. Коэффициент рождаемости в 2016 году превышает показатель смертности более чем в 3 раза.</w:t>
      </w:r>
    </w:p>
    <w:p w14:paraId="749E356B" w14:textId="77777777" w:rsidR="00A4720E" w:rsidRDefault="00A4720E" w:rsidP="00527456">
      <w:pPr>
        <w:widowControl w:val="0"/>
        <w:autoSpaceDE w:val="0"/>
        <w:autoSpaceDN w:val="0"/>
        <w:adjustRightInd w:val="0"/>
        <w:spacing w:after="0" w:line="240" w:lineRule="auto"/>
        <w:ind w:right="142" w:firstLine="709"/>
        <w:jc w:val="right"/>
        <w:rPr>
          <w:rFonts w:ascii="Times New Roman" w:eastAsia="Times New Roman" w:hAnsi="Times New Roman" w:cs="Times New Roman"/>
          <w:sz w:val="28"/>
          <w:szCs w:val="28"/>
          <w:lang w:eastAsia="ru-RU"/>
        </w:rPr>
      </w:pPr>
    </w:p>
    <w:p w14:paraId="2F9B873E" w14:textId="03BFEAC5" w:rsidR="00A4720E" w:rsidRDefault="00A4720E" w:rsidP="00527456">
      <w:pPr>
        <w:widowControl w:val="0"/>
        <w:autoSpaceDE w:val="0"/>
        <w:autoSpaceDN w:val="0"/>
        <w:adjustRightInd w:val="0"/>
        <w:spacing w:after="0" w:line="240" w:lineRule="auto"/>
        <w:ind w:right="142"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E295E" w:rsidRPr="0013502F">
        <w:rPr>
          <w:rFonts w:ascii="Times New Roman" w:eastAsia="Times New Roman" w:hAnsi="Times New Roman" w:cs="Times New Roman"/>
          <w:sz w:val="28"/>
          <w:szCs w:val="28"/>
          <w:lang w:eastAsia="ru-RU"/>
        </w:rPr>
        <w:t>исунок</w:t>
      </w:r>
      <w:r w:rsidR="0030254B" w:rsidRPr="0013502F">
        <w:rPr>
          <w:rFonts w:ascii="Times New Roman" w:eastAsia="Times New Roman" w:hAnsi="Times New Roman" w:cs="Times New Roman"/>
          <w:sz w:val="28"/>
          <w:szCs w:val="28"/>
          <w:lang w:eastAsia="ru-RU"/>
        </w:rPr>
        <w:t xml:space="preserve"> 1</w:t>
      </w:r>
    </w:p>
    <w:p w14:paraId="236EEC33" w14:textId="77777777" w:rsidR="00A4720E" w:rsidRDefault="00A4720E" w:rsidP="00527456">
      <w:pPr>
        <w:widowControl w:val="0"/>
        <w:autoSpaceDE w:val="0"/>
        <w:autoSpaceDN w:val="0"/>
        <w:adjustRightInd w:val="0"/>
        <w:spacing w:after="0" w:line="240" w:lineRule="auto"/>
        <w:ind w:right="142" w:firstLine="709"/>
        <w:jc w:val="right"/>
        <w:rPr>
          <w:rFonts w:ascii="Times New Roman" w:eastAsia="Times New Roman" w:hAnsi="Times New Roman" w:cs="Times New Roman"/>
          <w:sz w:val="28"/>
          <w:szCs w:val="28"/>
          <w:lang w:eastAsia="ru-RU"/>
        </w:rPr>
      </w:pPr>
    </w:p>
    <w:p w14:paraId="427DA8E5" w14:textId="02E9D08C" w:rsidR="00A4720E" w:rsidRDefault="00A4720E" w:rsidP="00A4720E">
      <w:pPr>
        <w:widowControl w:val="0"/>
        <w:autoSpaceDE w:val="0"/>
        <w:autoSpaceDN w:val="0"/>
        <w:adjustRightInd w:val="0"/>
        <w:spacing w:after="0" w:line="240" w:lineRule="auto"/>
        <w:ind w:right="142" w:firstLine="709"/>
        <w:jc w:val="center"/>
        <w:rPr>
          <w:rFonts w:ascii="Times New Roman" w:eastAsia="Times New Roman" w:hAnsi="Times New Roman" w:cs="Times New Roman"/>
          <w:sz w:val="28"/>
          <w:szCs w:val="28"/>
          <w:lang w:eastAsia="ru-RU"/>
        </w:rPr>
      </w:pPr>
      <w:r>
        <w:rPr>
          <w:noProof/>
          <w:lang w:eastAsia="ru-RU"/>
        </w:rPr>
        <w:drawing>
          <wp:inline distT="0" distB="0" distL="0" distR="0" wp14:anchorId="5EF24FF1" wp14:editId="2F4BD24D">
            <wp:extent cx="5667375" cy="30670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BAAA0A" w14:textId="18F4516B" w:rsidR="0030254B" w:rsidRPr="0013502F" w:rsidRDefault="0030254B" w:rsidP="00527456">
      <w:pPr>
        <w:widowControl w:val="0"/>
        <w:autoSpaceDE w:val="0"/>
        <w:autoSpaceDN w:val="0"/>
        <w:adjustRightInd w:val="0"/>
        <w:spacing w:after="0" w:line="240" w:lineRule="auto"/>
        <w:ind w:right="142" w:firstLine="709"/>
        <w:jc w:val="right"/>
        <w:rPr>
          <w:rFonts w:ascii="Calibri" w:eastAsia="Calibri" w:hAnsi="Calibri" w:cs="Times New Roman"/>
        </w:rPr>
      </w:pPr>
    </w:p>
    <w:p w14:paraId="781A1626" w14:textId="77777777" w:rsidR="0030254B" w:rsidRPr="0013502F" w:rsidRDefault="0030254B" w:rsidP="00527456">
      <w:pPr>
        <w:widowControl w:val="0"/>
        <w:spacing w:after="0" w:line="240" w:lineRule="auto"/>
        <w:jc w:val="center"/>
        <w:rPr>
          <w:rFonts w:ascii="Times New Roman" w:eastAsia="Times New Roman" w:hAnsi="Times New Roman" w:cs="Times New Roman"/>
          <w:sz w:val="28"/>
          <w:szCs w:val="28"/>
          <w:lang w:eastAsia="ru-RU"/>
        </w:rPr>
      </w:pPr>
    </w:p>
    <w:p w14:paraId="1BD0ABD0" w14:textId="77777777" w:rsidR="005E295E" w:rsidRPr="0013502F" w:rsidRDefault="005E295E"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Calibri" w:hAnsi="Times New Roman" w:cs="Times New Roman"/>
          <w:sz w:val="28"/>
          <w:szCs w:val="28"/>
        </w:rPr>
        <w:t xml:space="preserve">Положительное влияние на развитие демографической ситуации в городе также оказывают миграционные процессы. По итогам </w:t>
      </w:r>
      <w:r w:rsidRPr="0013502F">
        <w:rPr>
          <w:rFonts w:ascii="Times New Roman" w:eastAsia="Times New Roman" w:hAnsi="Times New Roman" w:cs="Times New Roman"/>
          <w:sz w:val="28"/>
          <w:szCs w:val="28"/>
          <w:lang w:eastAsia="ru-RU"/>
        </w:rPr>
        <w:t>2016 года миграционный прирост составил 624 чел., что на 26% выше уровня 2015 года.</w:t>
      </w:r>
    </w:p>
    <w:p w14:paraId="2F5C15B8" w14:textId="77777777" w:rsidR="005E295E" w:rsidRPr="0013502F" w:rsidRDefault="005E295E" w:rsidP="00527456">
      <w:pPr>
        <w:widowControl w:val="0"/>
        <w:autoSpaceDE w:val="0"/>
        <w:autoSpaceDN w:val="0"/>
        <w:adjustRightInd w:val="0"/>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Средний возраст граждан составляет 32,8 года, что на 1,6 года моложе, чем средний возраст жителей Югры (34,4 года) и на 6,8 моложе, чем средний возраст россиян (39,6 лет). Средний возраст мужчин составляет 31,7 года (Югра – 33,2 года, Россия – 36,8 лет), средний возраст женщины составил 33,7 года (Югра – 35,6 лет, Россия – 42 года).</w:t>
      </w:r>
    </w:p>
    <w:p w14:paraId="7AB9EE6F" w14:textId="77777777" w:rsidR="005E295E" w:rsidRPr="0013502F" w:rsidRDefault="005E295E" w:rsidP="00527456">
      <w:pPr>
        <w:widowControl w:val="0"/>
        <w:autoSpaceDE w:val="0"/>
        <w:autoSpaceDN w:val="0"/>
        <w:adjustRightInd w:val="0"/>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Положительные результаты демографической ситуации, стабильное увеличение количества многодетных семей обусловлены принимаемыми мерами государственной и муниципальной социальной поддержки.  </w:t>
      </w:r>
    </w:p>
    <w:p w14:paraId="49FD1A2D" w14:textId="77777777" w:rsidR="00C51049" w:rsidRPr="0013502F" w:rsidRDefault="005E295E" w:rsidP="005274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в городе проживало 4225 многодетных семей (2015 году – 3810).</w:t>
      </w:r>
    </w:p>
    <w:p w14:paraId="6A628CA9" w14:textId="77777777" w:rsidR="00A45CB3" w:rsidRPr="0013502F" w:rsidRDefault="00A45CB3" w:rsidP="00527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2717356" w14:textId="77777777" w:rsidR="001D38A9" w:rsidRPr="0013502F" w:rsidRDefault="001D38A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Промышленность</w:t>
      </w:r>
    </w:p>
    <w:p w14:paraId="45627C97" w14:textId="77777777" w:rsidR="005E295E" w:rsidRDefault="005E295E" w:rsidP="00527456">
      <w:pPr>
        <w:pStyle w:val="aa"/>
        <w:widowControl w:val="0"/>
        <w:autoSpaceDE w:val="0"/>
        <w:autoSpaceDN w:val="0"/>
        <w:adjustRightInd w:val="0"/>
        <w:spacing w:after="0" w:line="240" w:lineRule="auto"/>
        <w:ind w:left="709"/>
        <w:jc w:val="both"/>
        <w:rPr>
          <w:rFonts w:ascii="Times New Roman" w:eastAsia="Times New Roman" w:hAnsi="Times New Roman" w:cs="Times New Roman"/>
          <w:b/>
          <w:bCs/>
          <w:sz w:val="28"/>
          <w:szCs w:val="28"/>
          <w:lang w:eastAsia="ru-RU"/>
        </w:rPr>
      </w:pPr>
    </w:p>
    <w:p w14:paraId="6CDB654B" w14:textId="68BB5957" w:rsidR="005E295E"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Общий объем промышленной продукции по крупным и средним предприятиям города за 2016 год составил 11994,2 млн. рублей, или 123,2% к 2015 году (9737,1 млн. рублей). </w:t>
      </w:r>
      <w:r w:rsidR="00CD1036">
        <w:rPr>
          <w:rFonts w:ascii="Times New Roman" w:eastAsia="Times New Roman" w:hAnsi="Times New Roman" w:cs="Times New Roman"/>
          <w:sz w:val="28"/>
          <w:szCs w:val="28"/>
          <w:lang w:eastAsia="ru-RU"/>
        </w:rPr>
        <w:t xml:space="preserve"> </w:t>
      </w:r>
      <w:r w:rsidRPr="0013502F">
        <w:rPr>
          <w:rFonts w:ascii="Times New Roman" w:eastAsia="Times New Roman" w:hAnsi="Times New Roman" w:cs="Times New Roman"/>
          <w:sz w:val="28"/>
          <w:szCs w:val="28"/>
          <w:lang w:eastAsia="ru-RU"/>
        </w:rPr>
        <w:t xml:space="preserve">Объемы производства за 2016 год по виду экономической деятельности «Производство и распределение электроэнергии газа и воды» составили 11238,6 млн. рублей, или 124,4% к 2015 году (9037,5 млн. рублей). </w:t>
      </w:r>
    </w:p>
    <w:p w14:paraId="573555E3" w14:textId="424C6DD0" w:rsidR="005E295E"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Индикатором развития промышленного сектора экономики является, индекс промышленного производства, который в сравнении с аналогичным периодом 2015 года достиг значения 107,4%. Объем отгруженных товаров, выполненных работ и услуг предприятиями обрабатывающей отрасли за 2016 год составил 545,2 млн. рублей, или 106,1% к 2015 году (514,0 млн. рублей). </w:t>
      </w:r>
      <w:r w:rsidR="00CD1036">
        <w:rPr>
          <w:rFonts w:ascii="Times New Roman" w:eastAsia="Times New Roman" w:hAnsi="Times New Roman" w:cs="Times New Roman"/>
          <w:sz w:val="28"/>
          <w:szCs w:val="28"/>
          <w:lang w:eastAsia="ru-RU"/>
        </w:rPr>
        <w:t xml:space="preserve"> </w:t>
      </w:r>
      <w:r w:rsidRPr="0013502F">
        <w:rPr>
          <w:rFonts w:ascii="Times New Roman" w:eastAsia="Times New Roman" w:hAnsi="Times New Roman" w:cs="Times New Roman"/>
          <w:sz w:val="28"/>
          <w:szCs w:val="28"/>
          <w:lang w:eastAsia="ru-RU"/>
        </w:rPr>
        <w:t xml:space="preserve">Обрабатывающие производства включают: производство пищевых продуктов, целлюлозно-бумажное производство, издательскую и полиграфическую деятельность, производство прочих неметаллических минеральных продуктов (производство бетона, плитки тротуарной и кирпича), текстильное и швейное производство. </w:t>
      </w:r>
    </w:p>
    <w:p w14:paraId="342CCF90" w14:textId="77777777" w:rsidR="005E295E" w:rsidRPr="0013502F" w:rsidRDefault="005E295E" w:rsidP="00527456">
      <w:pPr>
        <w:widowControl w:val="0"/>
        <w:spacing w:after="0" w:line="240" w:lineRule="auto"/>
        <w:ind w:firstLine="709"/>
        <w:jc w:val="right"/>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Рисунок 2</w:t>
      </w:r>
    </w:p>
    <w:p w14:paraId="3623A8F2" w14:textId="77777777" w:rsidR="005E295E"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lastRenderedPageBreak/>
        <w:t xml:space="preserve"> </w:t>
      </w:r>
      <w:r w:rsidRPr="0013502F">
        <w:rPr>
          <w:rFonts w:ascii="Times New Roman" w:eastAsia="Times New Roman" w:hAnsi="Times New Roman"/>
          <w:i/>
          <w:noProof/>
          <w:sz w:val="28"/>
          <w:szCs w:val="28"/>
          <w:lang w:eastAsia="ru-RU"/>
        </w:rPr>
        <w:drawing>
          <wp:inline distT="0" distB="0" distL="0" distR="0" wp14:anchorId="0605CD2E" wp14:editId="0A14646D">
            <wp:extent cx="5034578" cy="2700170"/>
            <wp:effectExtent l="0" t="0" r="0" b="508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A57ABD" w14:textId="77777777" w:rsidR="00A45CB3" w:rsidRDefault="00A45CB3" w:rsidP="00527456">
      <w:pPr>
        <w:widowControl w:val="0"/>
        <w:spacing w:after="0" w:line="240" w:lineRule="auto"/>
        <w:ind w:firstLine="709"/>
        <w:jc w:val="both"/>
        <w:rPr>
          <w:rFonts w:ascii="Times New Roman" w:eastAsia="Times New Roman" w:hAnsi="Times New Roman" w:cs="Times New Roman"/>
          <w:sz w:val="28"/>
          <w:szCs w:val="28"/>
          <w:lang w:eastAsia="ru-RU"/>
        </w:rPr>
      </w:pPr>
    </w:p>
    <w:p w14:paraId="11151965" w14:textId="77777777" w:rsidR="005E295E"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По виду деятельности «Рыболовство, рыбоводство» за 2016 год объемы производства и оказанных услуг составили 210,4 млн. рублей или 217,8% к 2015 году (96,6 млн. рублей). Основным представителем отрасли «Рыболовство, рыбоводство» среди крупных и средних предприятий является ОАО «Рыбокомбинат «Ханты-Мансийский», доля которого в общем объеме промышленного производства за 2016 год составила 1,1% (2015 год – 1,0%). Объемы производства и оказанных услуг составили 128,2 млн. рублей или 132,8% к 2015 году (96,5 млн. рублей). Объем отгруженных товаров собственного производства, выполненных работ и услуг собственными силами составил 128,2 млн. рублей или 132,8% к соответствующему периоду 2015 года (96,5 млн. рублей).</w:t>
      </w:r>
    </w:p>
    <w:p w14:paraId="717BE41F" w14:textId="77777777" w:rsidR="001D38A9"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Предприятиями местной промышленности выпускается продукция для внутреннего потребления и реализации на территории города. Объемы производства в натуральных показателях отдельных видов продукции по итогам 2016 года характеризуются увеличением вылова рыбы на 111,2%, превышением показателей прошлого года на 19 % произведенной </w:t>
      </w:r>
      <w:proofErr w:type="spellStart"/>
      <w:r w:rsidRPr="0013502F">
        <w:rPr>
          <w:rFonts w:ascii="Times New Roman" w:eastAsia="Times New Roman" w:hAnsi="Times New Roman" w:cs="Times New Roman"/>
          <w:sz w:val="28"/>
          <w:szCs w:val="28"/>
          <w:lang w:eastAsia="ru-RU"/>
        </w:rPr>
        <w:t>рыбопродукции</w:t>
      </w:r>
      <w:proofErr w:type="spellEnd"/>
      <w:r w:rsidRPr="0013502F">
        <w:rPr>
          <w:rFonts w:ascii="Times New Roman" w:eastAsia="Times New Roman" w:hAnsi="Times New Roman" w:cs="Times New Roman"/>
          <w:sz w:val="28"/>
          <w:szCs w:val="28"/>
          <w:lang w:eastAsia="ru-RU"/>
        </w:rPr>
        <w:t>, увеличением в 2,7 раза производства мясных полуфабрикатов и кондитерских изделий на 37%.</w:t>
      </w:r>
    </w:p>
    <w:p w14:paraId="38EB6E73" w14:textId="77777777" w:rsidR="005E295E" w:rsidRPr="0013502F" w:rsidRDefault="005E295E" w:rsidP="00527456">
      <w:pPr>
        <w:widowControl w:val="0"/>
        <w:spacing w:after="0" w:line="240" w:lineRule="auto"/>
        <w:ind w:firstLine="709"/>
        <w:jc w:val="both"/>
        <w:rPr>
          <w:rFonts w:ascii="Times New Roman" w:eastAsia="Times New Roman" w:hAnsi="Times New Roman" w:cs="Times New Roman"/>
          <w:sz w:val="28"/>
          <w:szCs w:val="28"/>
          <w:lang w:eastAsia="ru-RU"/>
        </w:rPr>
      </w:pPr>
    </w:p>
    <w:p w14:paraId="3AF90EEA" w14:textId="77777777" w:rsidR="001D38A9" w:rsidRPr="0013502F" w:rsidRDefault="001D38A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Инвестиции</w:t>
      </w:r>
    </w:p>
    <w:p w14:paraId="7FBDF860" w14:textId="5BDC31F0" w:rsidR="00990D38" w:rsidRPr="006C6748"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6C6748">
        <w:rPr>
          <w:rFonts w:ascii="Times New Roman" w:eastAsia="Calibri" w:hAnsi="Times New Roman" w:cs="Times New Roman"/>
          <w:sz w:val="28"/>
          <w:szCs w:val="20"/>
          <w:lang w:eastAsia="ru-RU"/>
        </w:rPr>
        <w:t>Объем инвестиций в основной капитал в 2016 году за счет всех источников финансирования по</w:t>
      </w:r>
      <w:r w:rsidR="004D5ABC" w:rsidRPr="006C6748">
        <w:rPr>
          <w:rFonts w:ascii="Times New Roman" w:eastAsia="Calibri" w:hAnsi="Times New Roman" w:cs="Times New Roman"/>
          <w:sz w:val="28"/>
          <w:szCs w:val="20"/>
          <w:lang w:eastAsia="ru-RU"/>
        </w:rPr>
        <w:t xml:space="preserve"> </w:t>
      </w:r>
      <w:r w:rsidRPr="006C6748">
        <w:rPr>
          <w:rFonts w:ascii="Times New Roman" w:eastAsia="Calibri" w:hAnsi="Times New Roman" w:cs="Times New Roman"/>
          <w:sz w:val="28"/>
          <w:szCs w:val="20"/>
          <w:lang w:eastAsia="ru-RU"/>
        </w:rPr>
        <w:t xml:space="preserve">оценке составил </w:t>
      </w:r>
      <w:r w:rsidR="006C6748" w:rsidRPr="006C6748">
        <w:rPr>
          <w:rFonts w:ascii="Times New Roman" w:eastAsia="Calibri" w:hAnsi="Times New Roman" w:cs="Times New Roman"/>
          <w:sz w:val="28"/>
          <w:szCs w:val="20"/>
          <w:lang w:eastAsia="ru-RU"/>
        </w:rPr>
        <w:t>12 576,32</w:t>
      </w:r>
      <w:r w:rsidRPr="006C6748">
        <w:rPr>
          <w:rFonts w:ascii="Times New Roman" w:eastAsia="Calibri" w:hAnsi="Times New Roman" w:cs="Times New Roman"/>
          <w:sz w:val="28"/>
          <w:szCs w:val="20"/>
          <w:lang w:eastAsia="ru-RU"/>
        </w:rPr>
        <w:t xml:space="preserve"> млн. рублей или 10</w:t>
      </w:r>
      <w:r w:rsidR="006C6748" w:rsidRPr="006C6748">
        <w:rPr>
          <w:rFonts w:ascii="Times New Roman" w:eastAsia="Calibri" w:hAnsi="Times New Roman" w:cs="Times New Roman"/>
          <w:sz w:val="28"/>
          <w:szCs w:val="20"/>
          <w:lang w:eastAsia="ru-RU"/>
        </w:rPr>
        <w:t>1</w:t>
      </w:r>
      <w:r w:rsidRPr="006C6748">
        <w:rPr>
          <w:rFonts w:ascii="Times New Roman" w:eastAsia="Calibri" w:hAnsi="Times New Roman" w:cs="Times New Roman"/>
          <w:sz w:val="28"/>
          <w:szCs w:val="20"/>
          <w:lang w:eastAsia="ru-RU"/>
        </w:rPr>
        <w:t>,</w:t>
      </w:r>
      <w:r w:rsidR="006C6748" w:rsidRPr="006C6748">
        <w:rPr>
          <w:rFonts w:ascii="Times New Roman" w:eastAsia="Calibri" w:hAnsi="Times New Roman" w:cs="Times New Roman"/>
          <w:sz w:val="28"/>
          <w:szCs w:val="20"/>
          <w:lang w:eastAsia="ru-RU"/>
        </w:rPr>
        <w:t>5</w:t>
      </w:r>
      <w:r w:rsidRPr="006C6748">
        <w:rPr>
          <w:rFonts w:ascii="Times New Roman" w:eastAsia="Calibri" w:hAnsi="Times New Roman" w:cs="Times New Roman"/>
          <w:sz w:val="28"/>
          <w:szCs w:val="20"/>
          <w:lang w:eastAsia="ru-RU"/>
        </w:rPr>
        <w:t>% к 2015 году (</w:t>
      </w:r>
      <w:r w:rsidR="006C6748" w:rsidRPr="006C6748">
        <w:rPr>
          <w:rFonts w:ascii="Times New Roman" w:eastAsia="Calibri" w:hAnsi="Times New Roman" w:cs="Times New Roman"/>
          <w:sz w:val="28"/>
          <w:szCs w:val="20"/>
          <w:lang w:eastAsia="ru-RU"/>
        </w:rPr>
        <w:t>12 391,07</w:t>
      </w:r>
      <w:r w:rsidRPr="006C6748">
        <w:rPr>
          <w:rFonts w:ascii="Times New Roman" w:eastAsia="Calibri" w:hAnsi="Times New Roman" w:cs="Times New Roman"/>
          <w:sz w:val="28"/>
          <w:szCs w:val="20"/>
          <w:lang w:eastAsia="ru-RU"/>
        </w:rPr>
        <w:t xml:space="preserve"> млн. рублей). </w:t>
      </w:r>
    </w:p>
    <w:p w14:paraId="35EE851E" w14:textId="6A823EE8"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6C6748">
        <w:rPr>
          <w:rFonts w:ascii="Times New Roman" w:eastAsia="Calibri" w:hAnsi="Times New Roman" w:cs="Times New Roman"/>
          <w:sz w:val="28"/>
          <w:szCs w:val="20"/>
          <w:lang w:eastAsia="ru-RU"/>
        </w:rPr>
        <w:t xml:space="preserve">Основную долю в структуре инвестиций по источникам финансирования занимают привлеченные средства – 59,5% или </w:t>
      </w:r>
      <w:r w:rsidR="006C6748" w:rsidRPr="006C6748">
        <w:rPr>
          <w:rFonts w:ascii="Times New Roman" w:eastAsia="Calibri" w:hAnsi="Times New Roman" w:cs="Times New Roman"/>
          <w:sz w:val="28"/>
          <w:szCs w:val="20"/>
          <w:lang w:eastAsia="ru-RU"/>
        </w:rPr>
        <w:t>7 482,91</w:t>
      </w:r>
      <w:r w:rsidRPr="006C6748">
        <w:rPr>
          <w:rFonts w:ascii="Times New Roman" w:eastAsia="Calibri" w:hAnsi="Times New Roman" w:cs="Times New Roman"/>
          <w:sz w:val="28"/>
          <w:szCs w:val="20"/>
          <w:lang w:eastAsia="ru-RU"/>
        </w:rPr>
        <w:t xml:space="preserve"> млн. рублей (2015 год – 63,7% или </w:t>
      </w:r>
      <w:r w:rsidR="006C6748" w:rsidRPr="006C6748">
        <w:rPr>
          <w:rFonts w:ascii="Times New Roman" w:eastAsia="Calibri" w:hAnsi="Times New Roman" w:cs="Times New Roman"/>
          <w:sz w:val="28"/>
          <w:szCs w:val="20"/>
          <w:lang w:eastAsia="ru-RU"/>
        </w:rPr>
        <w:t>7 893,11</w:t>
      </w:r>
      <w:r w:rsidRPr="006C6748">
        <w:rPr>
          <w:rFonts w:ascii="Times New Roman" w:eastAsia="Calibri" w:hAnsi="Times New Roman" w:cs="Times New Roman"/>
          <w:sz w:val="28"/>
          <w:szCs w:val="20"/>
          <w:lang w:eastAsia="ru-RU"/>
        </w:rPr>
        <w:t xml:space="preserve"> млн. рублей). Собственные средства предприятий – 40,5% или </w:t>
      </w:r>
      <w:r w:rsidR="006C6748" w:rsidRPr="006C6748">
        <w:rPr>
          <w:rFonts w:ascii="Times New Roman" w:eastAsia="Calibri" w:hAnsi="Times New Roman" w:cs="Times New Roman"/>
          <w:sz w:val="28"/>
          <w:szCs w:val="20"/>
          <w:lang w:eastAsia="ru-RU"/>
        </w:rPr>
        <w:t>5 093,41</w:t>
      </w:r>
      <w:r w:rsidRPr="006C6748">
        <w:rPr>
          <w:rFonts w:ascii="Times New Roman" w:eastAsia="Calibri" w:hAnsi="Times New Roman" w:cs="Times New Roman"/>
          <w:sz w:val="28"/>
          <w:szCs w:val="20"/>
          <w:lang w:eastAsia="ru-RU"/>
        </w:rPr>
        <w:t xml:space="preserve"> млн. рублей (2015 год – 36,3% или </w:t>
      </w:r>
      <w:r w:rsidR="006C6748" w:rsidRPr="006C6748">
        <w:rPr>
          <w:rFonts w:ascii="Times New Roman" w:eastAsia="Calibri" w:hAnsi="Times New Roman" w:cs="Times New Roman"/>
          <w:sz w:val="28"/>
          <w:szCs w:val="20"/>
          <w:lang w:eastAsia="ru-RU"/>
        </w:rPr>
        <w:t>4 497,96</w:t>
      </w:r>
      <w:r w:rsidRPr="006C6748">
        <w:rPr>
          <w:rFonts w:ascii="Times New Roman" w:eastAsia="Calibri" w:hAnsi="Times New Roman" w:cs="Times New Roman"/>
          <w:sz w:val="28"/>
          <w:szCs w:val="20"/>
          <w:lang w:eastAsia="ru-RU"/>
        </w:rPr>
        <w:t xml:space="preserve"> млн. рублей).</w:t>
      </w:r>
    </w:p>
    <w:p w14:paraId="1A75AEAF"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По функциональному назначению инвестиции в основной капитал направлены на:</w:t>
      </w:r>
    </w:p>
    <w:p w14:paraId="2FBB40CC"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строительство жилья – 36,2%;</w:t>
      </w:r>
    </w:p>
    <w:p w14:paraId="3DB1A80D"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строительство зданий и сооружений – 27,3%;</w:t>
      </w:r>
    </w:p>
    <w:p w14:paraId="6388E1AC"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приобретение машин и оборудования – 19,7%;</w:t>
      </w:r>
    </w:p>
    <w:p w14:paraId="1546735B"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транспортные средства – 10,4%; </w:t>
      </w:r>
    </w:p>
    <w:p w14:paraId="4AC424CD"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lastRenderedPageBreak/>
        <w:t>- прочие инвестиции – 6,4%.</w:t>
      </w:r>
    </w:p>
    <w:p w14:paraId="61C4B5E5" w14:textId="77777777" w:rsidR="00990D38" w:rsidRPr="0013502F" w:rsidRDefault="00990D38" w:rsidP="00527456">
      <w:pPr>
        <w:widowControl w:val="0"/>
        <w:spacing w:after="0" w:line="240" w:lineRule="auto"/>
        <w:ind w:firstLine="709"/>
        <w:jc w:val="right"/>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Рисунок 3</w:t>
      </w:r>
    </w:p>
    <w:p w14:paraId="528301D5" w14:textId="77777777" w:rsidR="00990D38" w:rsidRPr="0013502F" w:rsidRDefault="00990D38" w:rsidP="007C2224">
      <w:pPr>
        <w:widowControl w:val="0"/>
        <w:spacing w:after="0" w:line="240" w:lineRule="auto"/>
        <w:ind w:firstLine="709"/>
        <w:jc w:val="center"/>
        <w:rPr>
          <w:rFonts w:ascii="Times New Roman" w:eastAsia="Calibri" w:hAnsi="Times New Roman" w:cs="Times New Roman"/>
          <w:sz w:val="28"/>
          <w:szCs w:val="20"/>
          <w:lang w:eastAsia="ru-RU"/>
        </w:rPr>
      </w:pPr>
      <w:r w:rsidRPr="0013502F">
        <w:rPr>
          <w:rFonts w:ascii="Times New Roman" w:eastAsia="Times New Roman" w:hAnsi="Times New Roman"/>
          <w:i/>
          <w:noProof/>
          <w:sz w:val="28"/>
          <w:szCs w:val="28"/>
          <w:lang w:eastAsia="ru-RU"/>
        </w:rPr>
        <w:drawing>
          <wp:inline distT="0" distB="0" distL="0" distR="0" wp14:anchorId="03FB60FC" wp14:editId="5DC45B11">
            <wp:extent cx="5267325" cy="212407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EA3AF3"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w:t>
      </w:r>
    </w:p>
    <w:p w14:paraId="62E42556"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С начала 2016 года введено в эксплуатацию 23 многоквартирных жилых дома общей площадью 100,3 </w:t>
      </w:r>
      <w:proofErr w:type="spellStart"/>
      <w:r w:rsidRPr="0013502F">
        <w:rPr>
          <w:rFonts w:ascii="Times New Roman" w:eastAsia="Calibri" w:hAnsi="Times New Roman" w:cs="Times New Roman"/>
          <w:sz w:val="28"/>
          <w:szCs w:val="20"/>
          <w:lang w:eastAsia="ru-RU"/>
        </w:rPr>
        <w:t>тыс.кв.м</w:t>
      </w:r>
      <w:proofErr w:type="spellEnd"/>
      <w:r w:rsidRPr="0013502F">
        <w:rPr>
          <w:rFonts w:ascii="Times New Roman" w:eastAsia="Calibri" w:hAnsi="Times New Roman" w:cs="Times New Roman"/>
          <w:sz w:val="28"/>
          <w:szCs w:val="20"/>
          <w:lang w:eastAsia="ru-RU"/>
        </w:rPr>
        <w:t>. и 56 индивидуальных жилых домов площадью 10,7 тыс. кв. м. По результатам градостроительной деятельности оформлены разрешения на ввод в эксплуатацию по 42 законченным строительством объектам, в том числе:</w:t>
      </w:r>
    </w:p>
    <w:p w14:paraId="657942C2"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детский сад по ул. Анны Коньковой на 300 мест, </w:t>
      </w:r>
    </w:p>
    <w:p w14:paraId="7803099B"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встроенные помещения для размещения </w:t>
      </w:r>
      <w:proofErr w:type="spellStart"/>
      <w:r w:rsidRPr="0013502F">
        <w:rPr>
          <w:rFonts w:ascii="Times New Roman" w:eastAsia="Calibri" w:hAnsi="Times New Roman" w:cs="Times New Roman"/>
          <w:sz w:val="28"/>
          <w:szCs w:val="20"/>
          <w:lang w:eastAsia="ru-RU"/>
        </w:rPr>
        <w:t>билдинг</w:t>
      </w:r>
      <w:proofErr w:type="spellEnd"/>
      <w:r w:rsidRPr="0013502F">
        <w:rPr>
          <w:rFonts w:ascii="Times New Roman" w:eastAsia="Calibri" w:hAnsi="Times New Roman" w:cs="Times New Roman"/>
          <w:sz w:val="28"/>
          <w:szCs w:val="20"/>
          <w:lang w:eastAsia="ru-RU"/>
        </w:rPr>
        <w:t xml:space="preserve"> - садов, общей площадью 2806,8 кв. метров; </w:t>
      </w:r>
    </w:p>
    <w:p w14:paraId="27946630"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«Кафе-мороженное и спорт-бар» по ул. Луговая; </w:t>
      </w:r>
    </w:p>
    <w:p w14:paraId="0321020E"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proofErr w:type="gramStart"/>
      <w:r w:rsidRPr="0013502F">
        <w:rPr>
          <w:rFonts w:ascii="Times New Roman" w:eastAsia="Calibri" w:hAnsi="Times New Roman" w:cs="Times New Roman"/>
          <w:sz w:val="28"/>
          <w:szCs w:val="20"/>
          <w:lang w:eastAsia="ru-RU"/>
        </w:rPr>
        <w:t>-  «</w:t>
      </w:r>
      <w:proofErr w:type="gramEnd"/>
      <w:r w:rsidRPr="0013502F">
        <w:rPr>
          <w:rFonts w:ascii="Times New Roman" w:eastAsia="Calibri" w:hAnsi="Times New Roman" w:cs="Times New Roman"/>
          <w:sz w:val="28"/>
          <w:szCs w:val="20"/>
          <w:lang w:eastAsia="ru-RU"/>
        </w:rPr>
        <w:t>Медицинский центр» по ул. Калинина;</w:t>
      </w:r>
    </w:p>
    <w:p w14:paraId="2458728F"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xml:space="preserve">- складская база район АБЗ; </w:t>
      </w:r>
    </w:p>
    <w:p w14:paraId="702F9684"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 индивидуальное жилищное строительство сети коммуникаций СУ-967, 2 очередь.</w:t>
      </w:r>
    </w:p>
    <w:p w14:paraId="70932EA5" w14:textId="77777777" w:rsidR="00C51049"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r w:rsidRPr="0013502F">
        <w:rPr>
          <w:rFonts w:ascii="Times New Roman" w:eastAsia="Calibri" w:hAnsi="Times New Roman" w:cs="Times New Roman"/>
          <w:sz w:val="28"/>
          <w:szCs w:val="20"/>
          <w:lang w:eastAsia="ru-RU"/>
        </w:rPr>
        <w:t>В отчетном году осуществлялись мероприятия программ, направленных на строительство жилья, дорог, социальных объектов, модернизацию и строительство объектов жилищно-коммунального хозяйства.</w:t>
      </w:r>
    </w:p>
    <w:p w14:paraId="5971571E" w14:textId="77777777" w:rsidR="00990D38" w:rsidRPr="0013502F" w:rsidRDefault="00990D38" w:rsidP="00527456">
      <w:pPr>
        <w:widowControl w:val="0"/>
        <w:spacing w:after="0" w:line="240" w:lineRule="auto"/>
        <w:ind w:firstLine="709"/>
        <w:jc w:val="both"/>
        <w:rPr>
          <w:rFonts w:ascii="Times New Roman" w:eastAsia="Calibri" w:hAnsi="Times New Roman" w:cs="Times New Roman"/>
          <w:sz w:val="28"/>
          <w:szCs w:val="20"/>
          <w:lang w:eastAsia="ru-RU"/>
        </w:rPr>
      </w:pPr>
    </w:p>
    <w:p w14:paraId="6C27F861" w14:textId="77777777" w:rsidR="001D38A9" w:rsidRPr="0013502F" w:rsidRDefault="009218C9" w:rsidP="00527456">
      <w:pPr>
        <w:pStyle w:val="aa"/>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 xml:space="preserve"> </w:t>
      </w:r>
      <w:r w:rsidR="001D38A9" w:rsidRPr="0013502F">
        <w:rPr>
          <w:rFonts w:ascii="Times New Roman" w:eastAsia="Times New Roman" w:hAnsi="Times New Roman" w:cs="Times New Roman"/>
          <w:b/>
          <w:bCs/>
          <w:sz w:val="28"/>
          <w:szCs w:val="28"/>
          <w:lang w:eastAsia="ru-RU"/>
        </w:rPr>
        <w:t>Занятость населения</w:t>
      </w:r>
    </w:p>
    <w:p w14:paraId="5470A350" w14:textId="77777777" w:rsidR="00990D38" w:rsidRPr="0013502F" w:rsidRDefault="00990D38" w:rsidP="00527456">
      <w:pPr>
        <w:pStyle w:val="aa"/>
        <w:widowControl w:val="0"/>
        <w:autoSpaceDE w:val="0"/>
        <w:autoSpaceDN w:val="0"/>
        <w:adjustRightInd w:val="0"/>
        <w:spacing w:after="0" w:line="240" w:lineRule="auto"/>
        <w:ind w:left="709"/>
        <w:jc w:val="both"/>
        <w:rPr>
          <w:rFonts w:ascii="Times New Roman" w:eastAsia="Times New Roman" w:hAnsi="Times New Roman" w:cs="Times New Roman"/>
          <w:b/>
          <w:bCs/>
          <w:sz w:val="28"/>
          <w:szCs w:val="28"/>
          <w:lang w:eastAsia="ru-RU"/>
        </w:rPr>
      </w:pPr>
    </w:p>
    <w:p w14:paraId="00361A7E"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Ситуация на рынке труда города Ханты-Мансийска за последние несколько лет сохраняет стабильность. Показатели, характеризующие развитие рынка труда, показывают положительную динамику. </w:t>
      </w:r>
    </w:p>
    <w:p w14:paraId="36A312DD" w14:textId="0ACF9863"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По данным Казенного учреждения Ханты-Мансийского автономного округа – Югры «Ханты-Мансийский центр занятости населения» по состоянию на 01.01.2017 число граждан, обратившихся за содействием в поиске подходящей работы, составило 2 665 чел. (работающие граждане, граждане, желающие сменить место работы, выпускники организаций профессионального образования, граждане </w:t>
      </w:r>
      <w:proofErr w:type="spellStart"/>
      <w:r w:rsidRPr="0013502F">
        <w:rPr>
          <w:rFonts w:ascii="Times New Roman" w:eastAsia="Times New Roman" w:hAnsi="Times New Roman" w:cs="Times New Roman"/>
          <w:sz w:val="28"/>
          <w:szCs w:val="28"/>
          <w:lang w:eastAsia="ru-RU"/>
        </w:rPr>
        <w:t>предпенсионного</w:t>
      </w:r>
      <w:proofErr w:type="spellEnd"/>
      <w:r w:rsidRPr="0013502F">
        <w:rPr>
          <w:rFonts w:ascii="Times New Roman" w:eastAsia="Times New Roman" w:hAnsi="Times New Roman" w:cs="Times New Roman"/>
          <w:sz w:val="28"/>
          <w:szCs w:val="28"/>
          <w:lang w:eastAsia="ru-RU"/>
        </w:rPr>
        <w:t xml:space="preserve"> и пенсионного возраста, инвалиды, многодетные родители, родители, воспитывающие детей-инвалидов и др.), из них 974 чел. трудоустроены. Коэффициент напряженности составил 0,72 человека на 1 свободное рабочее место.</w:t>
      </w:r>
    </w:p>
    <w:p w14:paraId="29177FE1" w14:textId="77777777" w:rsidR="00D441C7" w:rsidRPr="0013502F" w:rsidRDefault="00990D38" w:rsidP="00D441C7">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Уровень зарегистрированной безработицы снизился с 0,65% в 2015 году до 0,51% в 2016 году от экономически активного населения города. Увеличилась среднесписочная численность работников (по полному кругу организаций) на 18,2%, </w:t>
      </w:r>
      <w:proofErr w:type="gramStart"/>
      <w:r w:rsidRPr="0013502F">
        <w:rPr>
          <w:rFonts w:ascii="Times New Roman" w:eastAsia="Times New Roman" w:hAnsi="Times New Roman" w:cs="Times New Roman"/>
          <w:sz w:val="28"/>
          <w:szCs w:val="28"/>
          <w:lang w:eastAsia="ru-RU"/>
        </w:rPr>
        <w:t>численность  безработных</w:t>
      </w:r>
      <w:proofErr w:type="gramEnd"/>
      <w:r w:rsidRPr="0013502F">
        <w:rPr>
          <w:rFonts w:ascii="Times New Roman" w:eastAsia="Times New Roman" w:hAnsi="Times New Roman" w:cs="Times New Roman"/>
          <w:sz w:val="28"/>
          <w:szCs w:val="28"/>
          <w:lang w:eastAsia="ru-RU"/>
        </w:rPr>
        <w:t xml:space="preserve"> граждан, стоящих на регистрационном учете, уменьшилась до 291 чел. (в 2015 году - 317 чел.). При этом предприятиями и организациями города в отчетном периоде созданы 5 071 рабочее место, из них 3885 постоянных рабочих мест.</w:t>
      </w:r>
      <w:r w:rsidR="00D441C7">
        <w:rPr>
          <w:rFonts w:ascii="Times New Roman" w:eastAsia="Times New Roman" w:hAnsi="Times New Roman" w:cs="Times New Roman"/>
          <w:sz w:val="28"/>
          <w:szCs w:val="28"/>
          <w:lang w:eastAsia="ru-RU"/>
        </w:rPr>
        <w:t xml:space="preserve"> </w:t>
      </w:r>
    </w:p>
    <w:p w14:paraId="0591A991"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По итогам 2016 года отмечается увеличение спроса работодателей на рабочую силу, количество заявленных вакансий по состоянию на 1 января 2017 года составило 403 единицы, что на 11 % больше показателя на 1 января 2016 года (359 тыс. единиц).</w:t>
      </w:r>
    </w:p>
    <w:p w14:paraId="4022D673"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rPr>
      </w:pPr>
      <w:r w:rsidRPr="0013502F">
        <w:rPr>
          <w:rFonts w:ascii="Times New Roman" w:eastAsia="Times New Roman" w:hAnsi="Times New Roman" w:cs="Times New Roman"/>
          <w:sz w:val="28"/>
          <w:szCs w:val="28"/>
          <w:lang w:eastAsia="ru-RU"/>
        </w:rPr>
        <w:t>Численность экономически активного населения на 01.01.2017 составила 58 714 чел., или 60,0% от общей численности населения города Ханты-Мансийска, из их числа 58 423 чел., или 99,5% от числа экономически активного населения, были заняты в экономическом секторе (2015 год – 56 999 чел.).</w:t>
      </w:r>
    </w:p>
    <w:p w14:paraId="1389CB27"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Учитывая потребность в рабочей силе по специальностям, не востребованным либо с отсутствием таких специалистов в городе, в соответствии с миграционным законодательством привлекается иностранная рабочая сила, прибывшая в Российскую Федерацию в порядке, требующем получение визы, в соответствии с заявками, поданными работодателями. </w:t>
      </w:r>
    </w:p>
    <w:p w14:paraId="284354B0"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2016 году по городу Ханты-Мансийску установлена квота на выдачу иностранным гражданам, прибывшим в Российскую Федерацию в порядке, требующем получение визы, 149 разрешений на работу.</w:t>
      </w:r>
    </w:p>
    <w:p w14:paraId="3A149C49"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Всего за 2016 год организациями города использована квота в количестве 4 единиц, что составляет 2,7% от утвержденной квоты.</w:t>
      </w:r>
    </w:p>
    <w:p w14:paraId="43BC66C6" w14:textId="77777777" w:rsidR="00990D38" w:rsidRPr="0013502F" w:rsidRDefault="00990D38" w:rsidP="00527456">
      <w:pPr>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целях своевременного реагирования и минимизации колебаний на рынке труда на постоянной основе проводятся заседания Межведомственной комиссии по вопросам содействия занятости населения при Администрации города Ханты-Мансийска (далее – Межведомственная комиссия). За 2016 год проведено 12 заседаний Межведомственной комиссии, на которых были рассмотрены вопросы:</w:t>
      </w:r>
    </w:p>
    <w:p w14:paraId="2DBF93FF" w14:textId="77777777" w:rsidR="00990D38" w:rsidRPr="0013502F" w:rsidRDefault="00990D38" w:rsidP="00527456">
      <w:pPr>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снижения неформальной занятости населения в 2016 году во взаимодействии с контрольно-надзорными территориальными федеральными органами государственной власти Российской Федерации по Ханты-Мансийскому автономному округу - Югре и Администрации города Ханты-Мансийска;</w:t>
      </w:r>
    </w:p>
    <w:p w14:paraId="299D5DDA" w14:textId="77777777" w:rsidR="00990D38" w:rsidRPr="0013502F" w:rsidRDefault="00990D38" w:rsidP="00527456">
      <w:pPr>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 утвержден план мероприятий Межведомственной комиссии по вопросам содействия занятости населения на 2016 год, в который входят в том </w:t>
      </w:r>
      <w:proofErr w:type="gramStart"/>
      <w:r w:rsidRPr="0013502F">
        <w:rPr>
          <w:rFonts w:ascii="Times New Roman" w:eastAsia="Times New Roman" w:hAnsi="Times New Roman" w:cs="Times New Roman"/>
          <w:sz w:val="28"/>
          <w:szCs w:val="28"/>
          <w:lang w:eastAsia="ru-RU"/>
        </w:rPr>
        <w:t>числе,  мероприятия</w:t>
      </w:r>
      <w:proofErr w:type="gramEnd"/>
      <w:r w:rsidRPr="0013502F">
        <w:rPr>
          <w:rFonts w:ascii="Times New Roman" w:eastAsia="Times New Roman" w:hAnsi="Times New Roman" w:cs="Times New Roman"/>
          <w:sz w:val="28"/>
          <w:szCs w:val="28"/>
          <w:lang w:eastAsia="ru-RU"/>
        </w:rPr>
        <w:t xml:space="preserve"> по снижению неформальной занятости, легализации «серой» заработной платы, неофициально оформленных трудовых отношений, повышению собираемости страховых взносов во внебюджетные фонды;</w:t>
      </w:r>
    </w:p>
    <w:p w14:paraId="15264139" w14:textId="77777777" w:rsidR="00990D38" w:rsidRPr="0013502F" w:rsidRDefault="00990D38" w:rsidP="00527456">
      <w:pPr>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утвержден комплексный План мероприятий по стабилизации на рынке труда в городе Ханты-Мансийске на 2016 год.</w:t>
      </w:r>
    </w:p>
    <w:p w14:paraId="77A0F70E"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программы Ханты-Мансийского автономного округа - Югры «Содействие занятости населения на 2016-2020 годы» (далее - Программа), в которой сохранены стимулирующие меры государственной поддержки работодателям и отдельным категориям граждан, а также мероприятия во исполнение поручений Президента Российской Федерации:</w:t>
      </w:r>
    </w:p>
    <w:p w14:paraId="7532BBA2"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содействие в трудоустройстве инвалидов, одиноких родителей, многодетных родителей и родителей, воспитывающих детей-инвалидов, женщин, находящихся в отпуске по уходу за ребенком в возрасте до 3-х лет;</w:t>
      </w:r>
    </w:p>
    <w:p w14:paraId="36553741"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содействие занятости граждан </w:t>
      </w:r>
      <w:proofErr w:type="spellStart"/>
      <w:r w:rsidRPr="0013502F">
        <w:rPr>
          <w:rFonts w:ascii="Times New Roman" w:eastAsia="Times New Roman" w:hAnsi="Times New Roman" w:cs="Times New Roman"/>
          <w:sz w:val="28"/>
          <w:szCs w:val="28"/>
          <w:lang w:eastAsia="ru-RU"/>
        </w:rPr>
        <w:t>предпенсионного</w:t>
      </w:r>
      <w:proofErr w:type="spellEnd"/>
      <w:r w:rsidRPr="0013502F">
        <w:rPr>
          <w:rFonts w:ascii="Times New Roman" w:eastAsia="Times New Roman" w:hAnsi="Times New Roman" w:cs="Times New Roman"/>
          <w:sz w:val="28"/>
          <w:szCs w:val="28"/>
          <w:lang w:eastAsia="ru-RU"/>
        </w:rPr>
        <w:t xml:space="preserve"> и пенсионного возраста;</w:t>
      </w:r>
    </w:p>
    <w:p w14:paraId="7E3586C3"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содействие временному трудоустройству лиц, освободившихся из мест лишения свободы, и лиц, осужденных к исполнению наказания в виде лишения свободы и др.</w:t>
      </w:r>
    </w:p>
    <w:p w14:paraId="667FD1FC"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2016 году на реализацию политики в сфере содействия занятости населения и снижению напряженности на рынке труда в рамках Программы направлено 9 894,8 тыс. рублей. В рамках реализации Программы поддержкой охвачены различные категории граждан. </w:t>
      </w:r>
    </w:p>
    <w:p w14:paraId="50A7A728" w14:textId="01BA4886"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Реализация мероприятий позволила оказать содействие по </w:t>
      </w:r>
      <w:proofErr w:type="spellStart"/>
      <w:r w:rsidRPr="0013502F">
        <w:rPr>
          <w:rFonts w:ascii="Times New Roman" w:eastAsia="Times New Roman" w:hAnsi="Times New Roman" w:cs="Times New Roman"/>
          <w:sz w:val="28"/>
          <w:szCs w:val="28"/>
          <w:lang w:eastAsia="ru-RU"/>
        </w:rPr>
        <w:t>самозанятости</w:t>
      </w:r>
      <w:proofErr w:type="spellEnd"/>
      <w:r w:rsidRPr="0013502F">
        <w:rPr>
          <w:rFonts w:ascii="Times New Roman" w:eastAsia="Times New Roman" w:hAnsi="Times New Roman" w:cs="Times New Roman"/>
          <w:sz w:val="28"/>
          <w:szCs w:val="28"/>
          <w:lang w:eastAsia="ru-RU"/>
        </w:rPr>
        <w:t xml:space="preserve"> безработных граждан, развитию гибких форм занятости и надомного труда, профессиональному обучению и дополнительному профессиональному образованию отдельных категорий граждан. Особое внимание уделено категориям граждан, нуждающихся в дополнительных мерах по трудоустройству. В соответствии с заключенными договорами на созданные и специально оборудованные рабочие места трудоустроено 10 инвалидов.</w:t>
      </w:r>
    </w:p>
    <w:p w14:paraId="4AC497FA"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Кроме того, в рамках проводимых мероприятий Программы были трудоустроены граждане, испытывающие трудности в поиске работы, несовершеннолетние граждане в возрасте от 14 до 18 лет, в том числе подростки, оказавшиеся в трудной жизненной ситуации, а также выпускники профессиональных образовательных организаций и образовательных организаций высшего образования в возрасте до 25 лет. </w:t>
      </w:r>
    </w:p>
    <w:p w14:paraId="7307219E"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Свой вклад в создание рабочих мест внесли предприятия и организации города. Всего за 2016 год предприятиями и организациями города были созданы 836 рабочих мест (в 2015 году - 655).</w:t>
      </w:r>
    </w:p>
    <w:p w14:paraId="73A19565" w14:textId="77777777" w:rsidR="00134E43" w:rsidRPr="0013502F" w:rsidRDefault="00134E43" w:rsidP="00527456">
      <w:pPr>
        <w:widowControl w:val="0"/>
        <w:spacing w:after="0" w:line="240" w:lineRule="auto"/>
        <w:ind w:firstLine="709"/>
        <w:jc w:val="both"/>
        <w:rPr>
          <w:rFonts w:ascii="Times New Roman" w:eastAsia="Times New Roman" w:hAnsi="Times New Roman" w:cs="Times New Roman"/>
          <w:bCs/>
          <w:sz w:val="28"/>
          <w:szCs w:val="28"/>
          <w:lang w:eastAsia="ru-RU"/>
        </w:rPr>
      </w:pPr>
    </w:p>
    <w:p w14:paraId="18ED2C38" w14:textId="77777777" w:rsidR="00E51DF0" w:rsidRPr="0013502F" w:rsidRDefault="00137E44" w:rsidP="00527456">
      <w:pPr>
        <w:pStyle w:val="aa"/>
        <w:widowControl w:val="0"/>
        <w:numPr>
          <w:ilvl w:val="1"/>
          <w:numId w:val="1"/>
        </w:numPr>
        <w:spacing w:after="0" w:line="240" w:lineRule="auto"/>
        <w:ind w:left="0" w:firstLine="709"/>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Денежные доходы и расходы населения</w:t>
      </w:r>
    </w:p>
    <w:p w14:paraId="5DC622CE" w14:textId="77777777" w:rsidR="00990D38" w:rsidRPr="0013502F" w:rsidRDefault="00990D38" w:rsidP="00527456">
      <w:pPr>
        <w:pStyle w:val="aa"/>
        <w:widowControl w:val="0"/>
        <w:spacing w:after="0" w:line="240" w:lineRule="auto"/>
        <w:ind w:left="709"/>
        <w:rPr>
          <w:rFonts w:ascii="Times New Roman" w:eastAsia="Times New Roman" w:hAnsi="Times New Roman" w:cs="Times New Roman"/>
          <w:b/>
          <w:bCs/>
          <w:sz w:val="28"/>
          <w:szCs w:val="28"/>
          <w:lang w:eastAsia="ru-RU"/>
        </w:rPr>
      </w:pPr>
    </w:p>
    <w:p w14:paraId="15321719" w14:textId="77777777" w:rsidR="00990D38" w:rsidRPr="0013502F" w:rsidRDefault="00990D38" w:rsidP="00527456">
      <w:pPr>
        <w:widowControl w:val="0"/>
        <w:spacing w:after="0" w:line="240" w:lineRule="auto"/>
        <w:ind w:right="142"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bCs/>
          <w:sz w:val="28"/>
          <w:szCs w:val="28"/>
        </w:rPr>
        <w:t xml:space="preserve">В 2016 году в городе сохранилась положительная динамика уровня жизни населения. Одним из основных макроэкономических показателей уровня жизни являются доходы населения. </w:t>
      </w:r>
    </w:p>
    <w:p w14:paraId="2C3C5742" w14:textId="1F802F98" w:rsidR="00990D38" w:rsidRPr="0013502F" w:rsidRDefault="00990D38" w:rsidP="00527456">
      <w:pPr>
        <w:widowControl w:val="0"/>
        <w:spacing w:after="0" w:line="240" w:lineRule="auto"/>
        <w:ind w:right="142" w:firstLine="709"/>
        <w:jc w:val="both"/>
        <w:rPr>
          <w:rFonts w:ascii="Times New Roman" w:eastAsia="Calibri" w:hAnsi="Times New Roman" w:cs="Times New Roman"/>
          <w:sz w:val="28"/>
          <w:szCs w:val="28"/>
        </w:rPr>
      </w:pPr>
      <w:r w:rsidRPr="0013502F">
        <w:rPr>
          <w:rFonts w:ascii="Times New Roman" w:eastAsia="Times New Roman" w:hAnsi="Times New Roman" w:cs="Times New Roman"/>
          <w:bCs/>
          <w:sz w:val="28"/>
          <w:szCs w:val="28"/>
        </w:rPr>
        <w:t>В 2016 году среднемесячная заработная плата одного работающего в организациях города с</w:t>
      </w:r>
      <w:r w:rsidR="00697F8A">
        <w:rPr>
          <w:rFonts w:ascii="Times New Roman" w:eastAsia="Times New Roman" w:hAnsi="Times New Roman" w:cs="Times New Roman"/>
          <w:bCs/>
          <w:sz w:val="28"/>
          <w:szCs w:val="28"/>
        </w:rPr>
        <w:t>оставила 69 107,3 рублей или 102,5% к 2015 году (67 448,0</w:t>
      </w:r>
      <w:r w:rsidRPr="0013502F">
        <w:rPr>
          <w:rFonts w:ascii="Times New Roman" w:eastAsia="Times New Roman" w:hAnsi="Times New Roman" w:cs="Times New Roman"/>
          <w:bCs/>
          <w:sz w:val="28"/>
          <w:szCs w:val="28"/>
        </w:rPr>
        <w:t xml:space="preserve"> рублей).</w:t>
      </w:r>
      <w:r w:rsidRPr="0013502F">
        <w:rPr>
          <w:rFonts w:ascii="Times New Roman" w:eastAsia="Calibri" w:hAnsi="Times New Roman" w:cs="Times New Roman"/>
          <w:sz w:val="28"/>
          <w:szCs w:val="28"/>
        </w:rPr>
        <w:t xml:space="preserve"> </w:t>
      </w:r>
    </w:p>
    <w:p w14:paraId="21EC3CF2" w14:textId="77777777" w:rsidR="00990D38" w:rsidRPr="0013502F" w:rsidRDefault="00990D38" w:rsidP="00527456">
      <w:pPr>
        <w:widowControl w:val="0"/>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По уровню средней заработной платы Ханты-Мансийск опережает </w:t>
      </w:r>
      <w:proofErr w:type="spellStart"/>
      <w:r w:rsidRPr="0013502F">
        <w:rPr>
          <w:rFonts w:ascii="Times New Roman" w:eastAsia="Calibri" w:hAnsi="Times New Roman" w:cs="Times New Roman"/>
          <w:sz w:val="28"/>
          <w:szCs w:val="28"/>
        </w:rPr>
        <w:t>среднеокружные</w:t>
      </w:r>
      <w:proofErr w:type="spellEnd"/>
      <w:r w:rsidRPr="0013502F">
        <w:rPr>
          <w:rFonts w:ascii="Times New Roman" w:eastAsia="Calibri" w:hAnsi="Times New Roman" w:cs="Times New Roman"/>
          <w:sz w:val="28"/>
          <w:szCs w:val="28"/>
        </w:rPr>
        <w:t xml:space="preserve"> и </w:t>
      </w:r>
      <w:proofErr w:type="gramStart"/>
      <w:r w:rsidRPr="0013502F">
        <w:rPr>
          <w:rFonts w:ascii="Times New Roman" w:eastAsia="Calibri" w:hAnsi="Times New Roman" w:cs="Times New Roman"/>
          <w:sz w:val="28"/>
          <w:szCs w:val="28"/>
        </w:rPr>
        <w:t>общероссийские  показатели</w:t>
      </w:r>
      <w:proofErr w:type="gramEnd"/>
      <w:r w:rsidRPr="0013502F">
        <w:rPr>
          <w:rFonts w:ascii="Times New Roman" w:eastAsia="Calibri" w:hAnsi="Times New Roman" w:cs="Times New Roman"/>
          <w:sz w:val="28"/>
          <w:szCs w:val="28"/>
        </w:rPr>
        <w:t>. По отношению к 2015 году оплата труда увеличилась во всех видах организаций, экономическая деятельность которых подлежит наблюдению.</w:t>
      </w:r>
    </w:p>
    <w:p w14:paraId="091DA0CE" w14:textId="77777777" w:rsidR="00CD1036" w:rsidRDefault="00CD1036" w:rsidP="00527456">
      <w:pPr>
        <w:widowControl w:val="0"/>
        <w:spacing w:after="0" w:line="240" w:lineRule="auto"/>
        <w:ind w:firstLine="709"/>
        <w:jc w:val="right"/>
        <w:rPr>
          <w:rFonts w:ascii="Times New Roman" w:eastAsia="Times New Roman" w:hAnsi="Times New Roman" w:cs="Times New Roman"/>
          <w:bCs/>
          <w:sz w:val="28"/>
          <w:szCs w:val="28"/>
          <w:lang w:eastAsia="x-none"/>
        </w:rPr>
      </w:pPr>
    </w:p>
    <w:p w14:paraId="7EEACBB4" w14:textId="77777777" w:rsidR="00C51049" w:rsidRPr="0013502F" w:rsidRDefault="00C51049" w:rsidP="00527456">
      <w:pPr>
        <w:widowControl w:val="0"/>
        <w:spacing w:after="0" w:line="240" w:lineRule="auto"/>
        <w:ind w:firstLine="709"/>
        <w:jc w:val="right"/>
        <w:rPr>
          <w:rFonts w:ascii="Times New Roman" w:eastAsia="Times New Roman" w:hAnsi="Times New Roman" w:cs="Times New Roman"/>
          <w:bCs/>
          <w:sz w:val="28"/>
          <w:szCs w:val="28"/>
          <w:lang w:eastAsia="x-none"/>
        </w:rPr>
      </w:pPr>
      <w:r w:rsidRPr="0013502F">
        <w:rPr>
          <w:rFonts w:ascii="Times New Roman" w:eastAsia="Times New Roman" w:hAnsi="Times New Roman" w:cs="Times New Roman"/>
          <w:bCs/>
          <w:sz w:val="28"/>
          <w:szCs w:val="28"/>
          <w:lang w:eastAsia="x-none"/>
        </w:rPr>
        <w:t>Рис</w:t>
      </w:r>
      <w:r w:rsidR="00527456">
        <w:rPr>
          <w:rFonts w:ascii="Times New Roman" w:eastAsia="Times New Roman" w:hAnsi="Times New Roman" w:cs="Times New Roman"/>
          <w:bCs/>
          <w:sz w:val="28"/>
          <w:szCs w:val="28"/>
          <w:lang w:eastAsia="x-none"/>
        </w:rPr>
        <w:t>унок</w:t>
      </w:r>
      <w:r w:rsidRPr="0013502F">
        <w:rPr>
          <w:rFonts w:ascii="Times New Roman" w:eastAsia="Times New Roman" w:hAnsi="Times New Roman" w:cs="Times New Roman"/>
          <w:bCs/>
          <w:sz w:val="28"/>
          <w:szCs w:val="28"/>
          <w:lang w:eastAsia="x-none"/>
        </w:rPr>
        <w:t xml:space="preserve"> 4</w:t>
      </w:r>
    </w:p>
    <w:p w14:paraId="50AEA2F3" w14:textId="77777777" w:rsidR="00CD1036" w:rsidRDefault="00C51049" w:rsidP="00527456">
      <w:pPr>
        <w:widowControl w:val="0"/>
        <w:spacing w:after="0" w:line="240" w:lineRule="auto"/>
        <w:ind w:firstLine="709"/>
        <w:jc w:val="both"/>
        <w:rPr>
          <w:rFonts w:ascii="Times New Roman" w:eastAsia="Times New Roman" w:hAnsi="Times New Roman" w:cs="Times New Roman"/>
          <w:bCs/>
          <w:sz w:val="28"/>
          <w:szCs w:val="28"/>
          <w:lang w:eastAsia="x-none"/>
        </w:rPr>
      </w:pPr>
      <w:r w:rsidRPr="0013502F">
        <w:rPr>
          <w:rFonts w:ascii="Times New Roman" w:eastAsia="Times New Roman" w:hAnsi="Times New Roman" w:cs="Times New Roman"/>
          <w:bCs/>
          <w:sz w:val="28"/>
          <w:szCs w:val="28"/>
          <w:lang w:eastAsia="x-none"/>
        </w:rPr>
        <w:t xml:space="preserve"> </w:t>
      </w:r>
    </w:p>
    <w:p w14:paraId="73F0D219" w14:textId="77777777" w:rsidR="00CD1036" w:rsidRDefault="00CD1036" w:rsidP="00527456">
      <w:pPr>
        <w:widowControl w:val="0"/>
        <w:spacing w:after="0" w:line="240" w:lineRule="auto"/>
        <w:ind w:firstLine="709"/>
        <w:jc w:val="both"/>
        <w:rPr>
          <w:rFonts w:ascii="Times New Roman" w:eastAsia="Times New Roman" w:hAnsi="Times New Roman" w:cs="Times New Roman"/>
          <w:bCs/>
          <w:sz w:val="28"/>
          <w:szCs w:val="28"/>
          <w:lang w:eastAsia="x-none"/>
        </w:rPr>
      </w:pPr>
    </w:p>
    <w:p w14:paraId="1095B6A6" w14:textId="56AE333F" w:rsidR="001B40E2" w:rsidRPr="0013502F" w:rsidRDefault="001B40E2" w:rsidP="00527456">
      <w:pPr>
        <w:widowControl w:val="0"/>
        <w:spacing w:after="0" w:line="240" w:lineRule="auto"/>
        <w:ind w:firstLine="709"/>
        <w:jc w:val="both"/>
        <w:rPr>
          <w:rFonts w:ascii="Times New Roman" w:eastAsia="Times New Roman" w:hAnsi="Times New Roman" w:cs="Times New Roman"/>
          <w:bCs/>
          <w:sz w:val="28"/>
          <w:szCs w:val="28"/>
          <w:lang w:eastAsia="x-none"/>
        </w:rPr>
      </w:pPr>
      <w:r w:rsidRPr="0013502F">
        <w:rPr>
          <w:rFonts w:ascii="Times New Roman" w:eastAsia="Times New Roman" w:hAnsi="Times New Roman"/>
          <w:i/>
          <w:noProof/>
          <w:sz w:val="28"/>
          <w:szCs w:val="28"/>
          <w:lang w:eastAsia="ru-RU"/>
        </w:rPr>
        <w:drawing>
          <wp:inline distT="0" distB="0" distL="0" distR="0" wp14:anchorId="524CB1B8" wp14:editId="7188DC2E">
            <wp:extent cx="5848350" cy="2619375"/>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8CB454" w14:textId="77777777" w:rsidR="00C51049" w:rsidRPr="0013502F" w:rsidRDefault="00C51049" w:rsidP="00527456">
      <w:pPr>
        <w:widowControl w:val="0"/>
        <w:spacing w:after="0" w:line="240" w:lineRule="auto"/>
        <w:ind w:firstLine="709"/>
        <w:jc w:val="both"/>
        <w:rPr>
          <w:rFonts w:ascii="Times New Roman" w:eastAsia="Times New Roman" w:hAnsi="Times New Roman" w:cs="Times New Roman"/>
          <w:bCs/>
          <w:sz w:val="28"/>
          <w:szCs w:val="28"/>
          <w:lang w:eastAsia="x-none"/>
        </w:rPr>
      </w:pPr>
    </w:p>
    <w:p w14:paraId="62EED2EE" w14:textId="6AB9F43C" w:rsidR="001B40E2" w:rsidRPr="0013502F" w:rsidRDefault="001B40E2" w:rsidP="00527456">
      <w:pPr>
        <w:widowControl w:val="0"/>
        <w:tabs>
          <w:tab w:val="left" w:pos="709"/>
        </w:tabs>
        <w:spacing w:after="0" w:line="240" w:lineRule="auto"/>
        <w:ind w:right="142" w:firstLine="709"/>
        <w:jc w:val="both"/>
        <w:rPr>
          <w:rFonts w:ascii="Times New Roman" w:eastAsia="Times New Roman" w:hAnsi="Times New Roman" w:cs="Times New Roman"/>
          <w:sz w:val="28"/>
          <w:szCs w:val="28"/>
        </w:rPr>
      </w:pPr>
      <w:r w:rsidRPr="0013502F">
        <w:rPr>
          <w:rFonts w:ascii="Times New Roman" w:eastAsia="Times New Roman" w:hAnsi="Times New Roman" w:cs="Times New Roman"/>
          <w:bCs/>
          <w:sz w:val="28"/>
          <w:szCs w:val="28"/>
        </w:rPr>
        <w:t>Среднемесячный размер трудовой пенсии</w:t>
      </w:r>
      <w:r w:rsidRPr="0013502F">
        <w:rPr>
          <w:rFonts w:ascii="Times New Roman" w:eastAsia="Times New Roman" w:hAnsi="Times New Roman" w:cs="Times New Roman"/>
          <w:sz w:val="28"/>
          <w:szCs w:val="28"/>
        </w:rPr>
        <w:t xml:space="preserve"> по старости одного пенсионера по данным государственного учреждения </w:t>
      </w:r>
      <w:bookmarkStart w:id="3" w:name="_GoBack"/>
      <w:bookmarkEnd w:id="3"/>
      <w:r w:rsidRPr="0013502F">
        <w:rPr>
          <w:rFonts w:ascii="Times New Roman" w:eastAsia="Times New Roman" w:hAnsi="Times New Roman" w:cs="Times New Roman"/>
          <w:sz w:val="28"/>
          <w:szCs w:val="28"/>
        </w:rPr>
        <w:t>Отделение Пенсионного фонда Российской Федерации по Ханты-Мансийскому автономному округу – Югре в городе Ханты-Мансийске в 2016 году составил 19 970,44 рублей или 110,6% к 2015 году (19 605,89 рублей) без учета доплат из бюджета автономного округа.</w:t>
      </w:r>
    </w:p>
    <w:p w14:paraId="7F1EDB2F" w14:textId="77777777" w:rsidR="001B40E2" w:rsidRPr="0013502F" w:rsidRDefault="001B40E2" w:rsidP="00527456">
      <w:pPr>
        <w:widowControl w:val="0"/>
        <w:spacing w:after="0" w:line="240" w:lineRule="auto"/>
        <w:ind w:right="142" w:firstLine="709"/>
        <w:jc w:val="both"/>
        <w:rPr>
          <w:rFonts w:ascii="Times New Roman" w:eastAsia="Times New Roman" w:hAnsi="Times New Roman" w:cs="Times New Roman"/>
          <w:sz w:val="28"/>
          <w:szCs w:val="28"/>
        </w:rPr>
      </w:pPr>
      <w:r w:rsidRPr="0013502F">
        <w:rPr>
          <w:rFonts w:ascii="Times New Roman" w:eastAsia="Times New Roman" w:hAnsi="Times New Roman" w:cs="Times New Roman"/>
          <w:sz w:val="28"/>
          <w:szCs w:val="28"/>
        </w:rPr>
        <w:t xml:space="preserve">Доплаты неработающим пенсионерам производятся Негосударственным Пенсионным фондом Ханты-Мансийского автономного округа – Югры, </w:t>
      </w:r>
      <w:r w:rsidRPr="0013502F">
        <w:rPr>
          <w:rFonts w:ascii="Times New Roman" w:eastAsia="Times New Roman" w:hAnsi="Times New Roman" w:cs="Times New Roman"/>
          <w:bCs/>
          <w:sz w:val="28"/>
          <w:szCs w:val="28"/>
        </w:rPr>
        <w:t xml:space="preserve">размер доплаты зависит от стажа работы пенсионера на территории округа. </w:t>
      </w:r>
      <w:r w:rsidRPr="0013502F">
        <w:rPr>
          <w:rFonts w:ascii="Times New Roman" w:eastAsia="Times New Roman" w:hAnsi="Times New Roman" w:cs="Times New Roman"/>
          <w:sz w:val="28"/>
          <w:szCs w:val="28"/>
        </w:rPr>
        <w:t>За 2016 год дополнительные выплаты получили 6 419 чел. (2015 год - 6 434 чел.) в среднем по 993,8 рубля (2015 год – 992,7 рубля).</w:t>
      </w:r>
    </w:p>
    <w:p w14:paraId="5DCB9B66" w14:textId="77777777" w:rsidR="001B40E2" w:rsidRPr="0013502F" w:rsidRDefault="001B40E2" w:rsidP="00527456">
      <w:pPr>
        <w:widowControl w:val="0"/>
        <w:spacing w:after="0" w:line="240" w:lineRule="auto"/>
        <w:ind w:right="142" w:firstLine="709"/>
        <w:jc w:val="both"/>
        <w:rPr>
          <w:rFonts w:ascii="Times New Roman" w:eastAsia="Times New Roman" w:hAnsi="Times New Roman" w:cs="Times New Roman"/>
          <w:sz w:val="28"/>
          <w:szCs w:val="28"/>
        </w:rPr>
      </w:pPr>
      <w:r w:rsidRPr="0013502F">
        <w:rPr>
          <w:rFonts w:ascii="Times New Roman" w:eastAsia="Times New Roman" w:hAnsi="Times New Roman" w:cs="Times New Roman"/>
          <w:sz w:val="28"/>
          <w:szCs w:val="28"/>
        </w:rPr>
        <w:t>С учетом дополнительных выплат средний размер доходов одного неработающего пенсионера в 2016 году составил 20 964,3 рубля (2015 год –20 598,6 рублей).</w:t>
      </w:r>
    </w:p>
    <w:p w14:paraId="671585AC" w14:textId="77777777" w:rsidR="00BD4D65" w:rsidRPr="0013502F" w:rsidRDefault="00BD4D65" w:rsidP="00527456">
      <w:pPr>
        <w:widowControl w:val="0"/>
        <w:spacing w:after="0" w:line="240" w:lineRule="auto"/>
        <w:ind w:firstLine="709"/>
        <w:jc w:val="both"/>
        <w:rPr>
          <w:rFonts w:ascii="Times New Roman" w:eastAsia="Times New Roman" w:hAnsi="Times New Roman" w:cs="Times New Roman"/>
          <w:bCs/>
          <w:sz w:val="28"/>
          <w:szCs w:val="28"/>
          <w:lang w:eastAsia="x-none"/>
        </w:rPr>
      </w:pPr>
    </w:p>
    <w:p w14:paraId="3FB60DB9" w14:textId="77777777" w:rsidR="00BD4D65" w:rsidRPr="0013502F" w:rsidRDefault="00BD4D65" w:rsidP="00527456">
      <w:pPr>
        <w:pStyle w:val="aa"/>
        <w:widowControl w:val="0"/>
        <w:numPr>
          <w:ilvl w:val="1"/>
          <w:numId w:val="1"/>
        </w:numPr>
        <w:spacing w:after="0" w:line="240" w:lineRule="auto"/>
        <w:ind w:left="0"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Потребительский рынок</w:t>
      </w:r>
    </w:p>
    <w:p w14:paraId="46393DCF" w14:textId="77777777" w:rsidR="001B40E2" w:rsidRPr="0013502F" w:rsidRDefault="001B40E2" w:rsidP="00527456">
      <w:pPr>
        <w:pStyle w:val="aa"/>
        <w:widowControl w:val="0"/>
        <w:spacing w:after="0" w:line="240" w:lineRule="auto"/>
        <w:ind w:left="709"/>
        <w:jc w:val="both"/>
        <w:rPr>
          <w:rFonts w:ascii="Times New Roman" w:eastAsia="Times New Roman" w:hAnsi="Times New Roman" w:cs="Times New Roman"/>
          <w:b/>
          <w:sz w:val="28"/>
          <w:szCs w:val="28"/>
          <w:lang w:eastAsia="ru-RU"/>
        </w:rPr>
      </w:pPr>
    </w:p>
    <w:p w14:paraId="1D05129B" w14:textId="77777777" w:rsidR="001B40E2" w:rsidRPr="0013502F" w:rsidRDefault="001B40E2" w:rsidP="00527456">
      <w:pPr>
        <w:widowControl w:val="0"/>
        <w:tabs>
          <w:tab w:val="left" w:pos="435"/>
        </w:tabs>
        <w:spacing w:after="0" w:line="240" w:lineRule="auto"/>
        <w:ind w:firstLine="709"/>
        <w:jc w:val="both"/>
        <w:rPr>
          <w:rFonts w:ascii="Times New Roman" w:hAnsi="Times New Roman" w:cs="Times New Roman"/>
          <w:sz w:val="28"/>
          <w:szCs w:val="28"/>
        </w:rPr>
      </w:pPr>
      <w:r w:rsidRPr="0013502F">
        <w:rPr>
          <w:rFonts w:ascii="Times New Roman" w:hAnsi="Times New Roman" w:cs="Times New Roman"/>
          <w:sz w:val="28"/>
          <w:szCs w:val="28"/>
        </w:rPr>
        <w:t>Оборот розничной торговли за 2016 год составил 17 932,7 млн. рублей, что превышает уровень соответствующего периода 2015 года на 499,3 млн. рублей или на 2,9% в сопоставимых ценах (соответствующий период 2015 года – 17433,4 млн. руб.). Товарооборот по всем видам проявления в расчете на душу населения составил 186,5 тыс. рублей (соответствующий период 2015 года – 184,6 тыс. руб.).</w:t>
      </w:r>
    </w:p>
    <w:p w14:paraId="66A78711" w14:textId="77777777" w:rsidR="001B40E2" w:rsidRPr="0013502F" w:rsidRDefault="001B40E2" w:rsidP="00527456">
      <w:pPr>
        <w:widowControl w:val="0"/>
        <w:tabs>
          <w:tab w:val="left" w:pos="435"/>
        </w:tabs>
        <w:spacing w:after="0" w:line="240" w:lineRule="auto"/>
        <w:ind w:firstLine="709"/>
        <w:jc w:val="both"/>
        <w:rPr>
          <w:rFonts w:ascii="Times New Roman" w:hAnsi="Times New Roman" w:cs="Times New Roman"/>
          <w:sz w:val="28"/>
          <w:szCs w:val="28"/>
        </w:rPr>
      </w:pPr>
      <w:r w:rsidRPr="0013502F">
        <w:rPr>
          <w:rFonts w:ascii="Times New Roman" w:hAnsi="Times New Roman" w:cs="Times New Roman"/>
          <w:sz w:val="28"/>
          <w:szCs w:val="28"/>
        </w:rPr>
        <w:t xml:space="preserve">В 2016 году деятельность осуществлялась на 105 торговых объектах (соответствующий период 2015 года – 90) с площадью торгового зала 30741,63 м2 (соответствующий период 2015 года –23852,85 м2). </w:t>
      </w:r>
    </w:p>
    <w:p w14:paraId="43F5914F" w14:textId="77777777" w:rsidR="001B40E2" w:rsidRPr="0013502F" w:rsidRDefault="001B40E2" w:rsidP="00527456">
      <w:pPr>
        <w:widowControl w:val="0"/>
        <w:tabs>
          <w:tab w:val="left" w:pos="435"/>
        </w:tabs>
        <w:spacing w:after="0" w:line="240" w:lineRule="auto"/>
        <w:ind w:firstLine="709"/>
        <w:jc w:val="both"/>
        <w:rPr>
          <w:rFonts w:ascii="Times New Roman" w:hAnsi="Times New Roman" w:cs="Times New Roman"/>
          <w:sz w:val="28"/>
          <w:szCs w:val="28"/>
        </w:rPr>
      </w:pPr>
      <w:r w:rsidRPr="0013502F">
        <w:rPr>
          <w:rFonts w:ascii="Times New Roman" w:hAnsi="Times New Roman" w:cs="Times New Roman"/>
          <w:sz w:val="28"/>
          <w:szCs w:val="28"/>
        </w:rPr>
        <w:t>За 2016 год оборот общественного питания в действующих ценах по оценке составил 2875,5 млн. рублей, что больше показателя соответствующего периода 2015 года на 5,6% (соответствующий период 2015 года – 2723,3 тыс. руб.). Оборот общественного питания на душу населения составил 29,9 тыс. руб./чел. (соответствующий период 2015 года – 28,8 тыс. руб./чел.).</w:t>
      </w:r>
    </w:p>
    <w:p w14:paraId="3ED46063" w14:textId="77777777" w:rsidR="001B40E2" w:rsidRPr="0013502F" w:rsidRDefault="001B40E2" w:rsidP="00527456">
      <w:pPr>
        <w:widowControl w:val="0"/>
        <w:tabs>
          <w:tab w:val="left" w:pos="435"/>
        </w:tabs>
        <w:spacing w:after="0" w:line="240" w:lineRule="auto"/>
        <w:ind w:firstLine="709"/>
        <w:jc w:val="both"/>
        <w:rPr>
          <w:rFonts w:ascii="Times New Roman" w:hAnsi="Times New Roman" w:cs="Times New Roman"/>
          <w:sz w:val="28"/>
          <w:szCs w:val="28"/>
        </w:rPr>
      </w:pPr>
      <w:r w:rsidRPr="0013502F">
        <w:rPr>
          <w:rFonts w:ascii="Times New Roman" w:hAnsi="Times New Roman" w:cs="Times New Roman"/>
          <w:sz w:val="28"/>
          <w:szCs w:val="28"/>
        </w:rPr>
        <w:t xml:space="preserve">Объем платных услуг населению во всех секторах реализации составил 5909,6 млн. рублей, увеличение в сопоставимых ценах к соответствующему периоду 2015 года составило 2,5% (2015 год – 5767,6 млн. руб.). Объем платных услуг на душу населения составил 61,5 тыс. руб. (соответствующий период 2015 года –61,1 тыс. руб.). </w:t>
      </w:r>
    </w:p>
    <w:p w14:paraId="748283E3" w14:textId="77777777" w:rsidR="00C726C9" w:rsidRPr="0013502F" w:rsidRDefault="001B40E2" w:rsidP="00527456">
      <w:pPr>
        <w:widowControl w:val="0"/>
        <w:tabs>
          <w:tab w:val="left" w:pos="435"/>
        </w:tabs>
        <w:spacing w:after="0" w:line="240" w:lineRule="auto"/>
        <w:ind w:firstLine="709"/>
        <w:jc w:val="both"/>
        <w:rPr>
          <w:rFonts w:ascii="Times New Roman" w:hAnsi="Times New Roman" w:cs="Times New Roman"/>
          <w:sz w:val="28"/>
          <w:szCs w:val="28"/>
        </w:rPr>
      </w:pPr>
      <w:r w:rsidRPr="0013502F">
        <w:rPr>
          <w:rFonts w:ascii="Times New Roman" w:hAnsi="Times New Roman" w:cs="Times New Roman"/>
          <w:sz w:val="28"/>
          <w:szCs w:val="28"/>
        </w:rPr>
        <w:t>Объем бытовых услуг составил 413,7 млн. рублей или 102,5% в сопоставимых ценах к уровню 2015 года (2015 год – 403,7 млн. рублей).  Объем бытовых услуг на одного жителя города Ханты-Мансийска за 2016 год составил 4303 руб. (2015 год – 4275 руб.).</w:t>
      </w:r>
    </w:p>
    <w:p w14:paraId="4E0A9812" w14:textId="77777777" w:rsidR="001B40E2" w:rsidRPr="0013502F" w:rsidRDefault="001B40E2" w:rsidP="00527456">
      <w:pPr>
        <w:widowControl w:val="0"/>
        <w:tabs>
          <w:tab w:val="left" w:pos="435"/>
        </w:tabs>
        <w:spacing w:after="0" w:line="240" w:lineRule="auto"/>
        <w:ind w:firstLine="709"/>
        <w:jc w:val="both"/>
        <w:rPr>
          <w:rFonts w:ascii="Times New Roman" w:hAnsi="Times New Roman" w:cs="Times New Roman"/>
          <w:bCs/>
          <w:sz w:val="28"/>
          <w:szCs w:val="28"/>
        </w:rPr>
      </w:pPr>
    </w:p>
    <w:p w14:paraId="0778C714" w14:textId="77777777" w:rsidR="00A367AC" w:rsidRPr="0013502F" w:rsidRDefault="00EE15EF" w:rsidP="00527456">
      <w:pPr>
        <w:pStyle w:val="aa"/>
        <w:widowControl w:val="0"/>
        <w:numPr>
          <w:ilvl w:val="1"/>
          <w:numId w:val="1"/>
        </w:numPr>
        <w:spacing w:after="0" w:line="240" w:lineRule="auto"/>
        <w:jc w:val="both"/>
        <w:rPr>
          <w:rFonts w:ascii="Times New Roman" w:eastAsia="Times New Roman" w:hAnsi="Times New Roman" w:cs="Times New Roman"/>
          <w:b/>
          <w:bCs/>
          <w:sz w:val="28"/>
          <w:szCs w:val="28"/>
          <w:lang w:eastAsia="ru-RU"/>
        </w:rPr>
      </w:pPr>
      <w:r w:rsidRPr="0013502F">
        <w:rPr>
          <w:rFonts w:ascii="Times New Roman" w:eastAsia="Times New Roman" w:hAnsi="Times New Roman" w:cs="Times New Roman"/>
          <w:b/>
          <w:bCs/>
          <w:sz w:val="28"/>
          <w:szCs w:val="28"/>
          <w:lang w:eastAsia="ru-RU"/>
        </w:rPr>
        <w:t>Криминогенная обстановка</w:t>
      </w:r>
    </w:p>
    <w:p w14:paraId="3F7A0A41" w14:textId="77777777" w:rsidR="003C42C0" w:rsidRPr="0013502F" w:rsidRDefault="003C42C0" w:rsidP="00527456">
      <w:pPr>
        <w:widowControl w:val="0"/>
        <w:spacing w:after="0" w:line="240" w:lineRule="auto"/>
        <w:jc w:val="both"/>
        <w:rPr>
          <w:rFonts w:ascii="Times New Roman" w:eastAsia="Times New Roman" w:hAnsi="Times New Roman" w:cs="Times New Roman"/>
          <w:b/>
          <w:bCs/>
          <w:sz w:val="28"/>
          <w:szCs w:val="28"/>
          <w:lang w:eastAsia="ru-RU"/>
        </w:rPr>
      </w:pPr>
    </w:p>
    <w:p w14:paraId="47E83E19" w14:textId="77777777" w:rsidR="001B40E2" w:rsidRPr="0013502F" w:rsidRDefault="001B40E2" w:rsidP="00527456">
      <w:pPr>
        <w:spacing w:after="0" w:line="240" w:lineRule="auto"/>
        <w:ind w:firstLine="641"/>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целях влияния на криминогенную обстановку, в 2016 году Администрацией города Ханты-Мансийска во взаимодействии с правоохранительными органами и иными субъектами профилактики на территории города Ханты-Мансийска проводились мероприятия, направленные на предупреждение совершения правонарушений.</w:t>
      </w:r>
    </w:p>
    <w:p w14:paraId="33A320CC" w14:textId="77777777" w:rsidR="001B40E2" w:rsidRPr="0013502F" w:rsidRDefault="001B40E2" w:rsidP="00527456">
      <w:pPr>
        <w:spacing w:after="0" w:line="240" w:lineRule="auto"/>
        <w:ind w:firstLine="641"/>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В рамках работы Межведомственных комиссий города Ханты-Мансийска по профилактике правонарушений, профилактике экстремизма, Антинаркотической и Антитеррористической </w:t>
      </w:r>
      <w:proofErr w:type="gramStart"/>
      <w:r w:rsidRPr="0013502F">
        <w:rPr>
          <w:rFonts w:ascii="Times New Roman" w:eastAsia="Times New Roman" w:hAnsi="Times New Roman" w:cs="Times New Roman"/>
          <w:sz w:val="28"/>
          <w:szCs w:val="28"/>
          <w:lang w:eastAsia="ru-RU"/>
        </w:rPr>
        <w:t>комиссии  рассматривались</w:t>
      </w:r>
      <w:proofErr w:type="gramEnd"/>
      <w:r w:rsidRPr="0013502F">
        <w:rPr>
          <w:rFonts w:ascii="Times New Roman" w:eastAsia="Times New Roman" w:hAnsi="Times New Roman" w:cs="Times New Roman"/>
          <w:sz w:val="28"/>
          <w:szCs w:val="28"/>
          <w:lang w:eastAsia="ru-RU"/>
        </w:rPr>
        <w:t xml:space="preserve"> вопросы взаимодействия органов Администрации города и правоохранительных органов,  вырабатывались  решения, направленные на снижение как преступности в целом, так и отдельных видов преступлений. </w:t>
      </w:r>
    </w:p>
    <w:p w14:paraId="142DF22D"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рамках реализации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 обеспечена работа </w:t>
      </w:r>
      <w:proofErr w:type="gramStart"/>
      <w:r w:rsidRPr="0013502F">
        <w:rPr>
          <w:rFonts w:ascii="Times New Roman" w:eastAsia="Times New Roman" w:hAnsi="Times New Roman" w:cs="Times New Roman"/>
          <w:sz w:val="28"/>
          <w:szCs w:val="28"/>
          <w:lang w:eastAsia="ru-RU"/>
        </w:rPr>
        <w:t>установленных  на</w:t>
      </w:r>
      <w:proofErr w:type="gramEnd"/>
      <w:r w:rsidRPr="0013502F">
        <w:rPr>
          <w:rFonts w:ascii="Times New Roman" w:eastAsia="Times New Roman" w:hAnsi="Times New Roman" w:cs="Times New Roman"/>
          <w:sz w:val="28"/>
          <w:szCs w:val="28"/>
          <w:lang w:eastAsia="ru-RU"/>
        </w:rPr>
        <w:t xml:space="preserve"> улицах города систем видеонаблюдения и видеоконтроля, обеспечены условия участия общественности в охране общественного порядка.</w:t>
      </w:r>
    </w:p>
    <w:p w14:paraId="41B06770"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При помощи систем видеонаблюдения раскрыто 5 преступлений, </w:t>
      </w:r>
      <w:proofErr w:type="gramStart"/>
      <w:r w:rsidRPr="0013502F">
        <w:rPr>
          <w:rFonts w:ascii="Times New Roman" w:eastAsia="Times New Roman" w:hAnsi="Times New Roman" w:cs="Times New Roman"/>
          <w:sz w:val="28"/>
          <w:szCs w:val="28"/>
          <w:lang w:eastAsia="ru-RU"/>
        </w:rPr>
        <w:t>выявлено  795</w:t>
      </w:r>
      <w:proofErr w:type="gramEnd"/>
      <w:r w:rsidRPr="0013502F">
        <w:rPr>
          <w:rFonts w:ascii="Times New Roman" w:eastAsia="Times New Roman" w:hAnsi="Times New Roman" w:cs="Times New Roman"/>
          <w:sz w:val="28"/>
          <w:szCs w:val="28"/>
          <w:lang w:eastAsia="ru-RU"/>
        </w:rPr>
        <w:t xml:space="preserve"> правонарушений в сфере обеспечения  правопорядка,  11624 нарушения правил дорожного движения.  С участием членов добровольных народных дружин выявлено 92 правонарушения и раскрыто 4 преступления.</w:t>
      </w:r>
    </w:p>
    <w:p w14:paraId="277D0B48"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w:t>
      </w:r>
      <w:proofErr w:type="gramStart"/>
      <w:r w:rsidRPr="0013502F">
        <w:rPr>
          <w:rFonts w:ascii="Times New Roman" w:eastAsia="Times New Roman" w:hAnsi="Times New Roman" w:cs="Times New Roman"/>
          <w:sz w:val="28"/>
          <w:szCs w:val="28"/>
          <w:lang w:eastAsia="ru-RU"/>
        </w:rPr>
        <w:t xml:space="preserve">целом,   </w:t>
      </w:r>
      <w:proofErr w:type="gramEnd"/>
      <w:r w:rsidRPr="0013502F">
        <w:rPr>
          <w:rFonts w:ascii="Times New Roman" w:eastAsia="Times New Roman" w:hAnsi="Times New Roman" w:cs="Times New Roman"/>
          <w:sz w:val="28"/>
          <w:szCs w:val="28"/>
          <w:lang w:eastAsia="ru-RU"/>
        </w:rPr>
        <w:t xml:space="preserve">криминогенную ситуацию в городе Ханты-Мансийске в 2016 году можно оценить как стабильную. Комплекс реализованных мероприятий позволил сохранить контроль за развитием криминогенной ситуации и сохранить положительную динамику ее показателей. </w:t>
      </w:r>
    </w:p>
    <w:p w14:paraId="03268999"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На территории города Ханты-</w:t>
      </w:r>
      <w:proofErr w:type="gramStart"/>
      <w:r w:rsidRPr="0013502F">
        <w:rPr>
          <w:rFonts w:ascii="Times New Roman" w:eastAsia="Times New Roman" w:hAnsi="Times New Roman" w:cs="Times New Roman"/>
          <w:sz w:val="28"/>
          <w:szCs w:val="28"/>
          <w:lang w:eastAsia="ru-RU"/>
        </w:rPr>
        <w:t>Мансийска  зарегистрировано</w:t>
      </w:r>
      <w:proofErr w:type="gramEnd"/>
      <w:r w:rsidRPr="0013502F">
        <w:rPr>
          <w:rFonts w:ascii="Times New Roman" w:eastAsia="Times New Roman" w:hAnsi="Times New Roman" w:cs="Times New Roman"/>
          <w:sz w:val="28"/>
          <w:szCs w:val="28"/>
          <w:lang w:eastAsia="ru-RU"/>
        </w:rPr>
        <w:t xml:space="preserve">   1556 преступлений, что на 3% меньше, чем в 2015 году (1603).</w:t>
      </w:r>
    </w:p>
    <w:p w14:paraId="78796E26"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В структуре имущественных преступлений количество зарегистрированных краж снизилось на 4% и составило 543 преступления (2015- 564), неправомерных завладений </w:t>
      </w:r>
      <w:proofErr w:type="gramStart"/>
      <w:r w:rsidRPr="0013502F">
        <w:rPr>
          <w:rFonts w:ascii="Times New Roman" w:eastAsia="Times New Roman" w:hAnsi="Times New Roman" w:cs="Times New Roman"/>
          <w:sz w:val="28"/>
          <w:szCs w:val="28"/>
          <w:lang w:eastAsia="ru-RU"/>
        </w:rPr>
        <w:t>транспортным  средством</w:t>
      </w:r>
      <w:proofErr w:type="gramEnd"/>
      <w:r w:rsidRPr="0013502F">
        <w:rPr>
          <w:rFonts w:ascii="Times New Roman" w:eastAsia="Times New Roman" w:hAnsi="Times New Roman" w:cs="Times New Roman"/>
          <w:sz w:val="28"/>
          <w:szCs w:val="28"/>
          <w:lang w:eastAsia="ru-RU"/>
        </w:rPr>
        <w:t xml:space="preserve">   на 14% и составило 32 преступления (2015 - 37). Разбойных нападений с целью завладения чужим имуществом не зарегистрировано (2015-6).</w:t>
      </w:r>
    </w:p>
    <w:p w14:paraId="6AC70DF9" w14:textId="77777777" w:rsidR="007576D2"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При этом, количество зарегистрированных фактов мошенничества увеличилось на 16% и составило 243 преступления (2015 год – 209), зарегистрировано 17 грабежей, что превышает показатель</w:t>
      </w:r>
      <w:r w:rsidR="007576D2">
        <w:rPr>
          <w:rFonts w:ascii="Times New Roman" w:eastAsia="Times New Roman" w:hAnsi="Times New Roman" w:cs="Times New Roman"/>
          <w:sz w:val="28"/>
          <w:szCs w:val="28"/>
          <w:lang w:eastAsia="ru-RU"/>
        </w:rPr>
        <w:t xml:space="preserve"> 2015 </w:t>
      </w:r>
      <w:proofErr w:type="gramStart"/>
      <w:r w:rsidR="007576D2">
        <w:rPr>
          <w:rFonts w:ascii="Times New Roman" w:eastAsia="Times New Roman" w:hAnsi="Times New Roman" w:cs="Times New Roman"/>
          <w:sz w:val="28"/>
          <w:szCs w:val="28"/>
          <w:lang w:eastAsia="ru-RU"/>
        </w:rPr>
        <w:t>года  на</w:t>
      </w:r>
      <w:proofErr w:type="gramEnd"/>
      <w:r w:rsidR="007576D2">
        <w:rPr>
          <w:rFonts w:ascii="Times New Roman" w:eastAsia="Times New Roman" w:hAnsi="Times New Roman" w:cs="Times New Roman"/>
          <w:sz w:val="28"/>
          <w:szCs w:val="28"/>
          <w:lang w:eastAsia="ru-RU"/>
        </w:rPr>
        <w:t xml:space="preserve"> 55% (2015 - 11).</w:t>
      </w:r>
    </w:p>
    <w:p w14:paraId="036484ED" w14:textId="716FFF04" w:rsidR="001B40E2" w:rsidRPr="0013502F"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структуре преступлений против личности, количество зарегистрированных фактов умышленных убийств снизилось на 75% и составило 1 факт (АППГ-4).   Зарегистрировано снижение фактов изнасилований и покушений на изнасилование на 60% (2016 год 2 преступления, 2015- 5).  </w:t>
      </w:r>
    </w:p>
    <w:p w14:paraId="424C1FF6" w14:textId="77777777" w:rsidR="001B40E2" w:rsidRPr="0013502F" w:rsidRDefault="001B40E2"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Количество фактов умышленного причинения вреда здоровью наоборот увеличилось на 35% и составило 31 преступление (2015 - 23).</w:t>
      </w:r>
    </w:p>
    <w:p w14:paraId="7D72EC1E" w14:textId="77777777" w:rsidR="001B40E2" w:rsidRPr="0013502F" w:rsidRDefault="001B40E2" w:rsidP="00527456">
      <w:pPr>
        <w:spacing w:after="0" w:line="240" w:lineRule="auto"/>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 </w:t>
      </w:r>
      <w:r w:rsidRPr="0013502F">
        <w:rPr>
          <w:rFonts w:ascii="Times New Roman" w:eastAsia="Times New Roman" w:hAnsi="Times New Roman" w:cs="Times New Roman"/>
          <w:sz w:val="28"/>
          <w:szCs w:val="28"/>
          <w:lang w:eastAsia="ru-RU"/>
        </w:rPr>
        <w:tab/>
        <w:t xml:space="preserve">В сфере незаконного оборота наркотиков выявлено 163 преступления, что на 14% ниже показателя 2015 года (189).  </w:t>
      </w:r>
    </w:p>
    <w:p w14:paraId="112940F3" w14:textId="77777777" w:rsidR="007576D2"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общественных местах </w:t>
      </w:r>
      <w:proofErr w:type="gramStart"/>
      <w:r w:rsidRPr="0013502F">
        <w:rPr>
          <w:rFonts w:ascii="Times New Roman" w:eastAsia="Times New Roman" w:hAnsi="Times New Roman" w:cs="Times New Roman"/>
          <w:sz w:val="28"/>
          <w:szCs w:val="28"/>
          <w:lang w:eastAsia="ru-RU"/>
        </w:rPr>
        <w:t>города  совершено</w:t>
      </w:r>
      <w:proofErr w:type="gramEnd"/>
      <w:r w:rsidRPr="0013502F">
        <w:rPr>
          <w:rFonts w:ascii="Times New Roman" w:eastAsia="Times New Roman" w:hAnsi="Times New Roman" w:cs="Times New Roman"/>
          <w:sz w:val="28"/>
          <w:szCs w:val="28"/>
          <w:lang w:eastAsia="ru-RU"/>
        </w:rPr>
        <w:t xml:space="preserve"> 650 преступлений, что на 3% ниже показателя 2015 года (667 преступлений). На улицах города совершено 432 преступления, что 25% выше показателя 2015 года (347 преступлений). </w:t>
      </w:r>
    </w:p>
    <w:p w14:paraId="72A95E31" w14:textId="76AD544F" w:rsidR="001B40E2" w:rsidRPr="0013502F"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Из числа раскрытых и оконченных производством уголовных дел иностранцами совершено 31 преступление, в 2015 году 37 (снижение на 16%). </w:t>
      </w:r>
    </w:p>
    <w:p w14:paraId="77CD787F" w14:textId="77777777" w:rsidR="007576D2"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На 37% снизилось количество преступлений совершенных в составе групп (с 67 до 42) и на 6% количество </w:t>
      </w:r>
      <w:proofErr w:type="gramStart"/>
      <w:r w:rsidRPr="0013502F">
        <w:rPr>
          <w:rFonts w:ascii="Times New Roman" w:eastAsia="Times New Roman" w:hAnsi="Times New Roman" w:cs="Times New Roman"/>
          <w:sz w:val="28"/>
          <w:szCs w:val="28"/>
          <w:lang w:eastAsia="ru-RU"/>
        </w:rPr>
        <w:t>преступлений</w:t>
      </w:r>
      <w:proofErr w:type="gramEnd"/>
      <w:r w:rsidRPr="0013502F">
        <w:rPr>
          <w:rFonts w:ascii="Times New Roman" w:eastAsia="Times New Roman" w:hAnsi="Times New Roman" w:cs="Times New Roman"/>
          <w:sz w:val="28"/>
          <w:szCs w:val="28"/>
          <w:lang w:eastAsia="ru-RU"/>
        </w:rPr>
        <w:t xml:space="preserve"> совершенных ранее судимыми лицами (со 151 до 142). При этом, отмечается рост </w:t>
      </w:r>
      <w:proofErr w:type="gramStart"/>
      <w:r w:rsidRPr="0013502F">
        <w:rPr>
          <w:rFonts w:ascii="Times New Roman" w:eastAsia="Times New Roman" w:hAnsi="Times New Roman" w:cs="Times New Roman"/>
          <w:sz w:val="28"/>
          <w:szCs w:val="28"/>
          <w:lang w:eastAsia="ru-RU"/>
        </w:rPr>
        <w:t>преступлений</w:t>
      </w:r>
      <w:proofErr w:type="gramEnd"/>
      <w:r w:rsidRPr="0013502F">
        <w:rPr>
          <w:rFonts w:ascii="Times New Roman" w:eastAsia="Times New Roman" w:hAnsi="Times New Roman" w:cs="Times New Roman"/>
          <w:sz w:val="28"/>
          <w:szCs w:val="28"/>
          <w:lang w:eastAsia="ru-RU"/>
        </w:rPr>
        <w:t xml:space="preserve"> совершенных в состоянии алкогольного опьянения на 6,9% (с 291 до 311). Количество </w:t>
      </w:r>
      <w:proofErr w:type="gramStart"/>
      <w:r w:rsidRPr="0013502F">
        <w:rPr>
          <w:rFonts w:ascii="Times New Roman" w:eastAsia="Times New Roman" w:hAnsi="Times New Roman" w:cs="Times New Roman"/>
          <w:sz w:val="28"/>
          <w:szCs w:val="28"/>
          <w:lang w:eastAsia="ru-RU"/>
        </w:rPr>
        <w:t>преступлений</w:t>
      </w:r>
      <w:proofErr w:type="gramEnd"/>
      <w:r w:rsidRPr="0013502F">
        <w:rPr>
          <w:rFonts w:ascii="Times New Roman" w:eastAsia="Times New Roman" w:hAnsi="Times New Roman" w:cs="Times New Roman"/>
          <w:sz w:val="28"/>
          <w:szCs w:val="28"/>
          <w:lang w:eastAsia="ru-RU"/>
        </w:rPr>
        <w:t xml:space="preserve"> совершенных несовершеннолетними зарегистрировано на уровне 2015 года и составило 20 преступлений.</w:t>
      </w:r>
    </w:p>
    <w:p w14:paraId="05ECA3DA" w14:textId="77777777" w:rsidR="007576D2"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экономической сфере в 2016 году зарегистрировано 86 преступлений, что на 6% ниже соответствующего периода 2015 года (91). Так же, отмечается снижение преступлений коррупционной напра</w:t>
      </w:r>
      <w:r w:rsidR="007576D2">
        <w:rPr>
          <w:rFonts w:ascii="Times New Roman" w:eastAsia="Times New Roman" w:hAnsi="Times New Roman" w:cs="Times New Roman"/>
          <w:sz w:val="28"/>
          <w:szCs w:val="28"/>
          <w:lang w:eastAsia="ru-RU"/>
        </w:rPr>
        <w:t>вленности на 24% (с 54 до 41).</w:t>
      </w:r>
    </w:p>
    <w:p w14:paraId="296776DE" w14:textId="77777777" w:rsidR="007576D2"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Автодорожных преступлений с причинением смерти в 2016 году на территории города не зарегистрировано (2015 -2).</w:t>
      </w:r>
    </w:p>
    <w:p w14:paraId="1772ECE8" w14:textId="0147EB8F" w:rsidR="001B40E2" w:rsidRPr="0013502F" w:rsidRDefault="001B40E2" w:rsidP="007576D2">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Так же, не зарегистрировано </w:t>
      </w:r>
      <w:proofErr w:type="gramStart"/>
      <w:r w:rsidRPr="0013502F">
        <w:rPr>
          <w:rFonts w:ascii="Times New Roman" w:eastAsia="Times New Roman" w:hAnsi="Times New Roman" w:cs="Times New Roman"/>
          <w:sz w:val="28"/>
          <w:szCs w:val="28"/>
          <w:lang w:eastAsia="ru-RU"/>
        </w:rPr>
        <w:t>преступлений</w:t>
      </w:r>
      <w:proofErr w:type="gramEnd"/>
      <w:r w:rsidRPr="0013502F">
        <w:rPr>
          <w:rFonts w:ascii="Times New Roman" w:eastAsia="Times New Roman" w:hAnsi="Times New Roman" w:cs="Times New Roman"/>
          <w:sz w:val="28"/>
          <w:szCs w:val="28"/>
          <w:lang w:eastAsia="ru-RU"/>
        </w:rPr>
        <w:t xml:space="preserve"> связанных с проявлениями национального и религиозного экстремизма, а также террористического характера.  </w:t>
      </w:r>
    </w:p>
    <w:p w14:paraId="2EF7376E" w14:textId="77777777" w:rsidR="00FC488B" w:rsidRPr="0013502F" w:rsidRDefault="00FC488B" w:rsidP="00527456">
      <w:pPr>
        <w:widowControl w:val="0"/>
        <w:spacing w:after="0" w:line="240" w:lineRule="auto"/>
        <w:ind w:firstLine="709"/>
        <w:jc w:val="both"/>
        <w:rPr>
          <w:rFonts w:ascii="Times New Roman" w:eastAsia="Times New Roman" w:hAnsi="Times New Roman" w:cs="Times New Roman"/>
          <w:b/>
          <w:i/>
          <w:sz w:val="28"/>
          <w:szCs w:val="28"/>
          <w:lang w:eastAsia="ru-RU"/>
        </w:rPr>
      </w:pPr>
    </w:p>
    <w:p w14:paraId="5D1644CF" w14:textId="77777777" w:rsidR="00AA7E3E" w:rsidRPr="0013502F" w:rsidRDefault="00ED5E9A" w:rsidP="00527456">
      <w:pPr>
        <w:pStyle w:val="aa"/>
        <w:widowControl w:val="0"/>
        <w:numPr>
          <w:ilvl w:val="1"/>
          <w:numId w:val="1"/>
        </w:numPr>
        <w:spacing w:after="0" w:line="240" w:lineRule="auto"/>
        <w:ind w:left="0" w:firstLine="709"/>
        <w:rPr>
          <w:rFonts w:ascii="Times New Roman" w:eastAsia="Times New Roman" w:hAnsi="Times New Roman" w:cs="Times New Roman"/>
          <w:b/>
          <w:sz w:val="28"/>
          <w:szCs w:val="28"/>
          <w:lang w:eastAsia="ru-RU"/>
        </w:rPr>
      </w:pPr>
      <w:bookmarkStart w:id="4" w:name="_2.14._Организация_и"/>
      <w:bookmarkEnd w:id="4"/>
      <w:r w:rsidRPr="0013502F">
        <w:rPr>
          <w:rFonts w:ascii="Times New Roman" w:eastAsia="Times New Roman" w:hAnsi="Times New Roman" w:cs="Times New Roman"/>
          <w:b/>
          <w:bCs/>
          <w:sz w:val="28"/>
          <w:szCs w:val="28"/>
          <w:lang w:eastAsia="x-none"/>
        </w:rPr>
        <w:t>Состояние жилищного фонда</w:t>
      </w:r>
    </w:p>
    <w:p w14:paraId="3A5AAED6" w14:textId="77777777" w:rsidR="00DD0384" w:rsidRPr="0013502F" w:rsidRDefault="00DD0384" w:rsidP="00527456">
      <w:pPr>
        <w:spacing w:after="0" w:line="240" w:lineRule="auto"/>
        <w:ind w:firstLine="709"/>
        <w:jc w:val="both"/>
        <w:rPr>
          <w:rFonts w:ascii="Times New Roman" w:eastAsia="Times New Roman" w:hAnsi="Times New Roman" w:cs="Times New Roman"/>
          <w:sz w:val="28"/>
          <w:szCs w:val="28"/>
          <w:lang w:eastAsia="ru-RU"/>
        </w:rPr>
      </w:pPr>
    </w:p>
    <w:p w14:paraId="43F22853"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Основными задачами деятельности Администрации города Ханты-Мансийска в сфере жилищно-коммунального хозяйства являются повышение уровня и качества предоставления жилищно-коммунальных услуг, улучшение условий проживания населения.</w:t>
      </w:r>
    </w:p>
    <w:p w14:paraId="3C01D729"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рамках Закона Ханты-Мансийского автономного округа - Югры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в 2016 году продолжено проведение инвентаризации многоквартирных домов, расположенных на территории города. Собираемость обязательных взносов на капитальный ремонт по итогам 2016 года составила 90,9% (в 2015 году - 90,9%), что на 24,2% больше, чем в среднем по Югре.</w:t>
      </w:r>
    </w:p>
    <w:p w14:paraId="2DA82606"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2016 году выполнялись работы по капитальному ремонту (ремонт инженерных сетей теплоснабжения, водоснабжения, водоотведения, электроснабжения, кровель, мест общего пользования, входных групп, несущих перекрытий, а также обшив и утепление) 73 многоквартирных домов на общую стоимость работ 103,6 млн. рублей.</w:t>
      </w:r>
    </w:p>
    <w:p w14:paraId="26C77DC3"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соответствии с постановлением Администрации города Ханты-Мансийска от 09.08.2012 №947 в 2016 году на условиях </w:t>
      </w:r>
      <w:proofErr w:type="spellStart"/>
      <w:r w:rsidRPr="0013502F">
        <w:rPr>
          <w:rFonts w:ascii="Times New Roman" w:eastAsia="Times New Roman" w:hAnsi="Times New Roman" w:cs="Times New Roman"/>
          <w:sz w:val="28"/>
          <w:szCs w:val="28"/>
          <w:lang w:eastAsia="ru-RU"/>
        </w:rPr>
        <w:t>софинансирования</w:t>
      </w:r>
      <w:proofErr w:type="spellEnd"/>
      <w:r w:rsidRPr="0013502F">
        <w:rPr>
          <w:rFonts w:ascii="Times New Roman" w:eastAsia="Times New Roman" w:hAnsi="Times New Roman" w:cs="Times New Roman"/>
          <w:sz w:val="28"/>
          <w:szCs w:val="28"/>
          <w:lang w:eastAsia="ru-RU"/>
        </w:rPr>
        <w:t xml:space="preserve"> произведен капитальный ремонт 3 многоквартирных домов: ул. Калинина, д.48; ул. Зырянова, д.24; ул.</w:t>
      </w:r>
      <w:r w:rsidR="00DB3D5C" w:rsidRPr="0013502F">
        <w:rPr>
          <w:rFonts w:ascii="Times New Roman" w:eastAsia="Times New Roman" w:hAnsi="Times New Roman" w:cs="Times New Roman"/>
          <w:sz w:val="28"/>
          <w:szCs w:val="28"/>
          <w:lang w:eastAsia="ru-RU"/>
        </w:rPr>
        <w:t xml:space="preserve"> </w:t>
      </w:r>
      <w:r w:rsidRPr="0013502F">
        <w:rPr>
          <w:rFonts w:ascii="Times New Roman" w:eastAsia="Times New Roman" w:hAnsi="Times New Roman" w:cs="Times New Roman"/>
          <w:sz w:val="28"/>
          <w:szCs w:val="28"/>
          <w:lang w:eastAsia="ru-RU"/>
        </w:rPr>
        <w:t>Строителей, д.79.</w:t>
      </w:r>
    </w:p>
    <w:p w14:paraId="4E30638D"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Проведен капитальный ремонт 97 муниципальных квартир на общую сумму 15057,6 тыс. рублей.</w:t>
      </w:r>
    </w:p>
    <w:p w14:paraId="3167FD87"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целях исполнения действующего законодательства приемка выполнения работ по капитальному ремонту осуществлялась при обязательном участии Общественного совета при Главе Администрации города Ханты-Мансийска по вопросам жилищно-коммунального хозяйства.</w:t>
      </w:r>
    </w:p>
    <w:p w14:paraId="7D75EDB2"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2016 году изменился состав Общественного совета при Главе Администрации города Ханты-Мансийска по вопросам ЖКХ: общее количество членов Общественного совета сократилось с 25 до 15 человек, основную долю составили председатели Советов многоквартирных домов, активные жильцы.</w:t>
      </w:r>
    </w:p>
    <w:p w14:paraId="302CB4B6"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2016 году представителями Общественного совета при Главе Администрации города Ханты-Мансийска по вопросам жилищно-коммунального хозяйства, проведено 4 заседания, на которых заслушаны доклады и отчеты органов Администрации города Ханты-Мансийска. </w:t>
      </w:r>
    </w:p>
    <w:p w14:paraId="3E1D6516"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По результатам учета многоквартирных домов на 31.12.2016 число многоквартирных домов составляло 1171 единицы (в 2015 году - 1163 ед.) общей площадью жилых помещений 1774 тыс. </w:t>
      </w:r>
      <w:proofErr w:type="spellStart"/>
      <w:r w:rsidRPr="0013502F">
        <w:rPr>
          <w:rFonts w:ascii="Times New Roman" w:eastAsia="Times New Roman" w:hAnsi="Times New Roman" w:cs="Times New Roman"/>
          <w:sz w:val="28"/>
          <w:szCs w:val="28"/>
          <w:lang w:eastAsia="ru-RU"/>
        </w:rPr>
        <w:t>кв.м</w:t>
      </w:r>
      <w:proofErr w:type="spellEnd"/>
      <w:r w:rsidRPr="0013502F">
        <w:rPr>
          <w:rFonts w:ascii="Times New Roman" w:eastAsia="Times New Roman" w:hAnsi="Times New Roman" w:cs="Times New Roman"/>
          <w:sz w:val="28"/>
          <w:szCs w:val="28"/>
          <w:lang w:eastAsia="ru-RU"/>
        </w:rPr>
        <w:t xml:space="preserve"> (в 2015 году - 1676,9 тыс. </w:t>
      </w:r>
      <w:proofErr w:type="spellStart"/>
      <w:r w:rsidRPr="0013502F">
        <w:rPr>
          <w:rFonts w:ascii="Times New Roman" w:eastAsia="Times New Roman" w:hAnsi="Times New Roman" w:cs="Times New Roman"/>
          <w:sz w:val="28"/>
          <w:szCs w:val="28"/>
          <w:lang w:eastAsia="ru-RU"/>
        </w:rPr>
        <w:t>кв.м</w:t>
      </w:r>
      <w:proofErr w:type="spellEnd"/>
      <w:r w:rsidRPr="0013502F">
        <w:rPr>
          <w:rFonts w:ascii="Times New Roman" w:eastAsia="Times New Roman" w:hAnsi="Times New Roman" w:cs="Times New Roman"/>
          <w:sz w:val="28"/>
          <w:szCs w:val="28"/>
          <w:lang w:eastAsia="ru-RU"/>
        </w:rPr>
        <w:t>).</w:t>
      </w:r>
    </w:p>
    <w:p w14:paraId="08BBD4F6"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Из общего количества многоквартирных домов, в перечень домов, находящихся под управлением лицензированными управляющими организациями, вошло 264 дома, из них 96 многоквартирных домов находится в управлении муниципального предприятия «Жилищно-коммунальное управление».</w:t>
      </w:r>
    </w:p>
    <w:p w14:paraId="28E59E49"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2016 году количество имеющих лицензии на осуществление предпринимательской деятельности по управлению многоквартирными домами управляющих организаций города Ханты-Мансийска составило 19, в том числе получили лицензии 4 новые управляющие организации (ООО «СТРОЙИНЖИНЕРИНГ», ООО УК «Уютный дом», ООО «Иртыш плюс», ООО «Мегаполис+»).  Также в городе Ханты-Мансийске было зарегистрировано новое ТСЖ «Красноармейская 26».</w:t>
      </w:r>
    </w:p>
    <w:p w14:paraId="0BF623D9"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течение 2016 года подготовлена конкурсная документация на проведение открытых конкурсов по отбору управляющей организации для 21 многоквартирного жилого дома, проведено 13 открытых конкурсов по отбору управляющей организации для управления 19 многоквартирными домами в городе Ханты-Мансийске. По 2 многоквартирным домам, расположенным по адресу: </w:t>
      </w:r>
      <w:proofErr w:type="spellStart"/>
      <w:r w:rsidRPr="0013502F">
        <w:rPr>
          <w:rFonts w:ascii="Times New Roman" w:eastAsia="Times New Roman" w:hAnsi="Times New Roman" w:cs="Times New Roman"/>
          <w:sz w:val="28"/>
          <w:szCs w:val="28"/>
          <w:lang w:eastAsia="ru-RU"/>
        </w:rPr>
        <w:t>г.Ханты-Мансийск</w:t>
      </w:r>
      <w:proofErr w:type="spellEnd"/>
      <w:r w:rsidRPr="0013502F">
        <w:rPr>
          <w:rFonts w:ascii="Times New Roman" w:eastAsia="Times New Roman" w:hAnsi="Times New Roman" w:cs="Times New Roman"/>
          <w:sz w:val="28"/>
          <w:szCs w:val="28"/>
          <w:lang w:eastAsia="ru-RU"/>
        </w:rPr>
        <w:t xml:space="preserve">, </w:t>
      </w:r>
      <w:proofErr w:type="spellStart"/>
      <w:r w:rsidRPr="0013502F">
        <w:rPr>
          <w:rFonts w:ascii="Times New Roman" w:eastAsia="Times New Roman" w:hAnsi="Times New Roman" w:cs="Times New Roman"/>
          <w:sz w:val="28"/>
          <w:szCs w:val="28"/>
          <w:lang w:eastAsia="ru-RU"/>
        </w:rPr>
        <w:t>ул.Гагарина</w:t>
      </w:r>
      <w:proofErr w:type="spellEnd"/>
      <w:r w:rsidRPr="0013502F">
        <w:rPr>
          <w:rFonts w:ascii="Times New Roman" w:eastAsia="Times New Roman" w:hAnsi="Times New Roman" w:cs="Times New Roman"/>
          <w:sz w:val="28"/>
          <w:szCs w:val="28"/>
          <w:lang w:eastAsia="ru-RU"/>
        </w:rPr>
        <w:t xml:space="preserve">, д.35 и </w:t>
      </w:r>
      <w:proofErr w:type="spellStart"/>
      <w:r w:rsidRPr="0013502F">
        <w:rPr>
          <w:rFonts w:ascii="Times New Roman" w:eastAsia="Times New Roman" w:hAnsi="Times New Roman" w:cs="Times New Roman"/>
          <w:sz w:val="28"/>
          <w:szCs w:val="28"/>
          <w:lang w:eastAsia="ru-RU"/>
        </w:rPr>
        <w:t>ул.Энгельса</w:t>
      </w:r>
      <w:proofErr w:type="spellEnd"/>
      <w:r w:rsidRPr="0013502F">
        <w:rPr>
          <w:rFonts w:ascii="Times New Roman" w:eastAsia="Times New Roman" w:hAnsi="Times New Roman" w:cs="Times New Roman"/>
          <w:sz w:val="28"/>
          <w:szCs w:val="28"/>
          <w:lang w:eastAsia="ru-RU"/>
        </w:rPr>
        <w:t>, д.58, конкурс не состоялся по причине реализации права собственников по выбору способа управления и управляющей организации.</w:t>
      </w:r>
    </w:p>
    <w:p w14:paraId="7CCA00B0" w14:textId="77777777" w:rsidR="00D73758" w:rsidRPr="0013502F" w:rsidRDefault="00D73758" w:rsidP="00527456">
      <w:pPr>
        <w:spacing w:after="0" w:line="240" w:lineRule="auto"/>
        <w:ind w:firstLine="709"/>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Впервые был проведен смотр-конкурс среди управляющих организаций и ТСЖ на звание «Образцовый дом» и «Лучшая управляющая организация», по результатам которого победителями стали: в первой номинации -  ТСЖ «Наш дом» (</w:t>
      </w:r>
      <w:proofErr w:type="spellStart"/>
      <w:r w:rsidRPr="0013502F">
        <w:rPr>
          <w:rFonts w:ascii="Times New Roman" w:eastAsia="Times New Roman" w:hAnsi="Times New Roman" w:cs="Times New Roman"/>
          <w:sz w:val="28"/>
          <w:szCs w:val="28"/>
          <w:lang w:eastAsia="ru-RU"/>
        </w:rPr>
        <w:t>ул.Дзержинского</w:t>
      </w:r>
      <w:proofErr w:type="spellEnd"/>
      <w:r w:rsidRPr="0013502F">
        <w:rPr>
          <w:rFonts w:ascii="Times New Roman" w:eastAsia="Times New Roman" w:hAnsi="Times New Roman" w:cs="Times New Roman"/>
          <w:sz w:val="28"/>
          <w:szCs w:val="28"/>
          <w:lang w:eastAsia="ru-RU"/>
        </w:rPr>
        <w:t>, д.25), во второй – МП «Водоканал».</w:t>
      </w:r>
    </w:p>
    <w:p w14:paraId="6C895D5D" w14:textId="77777777" w:rsidR="00313FFC" w:rsidRPr="0013502F" w:rsidRDefault="00D73758" w:rsidP="00527456">
      <w:pPr>
        <w:spacing w:after="0" w:line="240" w:lineRule="auto"/>
        <w:ind w:firstLine="709"/>
        <w:jc w:val="both"/>
        <w:rPr>
          <w:rFonts w:ascii="Times New Roman" w:eastAsia="Calibri" w:hAnsi="Times New Roman" w:cs="Times New Roman"/>
          <w:sz w:val="28"/>
          <w:szCs w:val="28"/>
        </w:rPr>
      </w:pPr>
      <w:r w:rsidRPr="0013502F">
        <w:rPr>
          <w:rFonts w:ascii="Times New Roman" w:eastAsia="Times New Roman" w:hAnsi="Times New Roman" w:cs="Times New Roman"/>
          <w:sz w:val="28"/>
          <w:szCs w:val="28"/>
          <w:lang w:eastAsia="ru-RU"/>
        </w:rPr>
        <w:t>Оснащенность общедомовыми приборами учета по всем коммунальным услугам (тепло, вода, свет) составляет 100%.</w:t>
      </w:r>
    </w:p>
    <w:p w14:paraId="6CCFBBAF" w14:textId="77777777" w:rsidR="0019483D" w:rsidRPr="0013502F" w:rsidRDefault="0019483D" w:rsidP="00527456">
      <w:pPr>
        <w:spacing w:after="0" w:line="240" w:lineRule="auto"/>
        <w:ind w:firstLine="709"/>
        <w:jc w:val="center"/>
        <w:rPr>
          <w:rFonts w:ascii="Times New Roman" w:eastAsia="Calibri" w:hAnsi="Times New Roman" w:cs="Times New Roman"/>
          <w:b/>
          <w:sz w:val="28"/>
          <w:szCs w:val="28"/>
        </w:rPr>
      </w:pPr>
    </w:p>
    <w:p w14:paraId="78600F00" w14:textId="77777777" w:rsidR="00313FFC" w:rsidRPr="0013502F" w:rsidRDefault="00313FFC" w:rsidP="00527456">
      <w:pPr>
        <w:spacing w:after="0" w:line="240" w:lineRule="auto"/>
        <w:ind w:firstLine="709"/>
        <w:jc w:val="center"/>
        <w:rPr>
          <w:rFonts w:ascii="Times New Roman" w:eastAsia="Calibri" w:hAnsi="Times New Roman" w:cs="Times New Roman"/>
          <w:b/>
          <w:sz w:val="28"/>
          <w:szCs w:val="28"/>
        </w:rPr>
      </w:pPr>
      <w:r w:rsidRPr="0013502F">
        <w:rPr>
          <w:rFonts w:ascii="Times New Roman" w:eastAsia="Calibri" w:hAnsi="Times New Roman" w:cs="Times New Roman"/>
          <w:b/>
          <w:sz w:val="28"/>
          <w:szCs w:val="28"/>
        </w:rPr>
        <w:t>Водоснабжение и водоотведение</w:t>
      </w:r>
    </w:p>
    <w:p w14:paraId="182C5888" w14:textId="77777777" w:rsidR="00D73758" w:rsidRPr="0013502F" w:rsidRDefault="00D73758" w:rsidP="00527456">
      <w:pPr>
        <w:spacing w:after="0" w:line="240" w:lineRule="auto"/>
        <w:ind w:firstLine="709"/>
        <w:jc w:val="center"/>
        <w:rPr>
          <w:rFonts w:ascii="Times New Roman" w:eastAsia="Calibri" w:hAnsi="Times New Roman" w:cs="Times New Roman"/>
          <w:b/>
          <w:sz w:val="28"/>
          <w:szCs w:val="28"/>
        </w:rPr>
      </w:pPr>
    </w:p>
    <w:p w14:paraId="784D11AD" w14:textId="77777777" w:rsidR="00D73758" w:rsidRPr="0013502F" w:rsidRDefault="00D73758" w:rsidP="00527456">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Организацией, осуществляющей деятельность в области водоснабжения и водоотведения на территории города, является Муниципальное </w:t>
      </w:r>
      <w:proofErr w:type="spellStart"/>
      <w:r w:rsidRPr="0013502F">
        <w:rPr>
          <w:rFonts w:ascii="Times New Roman" w:eastAsia="Calibri" w:hAnsi="Times New Roman" w:cs="Times New Roman"/>
          <w:sz w:val="28"/>
          <w:szCs w:val="28"/>
        </w:rPr>
        <w:t>водоканализационное</w:t>
      </w:r>
      <w:proofErr w:type="spellEnd"/>
      <w:r w:rsidRPr="0013502F">
        <w:rPr>
          <w:rFonts w:ascii="Times New Roman" w:eastAsia="Calibri" w:hAnsi="Times New Roman" w:cs="Times New Roman"/>
          <w:sz w:val="28"/>
          <w:szCs w:val="28"/>
        </w:rPr>
        <w:t xml:space="preserve"> предприятие (далее – МП «Водоканал»).</w:t>
      </w:r>
    </w:p>
    <w:p w14:paraId="3FAC037F" w14:textId="77777777" w:rsidR="00D73758" w:rsidRPr="0013502F" w:rsidRDefault="00D73758" w:rsidP="00527456">
      <w:pPr>
        <w:suppressAutoHyphens/>
        <w:spacing w:after="0" w:line="240" w:lineRule="auto"/>
        <w:ind w:right="142" w:firstLine="709"/>
        <w:jc w:val="both"/>
        <w:rPr>
          <w:rFonts w:ascii="Times New Roman" w:eastAsia="Arial Unicode MS" w:hAnsi="Times New Roman" w:cs="Times New Roman"/>
          <w:kern w:val="2"/>
          <w:sz w:val="28"/>
          <w:szCs w:val="28"/>
          <w:lang w:eastAsia="hi-IN" w:bidi="hi-IN"/>
        </w:rPr>
      </w:pPr>
      <w:r w:rsidRPr="0013502F">
        <w:rPr>
          <w:rFonts w:ascii="Times New Roman" w:eastAsia="Arial Unicode MS" w:hAnsi="Times New Roman" w:cs="Times New Roman"/>
          <w:kern w:val="2"/>
          <w:sz w:val="28"/>
          <w:szCs w:val="28"/>
          <w:lang w:eastAsia="hi-IN" w:bidi="hi-IN"/>
        </w:rPr>
        <w:t>Протяженность канализационных сетей по городу составляет 188,581 км, на балансе МП «Водоканал» находится 110,85 км (самотечных – 69,73км; напорных – 41,121 км).</w:t>
      </w:r>
    </w:p>
    <w:p w14:paraId="450EFD79" w14:textId="77777777" w:rsidR="00D73758" w:rsidRPr="0013502F" w:rsidRDefault="00D73758" w:rsidP="00527456">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план по добыче воды выполнен на 94,2%. Объем поднятой воды составил 5387,68 тыс. куб. м/год или 14,72 тыс. куб. м/сутки. По данным 2016 года максимальный суточный объем добычи зафиксирован в ноябре месяце – 17,62 тыс. куб. м/сутки, а минимальный суточный объем в июле составил 9,79 тыс. куб. м/сутки, что не превышает разрешенный лицензированный отбор.</w:t>
      </w:r>
    </w:p>
    <w:p w14:paraId="6B1ED8BB" w14:textId="77777777" w:rsidR="00D73758" w:rsidRPr="0013502F" w:rsidRDefault="00D73758" w:rsidP="00527456">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Общее количество скважин насосной станции первого подъема на водозаборе составляет 19 скважин, из них 11 – действующих (10 высокодебитные и 1 резервная), 8 – наблюдательных.</w:t>
      </w:r>
    </w:p>
    <w:p w14:paraId="196D6C9B" w14:textId="77777777" w:rsidR="00906DAD" w:rsidRPr="0013502F" w:rsidRDefault="00906DAD" w:rsidP="00527456">
      <w:pPr>
        <w:spacing w:after="0" w:line="240" w:lineRule="auto"/>
        <w:ind w:right="142" w:firstLine="709"/>
        <w:jc w:val="right"/>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sz w:val="28"/>
          <w:szCs w:val="28"/>
        </w:rPr>
        <w:t xml:space="preserve">Рисунок </w:t>
      </w:r>
      <w:r w:rsidR="00527456">
        <w:rPr>
          <w:rFonts w:ascii="Times New Roman" w:eastAsia="Calibri" w:hAnsi="Times New Roman" w:cs="Times New Roman"/>
          <w:sz w:val="28"/>
          <w:szCs w:val="28"/>
        </w:rPr>
        <w:t>5</w:t>
      </w:r>
    </w:p>
    <w:p w14:paraId="15EC34BA" w14:textId="77777777" w:rsidR="007948DE" w:rsidRPr="0013502F" w:rsidRDefault="007948DE" w:rsidP="00527456">
      <w:pPr>
        <w:spacing w:after="0" w:line="240" w:lineRule="auto"/>
        <w:ind w:firstLine="709"/>
        <w:jc w:val="both"/>
        <w:rPr>
          <w:rFonts w:ascii="Times New Roman" w:eastAsia="Calibri" w:hAnsi="Times New Roman" w:cs="Times New Roman"/>
          <w:bCs/>
          <w:kern w:val="1"/>
          <w:sz w:val="28"/>
          <w:szCs w:val="28"/>
          <w:lang w:eastAsia="hi-IN" w:bidi="hi-IN"/>
        </w:rPr>
      </w:pPr>
    </w:p>
    <w:p w14:paraId="21AF82D0" w14:textId="77777777" w:rsidR="000722F0" w:rsidRPr="0013502F" w:rsidRDefault="00D73758" w:rsidP="00527456">
      <w:pPr>
        <w:spacing w:after="0" w:line="240" w:lineRule="auto"/>
        <w:ind w:firstLine="709"/>
        <w:jc w:val="both"/>
        <w:rPr>
          <w:rFonts w:ascii="Times New Roman" w:eastAsia="Calibri" w:hAnsi="Times New Roman" w:cs="Times New Roman"/>
          <w:bCs/>
          <w:kern w:val="1"/>
          <w:sz w:val="28"/>
          <w:szCs w:val="28"/>
          <w:lang w:eastAsia="hi-IN" w:bidi="hi-IN"/>
        </w:rPr>
      </w:pPr>
      <w:r w:rsidRPr="0013502F">
        <w:rPr>
          <w:rFonts w:ascii="Times New Roman" w:eastAsia="Arial Unicode MS" w:hAnsi="Times New Roman"/>
          <w:noProof/>
          <w:kern w:val="2"/>
          <w:sz w:val="28"/>
          <w:szCs w:val="28"/>
          <w:lang w:eastAsia="ru-RU"/>
        </w:rPr>
        <w:drawing>
          <wp:inline distT="0" distB="0" distL="0" distR="0" wp14:anchorId="430A89AB" wp14:editId="06503287">
            <wp:extent cx="5915771" cy="2425147"/>
            <wp:effectExtent l="0" t="0" r="0" b="0"/>
            <wp:docPr id="44"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3A24BA" w14:textId="77777777" w:rsidR="0087375B" w:rsidRPr="0013502F" w:rsidRDefault="0087375B" w:rsidP="00527456">
      <w:pPr>
        <w:spacing w:after="0" w:line="240" w:lineRule="auto"/>
        <w:ind w:firstLine="709"/>
        <w:jc w:val="both"/>
        <w:rPr>
          <w:rFonts w:ascii="Times New Roman" w:eastAsia="Calibri" w:hAnsi="Times New Roman" w:cs="Times New Roman"/>
          <w:bCs/>
          <w:kern w:val="1"/>
          <w:sz w:val="28"/>
          <w:szCs w:val="28"/>
          <w:lang w:eastAsia="hi-IN" w:bidi="hi-IN"/>
        </w:rPr>
      </w:pPr>
    </w:p>
    <w:p w14:paraId="029FD222" w14:textId="77777777" w:rsidR="000722F0" w:rsidRPr="0013502F" w:rsidRDefault="000722F0" w:rsidP="00527456">
      <w:pPr>
        <w:spacing w:after="0" w:line="240" w:lineRule="auto"/>
        <w:ind w:firstLine="709"/>
        <w:jc w:val="both"/>
        <w:rPr>
          <w:rFonts w:ascii="Times New Roman" w:eastAsia="Calibri" w:hAnsi="Times New Roman" w:cs="Times New Roman"/>
          <w:bCs/>
          <w:kern w:val="1"/>
          <w:sz w:val="28"/>
          <w:szCs w:val="28"/>
          <w:lang w:eastAsia="hi-IN" w:bidi="hi-IN"/>
        </w:rPr>
      </w:pPr>
    </w:p>
    <w:p w14:paraId="484D1EAB"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Объем подачи питьевой воды в 2016 году составил 5149,035 тыс. куб. м/год, что в среднесуточном выражении составляет 14,06 тыс. куб. м/сутки.</w:t>
      </w:r>
    </w:p>
    <w:p w14:paraId="519E686E"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 xml:space="preserve">В сравнении с 2015 годом объем подачи воды в 2016 году увеличился на 8,9% (2015 г- 4837,25 тыс.м3, 2016 г-5387,68 </w:t>
      </w:r>
      <w:proofErr w:type="gramStart"/>
      <w:r w:rsidRPr="0013502F">
        <w:rPr>
          <w:rFonts w:ascii="Times New Roman" w:eastAsia="Calibri" w:hAnsi="Times New Roman" w:cs="Times New Roman"/>
          <w:bCs/>
          <w:kern w:val="2"/>
          <w:sz w:val="28"/>
          <w:szCs w:val="28"/>
          <w:lang w:eastAsia="hi-IN" w:bidi="hi-IN"/>
        </w:rPr>
        <w:t>тыс.м3 )</w:t>
      </w:r>
      <w:proofErr w:type="gramEnd"/>
      <w:r w:rsidRPr="0013502F">
        <w:rPr>
          <w:rFonts w:ascii="Times New Roman" w:eastAsia="Calibri" w:hAnsi="Times New Roman" w:cs="Times New Roman"/>
          <w:bCs/>
          <w:kern w:val="2"/>
          <w:sz w:val="28"/>
          <w:szCs w:val="28"/>
          <w:lang w:eastAsia="hi-IN" w:bidi="hi-IN"/>
        </w:rPr>
        <w:t>.</w:t>
      </w:r>
    </w:p>
    <w:p w14:paraId="45191A6E"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Неучтенные потери питьевой воды от общего объема подачи воды в город в 2016 году составили –5,5% (261 тыс. куб. м/год) по сравнению с 2015 годом – 7,04% (365,56 тыс. куб. м/год) наблюдается снижение потерь на 28,6%.</w:t>
      </w:r>
    </w:p>
    <w:p w14:paraId="6F17B8F6"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В 2016 году построено водопроводных сетей общей протяженностью 2,11 км.</w:t>
      </w:r>
    </w:p>
    <w:p w14:paraId="7C1FAEBF"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 xml:space="preserve">В течение 2016 года предприятием </w:t>
      </w:r>
      <w:proofErr w:type="spellStart"/>
      <w:proofErr w:type="gramStart"/>
      <w:r w:rsidRPr="0013502F">
        <w:rPr>
          <w:rFonts w:ascii="Times New Roman" w:eastAsia="Calibri" w:hAnsi="Times New Roman" w:cs="Times New Roman"/>
          <w:bCs/>
          <w:kern w:val="2"/>
          <w:sz w:val="28"/>
          <w:szCs w:val="28"/>
          <w:lang w:eastAsia="hi-IN" w:bidi="hi-IN"/>
        </w:rPr>
        <w:t>МП«</w:t>
      </w:r>
      <w:proofErr w:type="gramEnd"/>
      <w:r w:rsidRPr="0013502F">
        <w:rPr>
          <w:rFonts w:ascii="Times New Roman" w:eastAsia="Calibri" w:hAnsi="Times New Roman" w:cs="Times New Roman"/>
          <w:bCs/>
          <w:kern w:val="2"/>
          <w:sz w:val="28"/>
          <w:szCs w:val="28"/>
          <w:lang w:eastAsia="hi-IN" w:bidi="hi-IN"/>
        </w:rPr>
        <w:t>Водоканал</w:t>
      </w:r>
      <w:proofErr w:type="spellEnd"/>
      <w:r w:rsidRPr="0013502F">
        <w:rPr>
          <w:rFonts w:ascii="Times New Roman" w:eastAsia="Calibri" w:hAnsi="Times New Roman" w:cs="Times New Roman"/>
          <w:bCs/>
          <w:kern w:val="2"/>
          <w:sz w:val="28"/>
          <w:szCs w:val="28"/>
          <w:lang w:eastAsia="hi-IN" w:bidi="hi-IN"/>
        </w:rPr>
        <w:t>» выполнены следующие мероприятия по поддержанию сетей водоснабжения в исправном состоянии:</w:t>
      </w:r>
    </w:p>
    <w:p w14:paraId="667FDF7A"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 ликвидированы 12,9% водоразборных колонок (4 единицы) в связи с переключением потребителей на централизованный водопровод;</w:t>
      </w:r>
    </w:p>
    <w:p w14:paraId="52AD4288"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 промыты 18 км. сетей водопровода и 20 км. сетей в стальном исполнении, проложенных совместно с тепловыми сетями;</w:t>
      </w:r>
    </w:p>
    <w:p w14:paraId="5BDE34DF"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 отремонтированы 93 водопроводных колодца;</w:t>
      </w:r>
    </w:p>
    <w:p w14:paraId="769F2434"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 произведена замена запорной арматуры диаметром до 200 мм. суммарным количеством 21 единица;</w:t>
      </w:r>
    </w:p>
    <w:p w14:paraId="523CCCE2" w14:textId="77777777" w:rsidR="00906DAD" w:rsidRPr="0013502F" w:rsidRDefault="00906DAD" w:rsidP="00527456">
      <w:pPr>
        <w:spacing w:after="0" w:line="240" w:lineRule="auto"/>
        <w:ind w:right="142" w:firstLine="567"/>
        <w:jc w:val="both"/>
        <w:rPr>
          <w:rFonts w:ascii="Times New Roman" w:eastAsia="Calibri" w:hAnsi="Times New Roman" w:cs="Times New Roman"/>
          <w:bCs/>
          <w:kern w:val="2"/>
          <w:sz w:val="28"/>
          <w:szCs w:val="28"/>
          <w:lang w:eastAsia="hi-IN" w:bidi="hi-IN"/>
        </w:rPr>
      </w:pPr>
      <w:r w:rsidRPr="0013502F">
        <w:rPr>
          <w:rFonts w:ascii="Times New Roman" w:eastAsia="Calibri" w:hAnsi="Times New Roman" w:cs="Times New Roman"/>
          <w:bCs/>
          <w:kern w:val="2"/>
          <w:sz w:val="28"/>
          <w:szCs w:val="28"/>
          <w:lang w:eastAsia="hi-IN" w:bidi="hi-IN"/>
        </w:rPr>
        <w:t>- выполнена замена 60 пожарных гидрантов нового образца со сроком эксплуатации до 30 лет;</w:t>
      </w:r>
    </w:p>
    <w:p w14:paraId="018CECD2" w14:textId="77777777" w:rsidR="00906DAD" w:rsidRPr="0013502F" w:rsidRDefault="00906DAD" w:rsidP="00527456">
      <w:pPr>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Calibri" w:hAnsi="Times New Roman" w:cs="Times New Roman"/>
          <w:bCs/>
          <w:kern w:val="2"/>
          <w:sz w:val="28"/>
          <w:szCs w:val="28"/>
          <w:lang w:eastAsia="hi-IN" w:bidi="hi-IN"/>
        </w:rPr>
        <w:t>- отремонтированы 3 пожарных гидранта, что составляет 0,5% от общего количества.</w:t>
      </w:r>
    </w:p>
    <w:p w14:paraId="1665EB4A" w14:textId="77777777" w:rsidR="00906DAD" w:rsidRPr="0013502F" w:rsidRDefault="00906DAD" w:rsidP="00527456">
      <w:pPr>
        <w:suppressAutoHyphens/>
        <w:spacing w:after="0" w:line="240" w:lineRule="auto"/>
        <w:ind w:right="142" w:firstLine="567"/>
        <w:jc w:val="both"/>
        <w:rPr>
          <w:rFonts w:ascii="Times New Roman" w:eastAsia="Arial Unicode MS" w:hAnsi="Times New Roman" w:cs="Times New Roman"/>
          <w:kern w:val="2"/>
          <w:sz w:val="28"/>
          <w:szCs w:val="28"/>
          <w:lang w:eastAsia="hi-IN" w:bidi="hi-IN"/>
        </w:rPr>
      </w:pPr>
      <w:r w:rsidRPr="0013502F">
        <w:rPr>
          <w:rFonts w:ascii="Times New Roman" w:eastAsia="Arial Unicode MS" w:hAnsi="Times New Roman" w:cs="Times New Roman"/>
          <w:kern w:val="2"/>
          <w:sz w:val="28"/>
          <w:szCs w:val="28"/>
          <w:lang w:eastAsia="hi-IN" w:bidi="hi-IN"/>
        </w:rPr>
        <w:t>В 2016 году фактический объем принятых, очищенных и сброшенных сточных вод составил 4 830,09 тыс. куб. м/год, среднесуточный приток равен 13,20 тыс. куб. м/сутки (среднечасовой 614,62 куб. м/час), что не превышает проектную производительность канализационно-очистных сооружений.</w:t>
      </w:r>
    </w:p>
    <w:p w14:paraId="5F0035CC" w14:textId="77777777" w:rsidR="00906DAD" w:rsidRPr="0013502F" w:rsidRDefault="00906DAD" w:rsidP="00527456">
      <w:pPr>
        <w:spacing w:after="0" w:line="240" w:lineRule="auto"/>
        <w:ind w:firstLine="709"/>
        <w:jc w:val="center"/>
        <w:rPr>
          <w:rFonts w:ascii="Times New Roman" w:eastAsia="Calibri" w:hAnsi="Times New Roman" w:cs="Times New Roman"/>
          <w:b/>
          <w:sz w:val="28"/>
          <w:szCs w:val="28"/>
        </w:rPr>
      </w:pPr>
    </w:p>
    <w:p w14:paraId="261CB621" w14:textId="77777777" w:rsidR="00313FFC" w:rsidRPr="0013502F" w:rsidRDefault="00313FFC" w:rsidP="00527456">
      <w:pPr>
        <w:spacing w:after="0" w:line="240" w:lineRule="auto"/>
        <w:ind w:firstLine="709"/>
        <w:jc w:val="center"/>
        <w:rPr>
          <w:rFonts w:ascii="Times New Roman" w:eastAsia="Calibri" w:hAnsi="Times New Roman" w:cs="Times New Roman"/>
          <w:b/>
          <w:sz w:val="28"/>
          <w:szCs w:val="28"/>
        </w:rPr>
      </w:pPr>
      <w:r w:rsidRPr="0013502F">
        <w:rPr>
          <w:rFonts w:ascii="Times New Roman" w:eastAsia="Calibri" w:hAnsi="Times New Roman" w:cs="Times New Roman"/>
          <w:b/>
          <w:sz w:val="28"/>
          <w:szCs w:val="28"/>
        </w:rPr>
        <w:t>Теплоснабжение</w:t>
      </w:r>
    </w:p>
    <w:p w14:paraId="3683D812" w14:textId="77777777" w:rsidR="00906DAD" w:rsidRPr="0013502F" w:rsidRDefault="00906DAD" w:rsidP="00527456">
      <w:pPr>
        <w:spacing w:after="0" w:line="240" w:lineRule="auto"/>
        <w:ind w:firstLine="709"/>
        <w:jc w:val="center"/>
        <w:rPr>
          <w:rFonts w:ascii="Times New Roman" w:eastAsia="Calibri" w:hAnsi="Times New Roman" w:cs="Times New Roman"/>
          <w:b/>
          <w:sz w:val="28"/>
          <w:szCs w:val="28"/>
        </w:rPr>
      </w:pPr>
    </w:p>
    <w:p w14:paraId="7B04FA56"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Обеспечение отоплением и горячим водоснабжением более 90% потребителей города осуществляется акционерным обществом «Управление теплоснабжения и инженерных сетей» (АО УТС).</w:t>
      </w:r>
    </w:p>
    <w:p w14:paraId="0904A03E"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Протяженность действующих сетей теплоснабжения города составляет 139 км. (2015 год – 138,3 км.), сетей горячего водоснабжения 22 км (2015 год – 21,3 км.).</w:t>
      </w:r>
    </w:p>
    <w:p w14:paraId="11842CB0"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Объем подачи тепловой энергии в 2016 году составил 483 536,5 Гкал (2015 год - 482 257,3 Гкал), что на 0,27 % больше аналогичного периода отопительного сезона 2014-2015 годов. </w:t>
      </w:r>
    </w:p>
    <w:p w14:paraId="16B31E54"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В 2016 году тепловая энергия производилась на 56 котельных (2015 год – 55 котельных), из них 48 котельных (2015 год – 47 котельных) оснащены системой диспетчерского контроля. Автоматизированная система диспетчерского контроля обеспечивает бесперебойную работу котельных установок без постоянного присутствия персонала на них. </w:t>
      </w:r>
    </w:p>
    <w:p w14:paraId="709F2D71"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В целях модернизации сетей теплоснабжения в 2016 году </w:t>
      </w:r>
      <w:proofErr w:type="gramStart"/>
      <w:r w:rsidRPr="0013502F">
        <w:rPr>
          <w:rFonts w:ascii="Times New Roman" w:eastAsia="Times New Roman" w:hAnsi="Times New Roman" w:cs="Times New Roman"/>
          <w:sz w:val="28"/>
          <w:szCs w:val="28"/>
          <w:lang w:eastAsia="zh-CN"/>
        </w:rPr>
        <w:t>направлено  средств</w:t>
      </w:r>
      <w:proofErr w:type="gramEnd"/>
      <w:r w:rsidRPr="0013502F">
        <w:rPr>
          <w:rFonts w:ascii="Times New Roman" w:eastAsia="Times New Roman" w:hAnsi="Times New Roman" w:cs="Times New Roman"/>
          <w:sz w:val="28"/>
          <w:szCs w:val="28"/>
          <w:lang w:eastAsia="zh-CN"/>
        </w:rPr>
        <w:t xml:space="preserve"> бюджета Ханты-Мансийского автономного округа – Югры в размере 50,13 млн. руб., что позволило выполнить ремонт сетей теплоснабжения и водоснабжения на общую сумму 90,10 млн. руб. по 27 адресам, в следующих объемах:</w:t>
      </w:r>
    </w:p>
    <w:p w14:paraId="259F3958"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замена ветхих (аварийных) сетей теплоснабжения 3,0315 км. (2015 год – 3,55 км.);</w:t>
      </w:r>
    </w:p>
    <w:p w14:paraId="6867B105"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замена сетей водоснабжения 2,003 км. (2015 – 1,5 км.);</w:t>
      </w:r>
    </w:p>
    <w:p w14:paraId="6CFEF4AA" w14:textId="77777777" w:rsidR="00906DAD" w:rsidRPr="0013502F" w:rsidRDefault="00906DAD" w:rsidP="00527456">
      <w:pPr>
        <w:suppressAutoHyphens/>
        <w:spacing w:after="0" w:line="240" w:lineRule="auto"/>
        <w:ind w:right="142" w:firstLine="567"/>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 замена сетей горячего водоснабжения 1,53 км. (в 2015 – 0,62 км.). </w:t>
      </w:r>
    </w:p>
    <w:p w14:paraId="2975B3BB" w14:textId="77777777" w:rsidR="009824C1" w:rsidRDefault="009824C1" w:rsidP="00527456">
      <w:pPr>
        <w:suppressAutoHyphens/>
        <w:spacing w:after="0" w:line="240" w:lineRule="auto"/>
        <w:ind w:firstLine="709"/>
        <w:jc w:val="right"/>
        <w:rPr>
          <w:rFonts w:ascii="Times New Roman" w:eastAsia="Arial Unicode MS" w:hAnsi="Times New Roman" w:cs="Times New Roman"/>
          <w:kern w:val="1"/>
          <w:sz w:val="28"/>
          <w:szCs w:val="28"/>
          <w:lang w:eastAsia="hi-IN" w:bidi="hi-IN"/>
        </w:rPr>
      </w:pPr>
    </w:p>
    <w:p w14:paraId="0BFD1486" w14:textId="77777777" w:rsidR="00313FFC" w:rsidRPr="0013502F" w:rsidRDefault="00906DAD" w:rsidP="00527456">
      <w:pPr>
        <w:suppressAutoHyphens/>
        <w:spacing w:after="0" w:line="240" w:lineRule="auto"/>
        <w:ind w:firstLine="709"/>
        <w:jc w:val="right"/>
        <w:rPr>
          <w:rFonts w:ascii="Times New Roman" w:eastAsia="Arial Unicode MS" w:hAnsi="Times New Roman" w:cs="Times New Roman"/>
          <w:kern w:val="1"/>
          <w:sz w:val="28"/>
          <w:szCs w:val="28"/>
          <w:lang w:eastAsia="hi-IN" w:bidi="hi-IN"/>
        </w:rPr>
      </w:pPr>
      <w:r w:rsidRPr="0013502F">
        <w:rPr>
          <w:rFonts w:ascii="Times New Roman" w:eastAsia="Arial Unicode MS" w:hAnsi="Times New Roman" w:cs="Times New Roman"/>
          <w:kern w:val="1"/>
          <w:sz w:val="28"/>
          <w:szCs w:val="28"/>
          <w:lang w:eastAsia="hi-IN" w:bidi="hi-IN"/>
        </w:rPr>
        <w:t>Рисунок</w:t>
      </w:r>
      <w:r w:rsidR="00313FFC" w:rsidRPr="0013502F">
        <w:rPr>
          <w:rFonts w:ascii="Times New Roman" w:eastAsia="Arial Unicode MS" w:hAnsi="Times New Roman" w:cs="Times New Roman"/>
          <w:kern w:val="1"/>
          <w:sz w:val="28"/>
          <w:szCs w:val="28"/>
          <w:lang w:eastAsia="hi-IN" w:bidi="hi-IN"/>
        </w:rPr>
        <w:t xml:space="preserve"> </w:t>
      </w:r>
      <w:r w:rsidR="00527456">
        <w:rPr>
          <w:rFonts w:ascii="Times New Roman" w:eastAsia="Arial Unicode MS" w:hAnsi="Times New Roman" w:cs="Times New Roman"/>
          <w:kern w:val="1"/>
          <w:sz w:val="28"/>
          <w:szCs w:val="28"/>
          <w:lang w:eastAsia="hi-IN" w:bidi="hi-IN"/>
        </w:rPr>
        <w:t>6</w:t>
      </w:r>
    </w:p>
    <w:p w14:paraId="009472AC" w14:textId="77777777" w:rsidR="00906DAD" w:rsidRPr="0013502F" w:rsidRDefault="00906DAD" w:rsidP="00527456">
      <w:pPr>
        <w:suppressAutoHyphens/>
        <w:spacing w:after="0" w:line="240" w:lineRule="auto"/>
        <w:ind w:firstLine="709"/>
        <w:jc w:val="center"/>
        <w:rPr>
          <w:rFonts w:ascii="Times New Roman" w:eastAsia="Arial Unicode MS" w:hAnsi="Times New Roman" w:cs="Times New Roman"/>
          <w:kern w:val="1"/>
          <w:sz w:val="28"/>
          <w:szCs w:val="28"/>
          <w:lang w:eastAsia="hi-IN" w:bidi="hi-IN"/>
        </w:rPr>
      </w:pPr>
      <w:r w:rsidRPr="0013502F">
        <w:rPr>
          <w:rFonts w:ascii="Times New Roman" w:eastAsia="Calibri" w:hAnsi="Times New Roman" w:cs="Times New Roman"/>
          <w:i/>
          <w:noProof/>
          <w:sz w:val="28"/>
          <w:szCs w:val="28"/>
          <w:lang w:eastAsia="ru-RU"/>
        </w:rPr>
        <w:drawing>
          <wp:inline distT="0" distB="0" distL="0" distR="0" wp14:anchorId="4DAF0A82" wp14:editId="4F32F02C">
            <wp:extent cx="4577861" cy="2571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6279" cy="2570861"/>
                    </a:xfrm>
                    <a:prstGeom prst="rect">
                      <a:avLst/>
                    </a:prstGeom>
                    <a:noFill/>
                    <a:ln>
                      <a:noFill/>
                    </a:ln>
                  </pic:spPr>
                </pic:pic>
              </a:graphicData>
            </a:graphic>
          </wp:inline>
        </w:drawing>
      </w:r>
    </w:p>
    <w:p w14:paraId="59FFF1BF" w14:textId="77777777" w:rsidR="00906DAD" w:rsidRPr="0013502F" w:rsidRDefault="00906DAD" w:rsidP="00527456">
      <w:pPr>
        <w:suppressAutoHyphens/>
        <w:spacing w:after="0" w:line="240" w:lineRule="auto"/>
        <w:ind w:firstLine="709"/>
        <w:jc w:val="center"/>
        <w:rPr>
          <w:rFonts w:ascii="Times New Roman" w:eastAsia="Arial Unicode MS" w:hAnsi="Times New Roman" w:cs="Times New Roman"/>
          <w:kern w:val="1"/>
          <w:sz w:val="28"/>
          <w:szCs w:val="28"/>
          <w:lang w:eastAsia="hi-IN" w:bidi="hi-IN"/>
        </w:rPr>
      </w:pPr>
    </w:p>
    <w:p w14:paraId="10314E5F" w14:textId="77777777" w:rsidR="00313FFC" w:rsidRPr="0013502F" w:rsidRDefault="00313FFC" w:rsidP="00527456">
      <w:pPr>
        <w:tabs>
          <w:tab w:val="left" w:pos="180"/>
        </w:tabs>
        <w:suppressAutoHyphens/>
        <w:spacing w:after="0" w:line="240" w:lineRule="auto"/>
        <w:ind w:firstLine="709"/>
        <w:jc w:val="center"/>
        <w:rPr>
          <w:rFonts w:ascii="Times New Roman" w:eastAsia="Calibri" w:hAnsi="Times New Roman" w:cs="Times New Roman"/>
          <w:b/>
          <w:sz w:val="28"/>
          <w:szCs w:val="28"/>
        </w:rPr>
      </w:pPr>
      <w:r w:rsidRPr="0013502F">
        <w:rPr>
          <w:rFonts w:ascii="Times New Roman" w:eastAsia="Calibri" w:hAnsi="Times New Roman" w:cs="Times New Roman"/>
          <w:b/>
          <w:sz w:val="28"/>
          <w:szCs w:val="28"/>
        </w:rPr>
        <w:t>Электроснабжение</w:t>
      </w:r>
    </w:p>
    <w:p w14:paraId="4E9850ED" w14:textId="77777777" w:rsidR="00906DAD" w:rsidRPr="0013502F" w:rsidRDefault="00906DAD" w:rsidP="00527456">
      <w:pPr>
        <w:tabs>
          <w:tab w:val="left" w:pos="180"/>
        </w:tabs>
        <w:suppressAutoHyphens/>
        <w:spacing w:after="0" w:line="240" w:lineRule="auto"/>
        <w:ind w:firstLine="709"/>
        <w:jc w:val="center"/>
        <w:rPr>
          <w:rFonts w:ascii="Times New Roman" w:eastAsia="Calibri" w:hAnsi="Times New Roman" w:cs="Times New Roman"/>
          <w:b/>
          <w:sz w:val="28"/>
          <w:szCs w:val="28"/>
        </w:rPr>
      </w:pPr>
    </w:p>
    <w:p w14:paraId="446579B3"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Электроснабжение города Ханты-Мансийска осуществляется от 4 подстанций (далее по тексту – ПС) (ПС «Ханты-Мансийская», ПС «Авангард», ПС «</w:t>
      </w:r>
      <w:proofErr w:type="spellStart"/>
      <w:r w:rsidRPr="0013502F">
        <w:rPr>
          <w:rFonts w:ascii="Times New Roman" w:eastAsia="Times New Roman" w:hAnsi="Times New Roman" w:cs="Times New Roman"/>
          <w:sz w:val="28"/>
          <w:szCs w:val="28"/>
          <w:lang w:eastAsia="zh-CN"/>
        </w:rPr>
        <w:t>Самарово</w:t>
      </w:r>
      <w:proofErr w:type="spellEnd"/>
      <w:r w:rsidRPr="0013502F">
        <w:rPr>
          <w:rFonts w:ascii="Times New Roman" w:eastAsia="Times New Roman" w:hAnsi="Times New Roman" w:cs="Times New Roman"/>
          <w:sz w:val="28"/>
          <w:szCs w:val="28"/>
          <w:lang w:eastAsia="zh-CN"/>
        </w:rPr>
        <w:t>», ПС «Западная»)</w:t>
      </w:r>
    </w:p>
    <w:p w14:paraId="03FAAD8F" w14:textId="77777777" w:rsidR="00906DAD" w:rsidRPr="0013502F" w:rsidRDefault="00906DAD" w:rsidP="00527456">
      <w:pPr>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В 2016 году аварийных технологических нарушений в системе электроснабжения города не зафиксировано. </w:t>
      </w:r>
    </w:p>
    <w:p w14:paraId="42E0FF25" w14:textId="77777777" w:rsidR="00906DAD" w:rsidRPr="0013502F" w:rsidRDefault="00906DAD" w:rsidP="00527456">
      <w:pPr>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В городе Ханты-Мансийске 352 шт. распределительных пунктов (далее – РП) и трансформаторных подстанций (далее – ТП). </w:t>
      </w:r>
    </w:p>
    <w:p w14:paraId="4CA9111F"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Times New Roman" w:hAnsi="Times New Roman" w:cs="Times New Roman"/>
          <w:sz w:val="28"/>
          <w:szCs w:val="28"/>
          <w:lang w:eastAsia="zh-CN"/>
        </w:rPr>
        <w:t xml:space="preserve">Общее количество отключений в сетях 10 кВт. в 2016 году сократилось на 16,6% и составило 35 отключений (2015 год - 42 отключений). </w:t>
      </w:r>
      <w:proofErr w:type="spellStart"/>
      <w:proofErr w:type="gramStart"/>
      <w:r w:rsidRPr="0013502F">
        <w:rPr>
          <w:rFonts w:ascii="Times New Roman" w:eastAsia="Times New Roman" w:hAnsi="Times New Roman" w:cs="Times New Roman"/>
          <w:sz w:val="28"/>
          <w:szCs w:val="28"/>
          <w:lang w:eastAsia="zh-CN"/>
        </w:rPr>
        <w:t>Недоотпуск</w:t>
      </w:r>
      <w:proofErr w:type="spellEnd"/>
      <w:r w:rsidRPr="0013502F">
        <w:rPr>
          <w:rFonts w:ascii="Times New Roman" w:eastAsia="Times New Roman" w:hAnsi="Times New Roman" w:cs="Times New Roman"/>
          <w:sz w:val="28"/>
          <w:szCs w:val="28"/>
          <w:lang w:eastAsia="zh-CN"/>
        </w:rPr>
        <w:t xml:space="preserve">  электроэнергии</w:t>
      </w:r>
      <w:proofErr w:type="gramEnd"/>
      <w:r w:rsidRPr="0013502F">
        <w:rPr>
          <w:rFonts w:ascii="Times New Roman" w:eastAsia="Times New Roman" w:hAnsi="Times New Roman" w:cs="Times New Roman"/>
          <w:sz w:val="28"/>
          <w:szCs w:val="28"/>
          <w:lang w:eastAsia="zh-CN"/>
        </w:rPr>
        <w:t xml:space="preserve"> из-за аварийных отключений уменьшился на 158 </w:t>
      </w:r>
      <w:proofErr w:type="spellStart"/>
      <w:r w:rsidRPr="0013502F">
        <w:rPr>
          <w:rFonts w:ascii="Times New Roman" w:eastAsia="Times New Roman" w:hAnsi="Times New Roman" w:cs="Times New Roman"/>
          <w:sz w:val="28"/>
          <w:szCs w:val="28"/>
          <w:lang w:eastAsia="zh-CN"/>
        </w:rPr>
        <w:t>тыс.кВт</w:t>
      </w:r>
      <w:proofErr w:type="spellEnd"/>
      <w:r w:rsidRPr="0013502F">
        <w:rPr>
          <w:rFonts w:ascii="Times New Roman" w:eastAsia="Times New Roman" w:hAnsi="Times New Roman" w:cs="Times New Roman"/>
          <w:sz w:val="28"/>
          <w:szCs w:val="28"/>
          <w:lang w:eastAsia="zh-CN"/>
        </w:rPr>
        <w:t>/час.</w:t>
      </w:r>
    </w:p>
    <w:p w14:paraId="0D02B492" w14:textId="77777777" w:rsidR="000722F0" w:rsidRPr="0013502F" w:rsidRDefault="000722F0" w:rsidP="00527456">
      <w:pPr>
        <w:tabs>
          <w:tab w:val="left" w:pos="180"/>
        </w:tabs>
        <w:suppressAutoHyphens/>
        <w:spacing w:after="0" w:line="240" w:lineRule="auto"/>
        <w:ind w:firstLine="709"/>
        <w:jc w:val="both"/>
        <w:rPr>
          <w:rFonts w:ascii="Times New Roman" w:eastAsia="Times New Roman" w:hAnsi="Times New Roman" w:cs="Times New Roman"/>
          <w:sz w:val="28"/>
          <w:szCs w:val="28"/>
          <w:lang w:eastAsia="zh-CN"/>
        </w:rPr>
      </w:pPr>
    </w:p>
    <w:p w14:paraId="3BD60481" w14:textId="77777777" w:rsidR="00313FFC" w:rsidRPr="0013502F" w:rsidRDefault="00313FFC" w:rsidP="00527456">
      <w:pPr>
        <w:widowControl w:val="0"/>
        <w:spacing w:after="0" w:line="240" w:lineRule="auto"/>
        <w:ind w:firstLine="709"/>
        <w:jc w:val="right"/>
        <w:rPr>
          <w:rFonts w:ascii="Times New Roman" w:eastAsia="Calibri" w:hAnsi="Times New Roman" w:cs="Times New Roman"/>
          <w:sz w:val="28"/>
          <w:szCs w:val="28"/>
        </w:rPr>
      </w:pPr>
      <w:r w:rsidRPr="0013502F">
        <w:rPr>
          <w:rFonts w:ascii="Times New Roman" w:eastAsia="Calibri" w:hAnsi="Times New Roman" w:cs="Times New Roman"/>
          <w:sz w:val="28"/>
          <w:szCs w:val="28"/>
        </w:rPr>
        <w:t>Р</w:t>
      </w:r>
      <w:r w:rsidR="00906DAD" w:rsidRPr="0013502F">
        <w:rPr>
          <w:rFonts w:ascii="Times New Roman" w:eastAsia="Calibri" w:hAnsi="Times New Roman" w:cs="Times New Roman"/>
          <w:sz w:val="28"/>
          <w:szCs w:val="28"/>
        </w:rPr>
        <w:t>исунок</w:t>
      </w:r>
      <w:r w:rsidRPr="0013502F">
        <w:rPr>
          <w:rFonts w:ascii="Times New Roman" w:eastAsia="Calibri" w:hAnsi="Times New Roman" w:cs="Times New Roman"/>
          <w:sz w:val="28"/>
          <w:szCs w:val="28"/>
        </w:rPr>
        <w:t xml:space="preserve"> </w:t>
      </w:r>
      <w:r w:rsidR="00527456">
        <w:rPr>
          <w:rFonts w:ascii="Times New Roman" w:eastAsia="Calibri" w:hAnsi="Times New Roman" w:cs="Times New Roman"/>
          <w:sz w:val="28"/>
          <w:szCs w:val="28"/>
        </w:rPr>
        <w:t>7</w:t>
      </w:r>
    </w:p>
    <w:p w14:paraId="1C779CEF" w14:textId="77777777" w:rsidR="00906DAD" w:rsidRPr="0013502F" w:rsidRDefault="00906DAD" w:rsidP="00527456">
      <w:pPr>
        <w:widowControl w:val="0"/>
        <w:spacing w:after="0" w:line="240" w:lineRule="auto"/>
        <w:ind w:firstLine="709"/>
        <w:jc w:val="center"/>
        <w:rPr>
          <w:rFonts w:ascii="Times New Roman" w:eastAsia="Calibri" w:hAnsi="Times New Roman" w:cs="Times New Roman"/>
          <w:sz w:val="28"/>
          <w:szCs w:val="28"/>
        </w:rPr>
      </w:pPr>
      <w:r w:rsidRPr="0013502F">
        <w:rPr>
          <w:rFonts w:ascii="Times New Roman" w:eastAsia="Calibri" w:hAnsi="Times New Roman" w:cs="Times New Roman"/>
          <w:noProof/>
          <w:sz w:val="28"/>
          <w:szCs w:val="28"/>
          <w:lang w:eastAsia="ru-RU"/>
        </w:rPr>
        <w:drawing>
          <wp:inline distT="0" distB="0" distL="0" distR="0" wp14:anchorId="7034A4BE" wp14:editId="2EA10848">
            <wp:extent cx="5514975" cy="27717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0988" cy="2779823"/>
                    </a:xfrm>
                    <a:prstGeom prst="rect">
                      <a:avLst/>
                    </a:prstGeom>
                    <a:noFill/>
                    <a:ln>
                      <a:noFill/>
                    </a:ln>
                  </pic:spPr>
                </pic:pic>
              </a:graphicData>
            </a:graphic>
          </wp:inline>
        </w:drawing>
      </w:r>
    </w:p>
    <w:p w14:paraId="33CC4F06" w14:textId="77777777" w:rsidR="00313FFC" w:rsidRPr="0013502F" w:rsidRDefault="00313FFC" w:rsidP="00527456">
      <w:pPr>
        <w:spacing w:after="0" w:line="240" w:lineRule="auto"/>
        <w:ind w:firstLine="709"/>
        <w:rPr>
          <w:rFonts w:ascii="Calibri" w:eastAsia="Calibri" w:hAnsi="Calibri" w:cs="Times New Roman"/>
        </w:rPr>
      </w:pPr>
    </w:p>
    <w:p w14:paraId="4000569F"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В связи с развитием города наблюдается непрерывный рост нагрузок в системе электроснабжения города Ханты–</w:t>
      </w:r>
      <w:proofErr w:type="spellStart"/>
      <w:r w:rsidRPr="0013502F">
        <w:rPr>
          <w:rFonts w:ascii="Times New Roman" w:eastAsia="Times New Roman" w:hAnsi="Times New Roman" w:cs="Times New Roman"/>
          <w:sz w:val="28"/>
          <w:szCs w:val="28"/>
          <w:lang w:eastAsia="zh-CN"/>
        </w:rPr>
        <w:t>Мансийска</w:t>
      </w:r>
      <w:proofErr w:type="spellEnd"/>
      <w:r w:rsidRPr="0013502F">
        <w:rPr>
          <w:rFonts w:ascii="Times New Roman" w:eastAsia="Times New Roman" w:hAnsi="Times New Roman" w:cs="Times New Roman"/>
          <w:sz w:val="28"/>
          <w:szCs w:val="28"/>
          <w:lang w:eastAsia="zh-CN"/>
        </w:rPr>
        <w:t xml:space="preserve">. Максимальная нагрузка в осенне-зимний период (далее – ОЗП) 2015-2016г.г. по отношению к ОЗП 2014-2015 </w:t>
      </w:r>
      <w:proofErr w:type="spellStart"/>
      <w:r w:rsidRPr="0013502F">
        <w:rPr>
          <w:rFonts w:ascii="Times New Roman" w:eastAsia="Times New Roman" w:hAnsi="Times New Roman" w:cs="Times New Roman"/>
          <w:sz w:val="28"/>
          <w:szCs w:val="28"/>
          <w:lang w:eastAsia="zh-CN"/>
        </w:rPr>
        <w:t>г.г</w:t>
      </w:r>
      <w:proofErr w:type="spellEnd"/>
      <w:r w:rsidRPr="0013502F">
        <w:rPr>
          <w:rFonts w:ascii="Times New Roman" w:eastAsia="Times New Roman" w:hAnsi="Times New Roman" w:cs="Times New Roman"/>
          <w:sz w:val="28"/>
          <w:szCs w:val="28"/>
          <w:lang w:eastAsia="zh-CN"/>
        </w:rPr>
        <w:t xml:space="preserve">. увеличилась на 4,2 МВт (+4,25%) и составила 98,6 МВт. (93,3 % разрешенной мощности). </w:t>
      </w:r>
    </w:p>
    <w:p w14:paraId="6807E980"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В 2016 году </w:t>
      </w:r>
      <w:proofErr w:type="gramStart"/>
      <w:r w:rsidRPr="0013502F">
        <w:rPr>
          <w:rFonts w:ascii="Times New Roman" w:eastAsia="Times New Roman" w:hAnsi="Times New Roman" w:cs="Times New Roman"/>
          <w:sz w:val="28"/>
          <w:szCs w:val="28"/>
          <w:lang w:eastAsia="zh-CN"/>
        </w:rPr>
        <w:t>построены  новые</w:t>
      </w:r>
      <w:proofErr w:type="gramEnd"/>
      <w:r w:rsidRPr="0013502F">
        <w:rPr>
          <w:rFonts w:ascii="Times New Roman" w:eastAsia="Times New Roman" w:hAnsi="Times New Roman" w:cs="Times New Roman"/>
          <w:sz w:val="28"/>
          <w:szCs w:val="28"/>
          <w:lang w:eastAsia="zh-CN"/>
        </w:rPr>
        <w:t xml:space="preserve">  электроустановки:</w:t>
      </w:r>
    </w:p>
    <w:p w14:paraId="1295C83E"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 xml:space="preserve">ТП-10/0,4кВ –– 4 шт. </w:t>
      </w:r>
    </w:p>
    <w:p w14:paraId="172FA5DA"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воздушных линий 10кВ – 0,7км</w:t>
      </w:r>
    </w:p>
    <w:p w14:paraId="19FA5FEF"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воздушных линий 0,4кВ– 10 км</w:t>
      </w:r>
    </w:p>
    <w:p w14:paraId="353F0F18"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кабельных линий 10кВ – 19,8 км</w:t>
      </w:r>
    </w:p>
    <w:p w14:paraId="4F32D932"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кабельных линий 0,4кВ – 5,27 км</w:t>
      </w:r>
    </w:p>
    <w:p w14:paraId="6CC325F5"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xml:space="preserve">- демонтированы электроустановки: </w:t>
      </w:r>
    </w:p>
    <w:p w14:paraId="15941D32"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w:t>
      </w:r>
      <w:r w:rsidRPr="0013502F">
        <w:rPr>
          <w:rFonts w:ascii="Times New Roman" w:eastAsia="Times New Roman" w:hAnsi="Times New Roman" w:cs="Times New Roman"/>
          <w:sz w:val="28"/>
          <w:szCs w:val="28"/>
          <w:lang w:eastAsia="zh-CN"/>
        </w:rPr>
        <w:tab/>
        <w:t>воздушных линий – 3км.</w:t>
      </w:r>
    </w:p>
    <w:p w14:paraId="6E30BDEF"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выполнен капитальный ремонт строительной части и кровли на 9 РП и ТП.</w:t>
      </w:r>
    </w:p>
    <w:p w14:paraId="5EF3718F" w14:textId="77777777" w:rsidR="00906DAD" w:rsidRPr="0013502F" w:rsidRDefault="00906DAD" w:rsidP="00527456">
      <w:pPr>
        <w:tabs>
          <w:tab w:val="left" w:pos="180"/>
        </w:tabs>
        <w:suppressAutoHyphens/>
        <w:spacing w:after="0" w:line="240" w:lineRule="auto"/>
        <w:ind w:right="142" w:firstLine="567"/>
        <w:jc w:val="both"/>
        <w:rPr>
          <w:rFonts w:ascii="Times New Roman" w:eastAsia="Times New Roman" w:hAnsi="Times New Roman" w:cs="Times New Roman"/>
          <w:sz w:val="28"/>
          <w:szCs w:val="28"/>
          <w:lang w:eastAsia="zh-CN"/>
        </w:rPr>
      </w:pPr>
      <w:r w:rsidRPr="0013502F">
        <w:rPr>
          <w:rFonts w:ascii="Times New Roman" w:eastAsia="Times New Roman" w:hAnsi="Times New Roman" w:cs="Times New Roman"/>
          <w:sz w:val="28"/>
          <w:szCs w:val="28"/>
          <w:lang w:eastAsia="zh-CN"/>
        </w:rPr>
        <w:t>- установлена система телемеханики на ТП/РП-10/0,4кВ – 8 шт.</w:t>
      </w:r>
    </w:p>
    <w:p w14:paraId="3C585EF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построены и введены в работу системы электроснабжения следующих объектов:</w:t>
      </w:r>
    </w:p>
    <w:p w14:paraId="25408978"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котельные 151 кВт - 3 </w:t>
      </w:r>
      <w:proofErr w:type="spellStart"/>
      <w:r w:rsidRPr="0013502F">
        <w:rPr>
          <w:rFonts w:ascii="Times New Roman" w:eastAsia="Calibri" w:hAnsi="Times New Roman" w:cs="Times New Roman"/>
          <w:sz w:val="28"/>
          <w:szCs w:val="28"/>
        </w:rPr>
        <w:t>шт</w:t>
      </w:r>
      <w:proofErr w:type="spellEnd"/>
      <w:r w:rsidRPr="0013502F">
        <w:rPr>
          <w:rFonts w:ascii="Times New Roman" w:eastAsia="Calibri" w:hAnsi="Times New Roman" w:cs="Times New Roman"/>
          <w:sz w:val="28"/>
          <w:szCs w:val="28"/>
        </w:rPr>
        <w:t xml:space="preserve">; </w:t>
      </w:r>
    </w:p>
    <w:p w14:paraId="37E6829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многоквартирные жилые дома (жилые комплексы) – 15 шт.;</w:t>
      </w:r>
    </w:p>
    <w:p w14:paraId="212D4F20"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жилой квартал «Заречный» по ул. Конева на 411 </w:t>
      </w:r>
      <w:proofErr w:type="gramStart"/>
      <w:r w:rsidRPr="0013502F">
        <w:rPr>
          <w:rFonts w:ascii="Times New Roman" w:eastAsia="Calibri" w:hAnsi="Times New Roman" w:cs="Times New Roman"/>
          <w:sz w:val="28"/>
          <w:szCs w:val="28"/>
        </w:rPr>
        <w:t>кВт.;</w:t>
      </w:r>
      <w:proofErr w:type="gramEnd"/>
    </w:p>
    <w:p w14:paraId="624137C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здание для размещения мировых судей и аппаратов судебных участков на 60 кВт.</w:t>
      </w:r>
    </w:p>
    <w:p w14:paraId="7B065749"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мобильный </w:t>
      </w:r>
      <w:proofErr w:type="spellStart"/>
      <w:r w:rsidRPr="0013502F">
        <w:rPr>
          <w:rFonts w:ascii="Times New Roman" w:eastAsia="Calibri" w:hAnsi="Times New Roman" w:cs="Times New Roman"/>
          <w:sz w:val="28"/>
          <w:szCs w:val="28"/>
        </w:rPr>
        <w:t>снегоплавильный</w:t>
      </w:r>
      <w:proofErr w:type="spellEnd"/>
      <w:r w:rsidRPr="0013502F">
        <w:rPr>
          <w:rFonts w:ascii="Times New Roman" w:eastAsia="Calibri" w:hAnsi="Times New Roman" w:cs="Times New Roman"/>
          <w:sz w:val="28"/>
          <w:szCs w:val="28"/>
        </w:rPr>
        <w:t xml:space="preserve"> пункт на 60 </w:t>
      </w:r>
      <w:proofErr w:type="gramStart"/>
      <w:r w:rsidRPr="0013502F">
        <w:rPr>
          <w:rFonts w:ascii="Times New Roman" w:eastAsia="Calibri" w:hAnsi="Times New Roman" w:cs="Times New Roman"/>
          <w:sz w:val="28"/>
          <w:szCs w:val="28"/>
        </w:rPr>
        <w:t>кВт.;</w:t>
      </w:r>
      <w:proofErr w:type="gramEnd"/>
    </w:p>
    <w:p w14:paraId="3D4F84F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детский сад на 300 мест на 330 </w:t>
      </w:r>
      <w:proofErr w:type="gramStart"/>
      <w:r w:rsidRPr="0013502F">
        <w:rPr>
          <w:rFonts w:ascii="Times New Roman" w:eastAsia="Calibri" w:hAnsi="Times New Roman" w:cs="Times New Roman"/>
          <w:sz w:val="28"/>
          <w:szCs w:val="28"/>
        </w:rPr>
        <w:t>кВт.;</w:t>
      </w:r>
      <w:proofErr w:type="gramEnd"/>
    </w:p>
    <w:p w14:paraId="2EAD5598"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медицинский центр ул. Калинина на 29,5 </w:t>
      </w:r>
      <w:proofErr w:type="gramStart"/>
      <w:r w:rsidRPr="0013502F">
        <w:rPr>
          <w:rFonts w:ascii="Times New Roman" w:eastAsia="Calibri" w:hAnsi="Times New Roman" w:cs="Times New Roman"/>
          <w:sz w:val="28"/>
          <w:szCs w:val="28"/>
        </w:rPr>
        <w:t>кВт.;</w:t>
      </w:r>
      <w:proofErr w:type="gramEnd"/>
    </w:p>
    <w:p w14:paraId="4AB97BD7"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административное здание ул. Энгельса, на 37,28 </w:t>
      </w:r>
      <w:proofErr w:type="gramStart"/>
      <w:r w:rsidRPr="0013502F">
        <w:rPr>
          <w:rFonts w:ascii="Times New Roman" w:eastAsia="Calibri" w:hAnsi="Times New Roman" w:cs="Times New Roman"/>
          <w:sz w:val="28"/>
          <w:szCs w:val="28"/>
        </w:rPr>
        <w:t>кВт.;</w:t>
      </w:r>
      <w:proofErr w:type="gramEnd"/>
    </w:p>
    <w:p w14:paraId="48D0B5D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детский сад на 200 мест ул. Сирина 72 на 225 кВт.</w:t>
      </w:r>
    </w:p>
    <w:p w14:paraId="09DD68BB" w14:textId="77777777" w:rsidR="00906DAD" w:rsidRPr="0013502F" w:rsidRDefault="00906DAD" w:rsidP="00527456">
      <w:pPr>
        <w:tabs>
          <w:tab w:val="left" w:pos="180"/>
        </w:tabs>
        <w:suppressAutoHyphens/>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Содержание, ремонт и обслуживание линий уличного освещения, подсветки на территории города осуществляет муниципальное бюджетное учреждение (МБУ) «</w:t>
      </w:r>
      <w:proofErr w:type="spellStart"/>
      <w:r w:rsidRPr="0013502F">
        <w:rPr>
          <w:rFonts w:ascii="Times New Roman" w:eastAsia="Calibri" w:hAnsi="Times New Roman" w:cs="Times New Roman"/>
          <w:sz w:val="28"/>
          <w:szCs w:val="28"/>
        </w:rPr>
        <w:t>Горсвет</w:t>
      </w:r>
      <w:proofErr w:type="spellEnd"/>
      <w:r w:rsidRPr="0013502F">
        <w:rPr>
          <w:rFonts w:ascii="Times New Roman" w:eastAsia="Calibri" w:hAnsi="Times New Roman" w:cs="Times New Roman"/>
          <w:sz w:val="28"/>
          <w:szCs w:val="28"/>
        </w:rPr>
        <w:t>».</w:t>
      </w:r>
    </w:p>
    <w:p w14:paraId="0E077D11"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bCs/>
          <w:sz w:val="28"/>
          <w:szCs w:val="28"/>
        </w:rPr>
        <w:t>На обслуживании МБУ «</w:t>
      </w:r>
      <w:proofErr w:type="spellStart"/>
      <w:r w:rsidRPr="0013502F">
        <w:rPr>
          <w:rFonts w:ascii="Times New Roman" w:eastAsia="Calibri" w:hAnsi="Times New Roman" w:cs="Times New Roman"/>
          <w:bCs/>
          <w:sz w:val="28"/>
          <w:szCs w:val="28"/>
        </w:rPr>
        <w:t>Горсвет</w:t>
      </w:r>
      <w:proofErr w:type="spellEnd"/>
      <w:r w:rsidRPr="0013502F">
        <w:rPr>
          <w:rFonts w:ascii="Times New Roman" w:eastAsia="Calibri" w:hAnsi="Times New Roman" w:cs="Times New Roman"/>
          <w:bCs/>
          <w:sz w:val="28"/>
          <w:szCs w:val="28"/>
        </w:rPr>
        <w:t>»</w:t>
      </w:r>
      <w:r w:rsidRPr="0013502F">
        <w:rPr>
          <w:rFonts w:ascii="Times New Roman" w:eastAsia="Calibri" w:hAnsi="Times New Roman" w:cs="Times New Roman"/>
          <w:sz w:val="28"/>
          <w:szCs w:val="28"/>
        </w:rPr>
        <w:t xml:space="preserve"> находятся следующие объекты наружного освещения:</w:t>
      </w:r>
    </w:p>
    <w:p w14:paraId="5055B251"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w:t>
      </w:r>
      <w:proofErr w:type="spellStart"/>
      <w:r w:rsidRPr="0013502F">
        <w:rPr>
          <w:rFonts w:ascii="Times New Roman" w:eastAsia="Calibri" w:hAnsi="Times New Roman" w:cs="Times New Roman"/>
          <w:sz w:val="28"/>
          <w:szCs w:val="28"/>
        </w:rPr>
        <w:t>светоточек</w:t>
      </w:r>
      <w:proofErr w:type="spellEnd"/>
      <w:r w:rsidRPr="0013502F">
        <w:rPr>
          <w:rFonts w:ascii="Times New Roman" w:eastAsia="Calibri" w:hAnsi="Times New Roman" w:cs="Times New Roman"/>
          <w:sz w:val="28"/>
          <w:szCs w:val="28"/>
        </w:rPr>
        <w:t xml:space="preserve"> наружного освещения </w:t>
      </w:r>
      <w:proofErr w:type="gramStart"/>
      <w:r w:rsidRPr="0013502F">
        <w:rPr>
          <w:rFonts w:ascii="Times New Roman" w:eastAsia="Calibri" w:hAnsi="Times New Roman" w:cs="Times New Roman"/>
          <w:sz w:val="28"/>
          <w:szCs w:val="28"/>
        </w:rPr>
        <w:t>–  10464</w:t>
      </w:r>
      <w:proofErr w:type="gramEnd"/>
      <w:r w:rsidRPr="0013502F">
        <w:rPr>
          <w:rFonts w:ascii="Times New Roman" w:eastAsia="Calibri" w:hAnsi="Times New Roman" w:cs="Times New Roman"/>
          <w:sz w:val="28"/>
          <w:szCs w:val="28"/>
        </w:rPr>
        <w:t xml:space="preserve"> </w:t>
      </w:r>
      <w:proofErr w:type="spellStart"/>
      <w:r w:rsidRPr="0013502F">
        <w:rPr>
          <w:rFonts w:ascii="Times New Roman" w:eastAsia="Calibri" w:hAnsi="Times New Roman" w:cs="Times New Roman"/>
          <w:sz w:val="28"/>
          <w:szCs w:val="28"/>
        </w:rPr>
        <w:t>св.т</w:t>
      </w:r>
      <w:proofErr w:type="spellEnd"/>
      <w:r w:rsidRPr="0013502F">
        <w:rPr>
          <w:rFonts w:ascii="Times New Roman" w:eastAsia="Calibri" w:hAnsi="Times New Roman" w:cs="Times New Roman"/>
          <w:sz w:val="28"/>
          <w:szCs w:val="28"/>
        </w:rPr>
        <w:t xml:space="preserve">. (2015 год - 9479 </w:t>
      </w:r>
      <w:proofErr w:type="spellStart"/>
      <w:r w:rsidRPr="0013502F">
        <w:rPr>
          <w:rFonts w:ascii="Times New Roman" w:eastAsia="Calibri" w:hAnsi="Times New Roman" w:cs="Times New Roman"/>
          <w:sz w:val="28"/>
          <w:szCs w:val="28"/>
        </w:rPr>
        <w:t>св.т</w:t>
      </w:r>
      <w:proofErr w:type="spellEnd"/>
      <w:r w:rsidRPr="0013502F">
        <w:rPr>
          <w:rFonts w:ascii="Times New Roman" w:eastAsia="Calibri" w:hAnsi="Times New Roman" w:cs="Times New Roman"/>
          <w:sz w:val="28"/>
          <w:szCs w:val="28"/>
        </w:rPr>
        <w:t xml:space="preserve">.); </w:t>
      </w:r>
    </w:p>
    <w:p w14:paraId="02A6AFA9"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архитектурно-художественной подсветки, праздничная иллюминация, световые короба, щитовые конструкции, панель-кронштейны, праздничные украшения и аншлаги почтовой нумерации -  15770 </w:t>
      </w:r>
      <w:proofErr w:type="spellStart"/>
      <w:r w:rsidRPr="0013502F">
        <w:rPr>
          <w:rFonts w:ascii="Times New Roman" w:eastAsia="Calibri" w:hAnsi="Times New Roman" w:cs="Times New Roman"/>
          <w:sz w:val="28"/>
          <w:szCs w:val="28"/>
        </w:rPr>
        <w:t>св.т</w:t>
      </w:r>
      <w:proofErr w:type="spellEnd"/>
      <w:r w:rsidRPr="0013502F">
        <w:rPr>
          <w:rFonts w:ascii="Times New Roman" w:eastAsia="Calibri" w:hAnsi="Times New Roman" w:cs="Times New Roman"/>
          <w:sz w:val="28"/>
          <w:szCs w:val="28"/>
        </w:rPr>
        <w:t xml:space="preserve">. (2015 год - 13803 </w:t>
      </w:r>
      <w:proofErr w:type="spellStart"/>
      <w:r w:rsidRPr="0013502F">
        <w:rPr>
          <w:rFonts w:ascii="Times New Roman" w:eastAsia="Calibri" w:hAnsi="Times New Roman" w:cs="Times New Roman"/>
          <w:sz w:val="28"/>
          <w:szCs w:val="28"/>
        </w:rPr>
        <w:t>св.т</w:t>
      </w:r>
      <w:proofErr w:type="spellEnd"/>
      <w:r w:rsidRPr="0013502F">
        <w:rPr>
          <w:rFonts w:ascii="Times New Roman" w:eastAsia="Calibri" w:hAnsi="Times New Roman" w:cs="Times New Roman"/>
          <w:sz w:val="28"/>
          <w:szCs w:val="28"/>
        </w:rPr>
        <w:t>.);</w:t>
      </w:r>
    </w:p>
    <w:p w14:paraId="4FAD9EE4"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комплекты автоматизации освещения нерегулируемых пешеходных переходов (сигнальные фонари) - 116 </w:t>
      </w:r>
      <w:proofErr w:type="spellStart"/>
      <w:r w:rsidRPr="0013502F">
        <w:rPr>
          <w:rFonts w:ascii="Times New Roman" w:eastAsia="Calibri" w:hAnsi="Times New Roman" w:cs="Times New Roman"/>
          <w:sz w:val="28"/>
          <w:szCs w:val="28"/>
        </w:rPr>
        <w:t>св.т</w:t>
      </w:r>
      <w:proofErr w:type="spellEnd"/>
      <w:r w:rsidRPr="0013502F">
        <w:rPr>
          <w:rFonts w:ascii="Times New Roman" w:eastAsia="Calibri" w:hAnsi="Times New Roman" w:cs="Times New Roman"/>
          <w:sz w:val="28"/>
          <w:szCs w:val="28"/>
        </w:rPr>
        <w:t xml:space="preserve">. (2015 год - 58 </w:t>
      </w:r>
      <w:proofErr w:type="spellStart"/>
      <w:r w:rsidRPr="0013502F">
        <w:rPr>
          <w:rFonts w:ascii="Times New Roman" w:eastAsia="Calibri" w:hAnsi="Times New Roman" w:cs="Times New Roman"/>
          <w:sz w:val="28"/>
          <w:szCs w:val="28"/>
        </w:rPr>
        <w:t>св.т</w:t>
      </w:r>
      <w:proofErr w:type="spellEnd"/>
      <w:r w:rsidRPr="0013502F">
        <w:rPr>
          <w:rFonts w:ascii="Times New Roman" w:eastAsia="Calibri" w:hAnsi="Times New Roman" w:cs="Times New Roman"/>
          <w:sz w:val="28"/>
          <w:szCs w:val="28"/>
        </w:rPr>
        <w:t>.);</w:t>
      </w:r>
    </w:p>
    <w:p w14:paraId="52B56905"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кабельных и воздушных линий – 424,442 км. (2015 год – 417,266 км.); </w:t>
      </w:r>
    </w:p>
    <w:p w14:paraId="148ACDA5"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пунктов питания наружного освещения - 173 </w:t>
      </w:r>
      <w:proofErr w:type="spellStart"/>
      <w:r w:rsidRPr="0013502F">
        <w:rPr>
          <w:rFonts w:ascii="Times New Roman" w:eastAsia="Calibri" w:hAnsi="Times New Roman" w:cs="Times New Roman"/>
          <w:sz w:val="28"/>
          <w:szCs w:val="28"/>
        </w:rPr>
        <w:t>п.п</w:t>
      </w:r>
      <w:proofErr w:type="spellEnd"/>
      <w:r w:rsidRPr="0013502F">
        <w:rPr>
          <w:rFonts w:ascii="Times New Roman" w:eastAsia="Calibri" w:hAnsi="Times New Roman" w:cs="Times New Roman"/>
          <w:sz w:val="28"/>
          <w:szCs w:val="28"/>
        </w:rPr>
        <w:t>.;</w:t>
      </w:r>
    </w:p>
    <w:p w14:paraId="2BFFEAD7"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флажков-ветерков - 220 шт.;</w:t>
      </w:r>
    </w:p>
    <w:p w14:paraId="13E100EA"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панель-кронштейнов на опорах освещения - 215 шт.;</w:t>
      </w:r>
    </w:p>
    <w:p w14:paraId="277F0FAF" w14:textId="77777777" w:rsidR="007576D2" w:rsidRDefault="00906DAD" w:rsidP="007576D2">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флагов расцвечивания - 56 шт.</w:t>
      </w:r>
    </w:p>
    <w:p w14:paraId="5081F675" w14:textId="77777777" w:rsidR="007576D2" w:rsidRDefault="00906DAD" w:rsidP="007576D2">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В целях повышения энергосбережения (понижения потребляемой мощности), в 2016 году продолжено внедрение управляемых электронных пускорегулирующих аппаратов ЭПРАН для светильников с натриевыми </w:t>
      </w:r>
      <w:proofErr w:type="gramStart"/>
      <w:r w:rsidRPr="0013502F">
        <w:rPr>
          <w:rFonts w:ascii="Times New Roman" w:eastAsia="Calibri" w:hAnsi="Times New Roman" w:cs="Times New Roman"/>
          <w:sz w:val="28"/>
          <w:szCs w:val="28"/>
        </w:rPr>
        <w:t>газоразрядными  лампами</w:t>
      </w:r>
      <w:proofErr w:type="gramEnd"/>
      <w:r w:rsidRPr="0013502F">
        <w:rPr>
          <w:rFonts w:ascii="Times New Roman" w:eastAsia="Calibri" w:hAnsi="Times New Roman" w:cs="Times New Roman"/>
          <w:sz w:val="28"/>
          <w:szCs w:val="28"/>
        </w:rPr>
        <w:t xml:space="preserve">  с возможностью  управления наружным освещением в вечернем и ночном режимах. Общее количество установленных ЭПРАН-250, 400 в светильниках ЖКУ мощностью 250Вт, 400</w:t>
      </w:r>
      <w:proofErr w:type="gramStart"/>
      <w:r w:rsidRPr="0013502F">
        <w:rPr>
          <w:rFonts w:ascii="Times New Roman" w:eastAsia="Calibri" w:hAnsi="Times New Roman" w:cs="Times New Roman"/>
          <w:sz w:val="28"/>
          <w:szCs w:val="28"/>
        </w:rPr>
        <w:t>Вт  составляет</w:t>
      </w:r>
      <w:proofErr w:type="gramEnd"/>
      <w:r w:rsidRPr="0013502F">
        <w:rPr>
          <w:rFonts w:ascii="Times New Roman" w:eastAsia="Calibri" w:hAnsi="Times New Roman" w:cs="Times New Roman"/>
          <w:sz w:val="28"/>
          <w:szCs w:val="28"/>
        </w:rPr>
        <w:t xml:space="preserve"> 959 шт. (в 2015 году – 295 шт.), что составляет 15% замены от общего количества светильников ЖКУ с лампами мощностью 250Вт, 400 Вт.</w:t>
      </w:r>
    </w:p>
    <w:p w14:paraId="48106CCE" w14:textId="77777777" w:rsidR="007576D2" w:rsidRDefault="00906DAD" w:rsidP="007576D2">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введены новые объекты (ул. Югорская, ул. Строителей от ул. Мира до ул. Студенческая, ул. Урожайная, ул. Конева, ул. Еловая, ул. Новогодняя, пер. Бобровский, микрорайон «Югорская звезда») с применением современных светодиодных светильников.</w:t>
      </w:r>
    </w:p>
    <w:p w14:paraId="54EF22CF" w14:textId="77777777" w:rsidR="007576D2" w:rsidRDefault="00906DAD" w:rsidP="007576D2">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В 2017 году планируется продолжить установку ЭПРАН в светильниках ЖКУ мощностью 400, 250, 150 и 100Вт в количестве 2260шт. что позволит сэкономить 23% электроэнергии. </w:t>
      </w:r>
    </w:p>
    <w:p w14:paraId="3A66C1CF" w14:textId="75173CDB" w:rsidR="00906DAD" w:rsidRPr="0013502F" w:rsidRDefault="00906DAD" w:rsidP="007576D2">
      <w:pPr>
        <w:spacing w:after="0" w:line="240" w:lineRule="auto"/>
        <w:ind w:right="142"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целях безопасности пешеходов в 2016 году установлены комплекты автоматизации нерегулируемых пешеходных переходов вблизи детских образовательных учреждений по 23 адресам.</w:t>
      </w:r>
    </w:p>
    <w:p w14:paraId="1325F3A6" w14:textId="77777777" w:rsidR="001B4CDD" w:rsidRPr="0013502F" w:rsidRDefault="001B4CDD" w:rsidP="00527456">
      <w:pPr>
        <w:spacing w:after="0" w:line="240" w:lineRule="auto"/>
        <w:ind w:firstLine="709"/>
        <w:jc w:val="center"/>
        <w:rPr>
          <w:rFonts w:ascii="Times New Roman" w:eastAsia="Calibri" w:hAnsi="Times New Roman" w:cs="Times New Roman"/>
          <w:b/>
          <w:sz w:val="28"/>
          <w:szCs w:val="28"/>
        </w:rPr>
      </w:pPr>
    </w:p>
    <w:p w14:paraId="3200EBCA" w14:textId="77777777" w:rsidR="00313FFC" w:rsidRPr="0013502F" w:rsidRDefault="00313FFC" w:rsidP="00527456">
      <w:pPr>
        <w:spacing w:after="0" w:line="240" w:lineRule="auto"/>
        <w:ind w:firstLine="709"/>
        <w:jc w:val="center"/>
        <w:rPr>
          <w:rFonts w:ascii="Times New Roman" w:eastAsia="Calibri" w:hAnsi="Times New Roman" w:cs="Times New Roman"/>
          <w:b/>
          <w:sz w:val="28"/>
          <w:szCs w:val="28"/>
        </w:rPr>
      </w:pPr>
      <w:r w:rsidRPr="0013502F">
        <w:rPr>
          <w:rFonts w:ascii="Times New Roman" w:eastAsia="Calibri" w:hAnsi="Times New Roman" w:cs="Times New Roman"/>
          <w:b/>
          <w:sz w:val="28"/>
          <w:szCs w:val="28"/>
        </w:rPr>
        <w:t>Газоснабжение</w:t>
      </w:r>
    </w:p>
    <w:p w14:paraId="68627EF8" w14:textId="77777777" w:rsidR="00906DAD" w:rsidRPr="0013502F" w:rsidRDefault="00906DAD" w:rsidP="00527456">
      <w:pPr>
        <w:spacing w:after="0" w:line="240" w:lineRule="auto"/>
        <w:ind w:firstLine="709"/>
        <w:jc w:val="center"/>
        <w:rPr>
          <w:rFonts w:ascii="Times New Roman" w:eastAsia="Calibri" w:hAnsi="Times New Roman" w:cs="Times New Roman"/>
          <w:b/>
          <w:sz w:val="28"/>
          <w:szCs w:val="28"/>
        </w:rPr>
      </w:pPr>
    </w:p>
    <w:p w14:paraId="25ADE116"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муниципальным предприятием «Ханты-</w:t>
      </w:r>
      <w:proofErr w:type="spellStart"/>
      <w:r w:rsidRPr="0013502F">
        <w:rPr>
          <w:rFonts w:ascii="Times New Roman" w:eastAsia="Calibri" w:hAnsi="Times New Roman" w:cs="Times New Roman"/>
          <w:sz w:val="28"/>
          <w:szCs w:val="28"/>
        </w:rPr>
        <w:t>Мансийскгаз</w:t>
      </w:r>
      <w:proofErr w:type="spellEnd"/>
      <w:r w:rsidRPr="0013502F">
        <w:rPr>
          <w:rFonts w:ascii="Times New Roman" w:eastAsia="Calibri" w:hAnsi="Times New Roman" w:cs="Times New Roman"/>
          <w:sz w:val="28"/>
          <w:szCs w:val="28"/>
        </w:rPr>
        <w:t xml:space="preserve">» (далее </w:t>
      </w:r>
      <w:proofErr w:type="gramStart"/>
      <w:r w:rsidRPr="0013502F">
        <w:rPr>
          <w:rFonts w:ascii="Times New Roman" w:eastAsia="Calibri" w:hAnsi="Times New Roman" w:cs="Times New Roman"/>
          <w:sz w:val="28"/>
          <w:szCs w:val="28"/>
        </w:rPr>
        <w:t>МП  «</w:t>
      </w:r>
      <w:proofErr w:type="gramEnd"/>
      <w:r w:rsidRPr="0013502F">
        <w:rPr>
          <w:rFonts w:ascii="Times New Roman" w:eastAsia="Calibri" w:hAnsi="Times New Roman" w:cs="Times New Roman"/>
          <w:sz w:val="28"/>
          <w:szCs w:val="28"/>
        </w:rPr>
        <w:t>Ханты-</w:t>
      </w:r>
      <w:proofErr w:type="spellStart"/>
      <w:r w:rsidRPr="0013502F">
        <w:rPr>
          <w:rFonts w:ascii="Times New Roman" w:eastAsia="Calibri" w:hAnsi="Times New Roman" w:cs="Times New Roman"/>
          <w:sz w:val="28"/>
          <w:szCs w:val="28"/>
        </w:rPr>
        <w:t>Мансийскгаз</w:t>
      </w:r>
      <w:proofErr w:type="spellEnd"/>
      <w:r w:rsidRPr="0013502F">
        <w:rPr>
          <w:rFonts w:ascii="Times New Roman" w:eastAsia="Calibri" w:hAnsi="Times New Roman" w:cs="Times New Roman"/>
          <w:sz w:val="28"/>
          <w:szCs w:val="28"/>
        </w:rPr>
        <w:t>») обеспечена транспортировка природного газа в объеме 119,5 млн</w:t>
      </w:r>
      <w:r w:rsidR="009B765C">
        <w:rPr>
          <w:rFonts w:ascii="Times New Roman" w:eastAsia="Calibri" w:hAnsi="Times New Roman" w:cs="Times New Roman"/>
          <w:sz w:val="28"/>
          <w:szCs w:val="28"/>
        </w:rPr>
        <w:t>.</w:t>
      </w:r>
      <w:r w:rsidRPr="0013502F">
        <w:rPr>
          <w:rFonts w:ascii="Times New Roman" w:eastAsia="Calibri" w:hAnsi="Times New Roman" w:cs="Times New Roman"/>
          <w:sz w:val="28"/>
          <w:szCs w:val="28"/>
        </w:rPr>
        <w:t xml:space="preserve"> куб. м (2015 год – 119,6млн</w:t>
      </w:r>
      <w:r w:rsidR="009B765C">
        <w:rPr>
          <w:rFonts w:ascii="Times New Roman" w:eastAsia="Calibri" w:hAnsi="Times New Roman" w:cs="Times New Roman"/>
          <w:sz w:val="28"/>
          <w:szCs w:val="28"/>
        </w:rPr>
        <w:t>.</w:t>
      </w:r>
      <w:r w:rsidRPr="0013502F">
        <w:rPr>
          <w:rFonts w:ascii="Times New Roman" w:eastAsia="Calibri" w:hAnsi="Times New Roman" w:cs="Times New Roman"/>
          <w:sz w:val="28"/>
          <w:szCs w:val="28"/>
        </w:rPr>
        <w:t xml:space="preserve"> куб. м). Общая протяженность сетей газоснабжения, находящихся на обслуживании, составляет 271,08 км. (2015 год - 267,91 км). </w:t>
      </w:r>
    </w:p>
    <w:p w14:paraId="1AA0DF89"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Также МП «Ханты-</w:t>
      </w:r>
      <w:proofErr w:type="spellStart"/>
      <w:r w:rsidRPr="0013502F">
        <w:rPr>
          <w:rFonts w:ascii="Times New Roman" w:eastAsia="Calibri" w:hAnsi="Times New Roman" w:cs="Times New Roman"/>
          <w:sz w:val="28"/>
          <w:szCs w:val="28"/>
        </w:rPr>
        <w:t>Мансийскгаз</w:t>
      </w:r>
      <w:proofErr w:type="spellEnd"/>
      <w:r w:rsidRPr="0013502F">
        <w:rPr>
          <w:rFonts w:ascii="Times New Roman" w:eastAsia="Calibri" w:hAnsi="Times New Roman" w:cs="Times New Roman"/>
          <w:sz w:val="28"/>
          <w:szCs w:val="28"/>
        </w:rPr>
        <w:t>» осуществляет поставку теплоснабжения и горячего водоснабжения потребителям города. За отчетный период предприятием отпущено тепловой энергии в количестве   34 342,5 Гкал (2015 год – 33 357,6 горячей воды в объеме 6 137,0 куб. м. (2015 год - 5 243,0 куб. м.). На балансе предприятия находится 2,182 км. сетей теплоснабжения и 1 км. Сетей горячего водоснабжения.</w:t>
      </w:r>
    </w:p>
    <w:p w14:paraId="28AC5CBE" w14:textId="77777777" w:rsidR="00FD05FA" w:rsidRPr="0013502F" w:rsidRDefault="00FD05FA" w:rsidP="00527456">
      <w:pPr>
        <w:suppressAutoHyphens/>
        <w:spacing w:after="0" w:line="240" w:lineRule="auto"/>
        <w:ind w:firstLine="709"/>
        <w:jc w:val="right"/>
        <w:rPr>
          <w:rFonts w:ascii="Times New Roman" w:eastAsia="Arial Unicode MS" w:hAnsi="Times New Roman" w:cs="Times New Roman"/>
          <w:kern w:val="1"/>
          <w:sz w:val="28"/>
          <w:szCs w:val="28"/>
          <w:lang w:eastAsia="hi-IN" w:bidi="hi-IN"/>
        </w:rPr>
      </w:pPr>
    </w:p>
    <w:p w14:paraId="776EB3EB" w14:textId="77777777" w:rsidR="00313FFC" w:rsidRPr="0013502F" w:rsidRDefault="00906DAD" w:rsidP="00527456">
      <w:pPr>
        <w:suppressAutoHyphens/>
        <w:spacing w:after="0" w:line="240" w:lineRule="auto"/>
        <w:ind w:firstLine="709"/>
        <w:jc w:val="right"/>
        <w:rPr>
          <w:rFonts w:ascii="Times New Roman" w:eastAsia="Arial Unicode MS" w:hAnsi="Times New Roman" w:cs="Times New Roman"/>
          <w:kern w:val="1"/>
          <w:sz w:val="28"/>
          <w:szCs w:val="28"/>
          <w:lang w:eastAsia="hi-IN" w:bidi="hi-IN"/>
        </w:rPr>
      </w:pPr>
      <w:r w:rsidRPr="0013502F">
        <w:rPr>
          <w:rFonts w:ascii="Times New Roman" w:eastAsia="Arial Unicode MS" w:hAnsi="Times New Roman" w:cs="Times New Roman"/>
          <w:kern w:val="1"/>
          <w:sz w:val="28"/>
          <w:szCs w:val="28"/>
          <w:lang w:eastAsia="hi-IN" w:bidi="hi-IN"/>
        </w:rPr>
        <w:t>Рисунок</w:t>
      </w:r>
      <w:r w:rsidR="00313FFC" w:rsidRPr="0013502F">
        <w:rPr>
          <w:rFonts w:ascii="Times New Roman" w:eastAsia="Arial Unicode MS" w:hAnsi="Times New Roman" w:cs="Times New Roman"/>
          <w:kern w:val="1"/>
          <w:sz w:val="28"/>
          <w:szCs w:val="28"/>
          <w:lang w:eastAsia="hi-IN" w:bidi="hi-IN"/>
        </w:rPr>
        <w:t xml:space="preserve"> </w:t>
      </w:r>
      <w:r w:rsidR="00527456">
        <w:rPr>
          <w:rFonts w:ascii="Times New Roman" w:eastAsia="Arial Unicode MS" w:hAnsi="Times New Roman" w:cs="Times New Roman"/>
          <w:kern w:val="1"/>
          <w:sz w:val="28"/>
          <w:szCs w:val="28"/>
          <w:lang w:eastAsia="hi-IN" w:bidi="hi-IN"/>
        </w:rPr>
        <w:t>8</w:t>
      </w:r>
    </w:p>
    <w:p w14:paraId="6CF948D6" w14:textId="77777777" w:rsidR="00313FFC" w:rsidRPr="0013502F" w:rsidRDefault="00313FFC" w:rsidP="00527456">
      <w:pPr>
        <w:suppressAutoHyphens/>
        <w:spacing w:after="0" w:line="240" w:lineRule="auto"/>
        <w:ind w:firstLine="709"/>
        <w:jc w:val="center"/>
        <w:rPr>
          <w:rFonts w:ascii="Times New Roman" w:eastAsia="Arial Unicode MS" w:hAnsi="Times New Roman" w:cs="Times New Roman"/>
          <w:kern w:val="1"/>
          <w:sz w:val="28"/>
          <w:szCs w:val="28"/>
          <w:lang w:eastAsia="hi-IN" w:bidi="hi-IN"/>
        </w:rPr>
      </w:pPr>
      <w:r w:rsidRPr="0013502F">
        <w:rPr>
          <w:rFonts w:ascii="Times New Roman" w:eastAsia="Arial Unicode MS" w:hAnsi="Times New Roman" w:cs="Times New Roman"/>
          <w:kern w:val="1"/>
          <w:sz w:val="28"/>
          <w:szCs w:val="28"/>
          <w:lang w:eastAsia="hi-IN" w:bidi="hi-IN"/>
        </w:rPr>
        <w:t>Обеспеченность жилищного фонда газом, %</w:t>
      </w:r>
    </w:p>
    <w:p w14:paraId="326C2D5C" w14:textId="77777777" w:rsidR="00313FFC" w:rsidRPr="0013502F" w:rsidRDefault="00906DAD" w:rsidP="00527456">
      <w:pPr>
        <w:suppressAutoHyphens/>
        <w:spacing w:after="0" w:line="240" w:lineRule="auto"/>
        <w:ind w:firstLine="709"/>
        <w:jc w:val="center"/>
        <w:rPr>
          <w:rFonts w:ascii="Times New Roman" w:eastAsia="Arial Unicode MS" w:hAnsi="Times New Roman" w:cs="Times New Roman"/>
          <w:kern w:val="1"/>
          <w:sz w:val="28"/>
          <w:szCs w:val="28"/>
          <w:lang w:eastAsia="hi-IN" w:bidi="hi-IN"/>
        </w:rPr>
      </w:pPr>
      <w:r w:rsidRPr="0013502F">
        <w:rPr>
          <w:rFonts w:ascii="Times New Roman" w:eastAsia="Arial Unicode MS" w:hAnsi="Times New Roman"/>
          <w:noProof/>
          <w:kern w:val="1"/>
          <w:sz w:val="28"/>
          <w:szCs w:val="28"/>
          <w:lang w:eastAsia="ru-RU"/>
        </w:rPr>
        <w:drawing>
          <wp:inline distT="0" distB="0" distL="0" distR="0" wp14:anchorId="72C7845A" wp14:editId="6B2D547F">
            <wp:extent cx="4057650" cy="2266950"/>
            <wp:effectExtent l="0" t="0" r="0" b="0"/>
            <wp:docPr id="45" name="Диаграмма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14E062"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МП «Ханты-</w:t>
      </w:r>
      <w:proofErr w:type="spellStart"/>
      <w:r w:rsidRPr="0013502F">
        <w:rPr>
          <w:rFonts w:ascii="Times New Roman" w:eastAsia="Calibri" w:hAnsi="Times New Roman" w:cs="Times New Roman"/>
          <w:sz w:val="28"/>
          <w:szCs w:val="28"/>
        </w:rPr>
        <w:t>Мансийскгаз</w:t>
      </w:r>
      <w:proofErr w:type="spellEnd"/>
      <w:r w:rsidRPr="0013502F">
        <w:rPr>
          <w:rFonts w:ascii="Times New Roman" w:eastAsia="Calibri" w:hAnsi="Times New Roman" w:cs="Times New Roman"/>
          <w:sz w:val="28"/>
          <w:szCs w:val="28"/>
        </w:rPr>
        <w:t xml:space="preserve">» обслуживает 22 котельных установки (2015 год – 20). </w:t>
      </w:r>
    </w:p>
    <w:p w14:paraId="6AF1181E"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В рамках подготовки к осенне-зимнему периоду осуществлена подготовка - 271,08 км. (в 2015 году – 267,91 км.) газопроводов разных давлений и установленных на них сооружений, находящихся в муниципальной собственности, обслуживаемых на договорных отношениях, а также бесхозяйных газопроводов. </w:t>
      </w:r>
    </w:p>
    <w:p w14:paraId="3E37354E"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МП «Ханты-</w:t>
      </w:r>
      <w:proofErr w:type="spellStart"/>
      <w:r w:rsidRPr="0013502F">
        <w:rPr>
          <w:rFonts w:ascii="Times New Roman" w:eastAsia="Calibri" w:hAnsi="Times New Roman" w:cs="Times New Roman"/>
          <w:sz w:val="28"/>
          <w:szCs w:val="28"/>
        </w:rPr>
        <w:t>Мансийскгаз</w:t>
      </w:r>
      <w:proofErr w:type="spellEnd"/>
      <w:r w:rsidRPr="0013502F">
        <w:rPr>
          <w:rFonts w:ascii="Times New Roman" w:eastAsia="Calibri" w:hAnsi="Times New Roman" w:cs="Times New Roman"/>
          <w:sz w:val="28"/>
          <w:szCs w:val="28"/>
        </w:rPr>
        <w:t>» выполнены следующие работы:</w:t>
      </w:r>
    </w:p>
    <w:p w14:paraId="6704B54B"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произведен текущий ремонт 12 головных газорегуляторных пунктов и 135 квартальных и домовых газораспределительных пунктов шкафного типа;</w:t>
      </w:r>
    </w:p>
    <w:p w14:paraId="3AABF4C9"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выполнен текущий ремонт 6-ти станций катодной защиты стальных газопроводов высокого давления;</w:t>
      </w:r>
    </w:p>
    <w:p w14:paraId="71DA8421"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выполнен текущий ремонт 157 отключающих устройств;</w:t>
      </w:r>
    </w:p>
    <w:p w14:paraId="670BE045"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окрашено более 1,4 км распределительных надземных газопроводов и 260 метров фасадных газопроводов;</w:t>
      </w:r>
    </w:p>
    <w:p w14:paraId="4DA7A1B0"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произведены работы по </w:t>
      </w:r>
      <w:proofErr w:type="spellStart"/>
      <w:r w:rsidRPr="0013502F">
        <w:rPr>
          <w:rFonts w:ascii="Times New Roman" w:eastAsia="Calibri" w:hAnsi="Times New Roman" w:cs="Times New Roman"/>
          <w:sz w:val="28"/>
          <w:szCs w:val="28"/>
        </w:rPr>
        <w:t>обваловыванию</w:t>
      </w:r>
      <w:proofErr w:type="spellEnd"/>
      <w:r w:rsidRPr="0013502F">
        <w:rPr>
          <w:rFonts w:ascii="Times New Roman" w:eastAsia="Calibri" w:hAnsi="Times New Roman" w:cs="Times New Roman"/>
          <w:sz w:val="28"/>
          <w:szCs w:val="28"/>
        </w:rPr>
        <w:t xml:space="preserve"> 30 метров газопроводов и подсыпке 10 крановых узлов, установке указателей, осмотру состояния стальных газопроводов методом </w:t>
      </w:r>
      <w:proofErr w:type="spellStart"/>
      <w:r w:rsidRPr="0013502F">
        <w:rPr>
          <w:rFonts w:ascii="Times New Roman" w:eastAsia="Calibri" w:hAnsi="Times New Roman" w:cs="Times New Roman"/>
          <w:sz w:val="28"/>
          <w:szCs w:val="28"/>
        </w:rPr>
        <w:t>шурфования</w:t>
      </w:r>
      <w:proofErr w:type="spellEnd"/>
      <w:r w:rsidRPr="0013502F">
        <w:rPr>
          <w:rFonts w:ascii="Times New Roman" w:eastAsia="Calibri" w:hAnsi="Times New Roman" w:cs="Times New Roman"/>
          <w:sz w:val="28"/>
          <w:szCs w:val="28"/>
        </w:rPr>
        <w:t>;</w:t>
      </w:r>
    </w:p>
    <w:p w14:paraId="32F2C8FC"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 произведена замена выработавших ресурс циркуляционных и </w:t>
      </w:r>
      <w:proofErr w:type="spellStart"/>
      <w:r w:rsidRPr="0013502F">
        <w:rPr>
          <w:rFonts w:ascii="Times New Roman" w:eastAsia="Calibri" w:hAnsi="Times New Roman" w:cs="Times New Roman"/>
          <w:sz w:val="28"/>
          <w:szCs w:val="28"/>
        </w:rPr>
        <w:t>подпиточных</w:t>
      </w:r>
      <w:proofErr w:type="spellEnd"/>
      <w:r w:rsidRPr="0013502F">
        <w:rPr>
          <w:rFonts w:ascii="Times New Roman" w:eastAsia="Calibri" w:hAnsi="Times New Roman" w:cs="Times New Roman"/>
          <w:sz w:val="28"/>
          <w:szCs w:val="28"/>
        </w:rPr>
        <w:t xml:space="preserve"> насосов на котельных: "Детский сад Незнайка", "</w:t>
      </w:r>
      <w:proofErr w:type="spellStart"/>
      <w:r w:rsidRPr="0013502F">
        <w:rPr>
          <w:rFonts w:ascii="Times New Roman" w:eastAsia="Calibri" w:hAnsi="Times New Roman" w:cs="Times New Roman"/>
          <w:sz w:val="28"/>
          <w:szCs w:val="28"/>
        </w:rPr>
        <w:t>Ляминская</w:t>
      </w:r>
      <w:proofErr w:type="spellEnd"/>
      <w:r w:rsidRPr="0013502F">
        <w:rPr>
          <w:rFonts w:ascii="Times New Roman" w:eastAsia="Calibri" w:hAnsi="Times New Roman" w:cs="Times New Roman"/>
          <w:sz w:val="28"/>
          <w:szCs w:val="28"/>
        </w:rPr>
        <w:t xml:space="preserve"> РЭБ", "Городское кладбище", "Котельной ОТРК Югра", "Временные общежития ПУ-10", "Дунина </w:t>
      </w:r>
      <w:proofErr w:type="spellStart"/>
      <w:r w:rsidRPr="0013502F">
        <w:rPr>
          <w:rFonts w:ascii="Times New Roman" w:eastAsia="Calibri" w:hAnsi="Times New Roman" w:cs="Times New Roman"/>
          <w:sz w:val="28"/>
          <w:szCs w:val="28"/>
        </w:rPr>
        <w:t>Горкавича</w:t>
      </w:r>
      <w:proofErr w:type="spellEnd"/>
      <w:r w:rsidRPr="0013502F">
        <w:rPr>
          <w:rFonts w:ascii="Times New Roman" w:eastAsia="Calibri" w:hAnsi="Times New Roman" w:cs="Times New Roman"/>
          <w:sz w:val="28"/>
          <w:szCs w:val="28"/>
        </w:rPr>
        <w:t xml:space="preserve"> д.5 и д.7".</w:t>
      </w:r>
    </w:p>
    <w:p w14:paraId="2715428A"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-заменены участки теплотрассы протяженностью 50 м. на котельной «Студенческий городок». </w:t>
      </w:r>
    </w:p>
    <w:p w14:paraId="75A67D8C"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МП «Ханты-</w:t>
      </w:r>
      <w:proofErr w:type="spellStart"/>
      <w:r w:rsidRPr="0013502F">
        <w:rPr>
          <w:rFonts w:ascii="Times New Roman" w:eastAsia="Calibri" w:hAnsi="Times New Roman" w:cs="Times New Roman"/>
          <w:sz w:val="28"/>
          <w:szCs w:val="28"/>
        </w:rPr>
        <w:t>Мансийскгаз</w:t>
      </w:r>
      <w:proofErr w:type="spellEnd"/>
      <w:r w:rsidRPr="0013502F">
        <w:rPr>
          <w:rFonts w:ascii="Times New Roman" w:eastAsia="Calibri" w:hAnsi="Times New Roman" w:cs="Times New Roman"/>
          <w:sz w:val="28"/>
          <w:szCs w:val="28"/>
        </w:rPr>
        <w:t xml:space="preserve">» в 2016 году газифицированы 244 объекта (2015 год – 205), в том числе 84 многоквартирных жилых дома и 155 индивидуальных жилых домов, 5 объектов юридических лиц. Реконструированы 2 объекта сетей </w:t>
      </w:r>
      <w:proofErr w:type="spellStart"/>
      <w:r w:rsidRPr="0013502F">
        <w:rPr>
          <w:rFonts w:ascii="Times New Roman" w:eastAsia="Calibri" w:hAnsi="Times New Roman" w:cs="Times New Roman"/>
          <w:sz w:val="28"/>
          <w:szCs w:val="28"/>
        </w:rPr>
        <w:t>газопотребления</w:t>
      </w:r>
      <w:proofErr w:type="spellEnd"/>
      <w:r w:rsidRPr="0013502F">
        <w:rPr>
          <w:rFonts w:ascii="Times New Roman" w:eastAsia="Calibri" w:hAnsi="Times New Roman" w:cs="Times New Roman"/>
          <w:sz w:val="28"/>
          <w:szCs w:val="28"/>
        </w:rPr>
        <w:t xml:space="preserve"> юридических лиц и 12 физических лиц.</w:t>
      </w:r>
    </w:p>
    <w:p w14:paraId="0F2B66C3"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proofErr w:type="gramStart"/>
      <w:r w:rsidRPr="0013502F">
        <w:rPr>
          <w:rFonts w:ascii="Times New Roman" w:eastAsia="Calibri" w:hAnsi="Times New Roman" w:cs="Times New Roman"/>
          <w:sz w:val="28"/>
          <w:szCs w:val="28"/>
        </w:rPr>
        <w:t>6  многоквартирных</w:t>
      </w:r>
      <w:proofErr w:type="gramEnd"/>
      <w:r w:rsidRPr="0013502F">
        <w:rPr>
          <w:rFonts w:ascii="Times New Roman" w:eastAsia="Calibri" w:hAnsi="Times New Roman" w:cs="Times New Roman"/>
          <w:sz w:val="28"/>
          <w:szCs w:val="28"/>
        </w:rPr>
        <w:t xml:space="preserve"> жилых домов (73 квартиры) переведены со сжиженного на природный газ.</w:t>
      </w:r>
    </w:p>
    <w:p w14:paraId="0F1206E8" w14:textId="77777777" w:rsidR="00906DAD" w:rsidRPr="0013502F" w:rsidRDefault="00906DAD" w:rsidP="00527456">
      <w:pPr>
        <w:spacing w:after="0" w:line="240" w:lineRule="auto"/>
        <w:ind w:right="142"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МП «Ханты-</w:t>
      </w:r>
      <w:proofErr w:type="spellStart"/>
      <w:r w:rsidRPr="0013502F">
        <w:rPr>
          <w:rFonts w:ascii="Times New Roman" w:eastAsia="Calibri" w:hAnsi="Times New Roman" w:cs="Times New Roman"/>
          <w:sz w:val="28"/>
          <w:szCs w:val="28"/>
        </w:rPr>
        <w:t>Мансийскгаз</w:t>
      </w:r>
      <w:proofErr w:type="spellEnd"/>
      <w:r w:rsidRPr="0013502F">
        <w:rPr>
          <w:rFonts w:ascii="Times New Roman" w:eastAsia="Calibri" w:hAnsi="Times New Roman" w:cs="Times New Roman"/>
          <w:sz w:val="28"/>
          <w:szCs w:val="28"/>
        </w:rPr>
        <w:t>» осуществляет техническое обслуживание внутридомового газового оборудования 11 447 абонентов, или 80 % от общего количества абонентов (14 323). Обслуживание остальных 20% осуществляются иными специализированными организациями. За 2016 год реализованы 1401,0 тонны сжиженного газа (2015 год – 1056,26 тонны).</w:t>
      </w:r>
    </w:p>
    <w:p w14:paraId="419FB15F" w14:textId="77777777" w:rsidR="00313FFC" w:rsidRPr="0013502F" w:rsidRDefault="00313FFC" w:rsidP="00527456">
      <w:pPr>
        <w:spacing w:after="0" w:line="240" w:lineRule="auto"/>
        <w:ind w:firstLine="709"/>
        <w:jc w:val="both"/>
        <w:rPr>
          <w:rFonts w:ascii="Times New Roman" w:eastAsia="Calibri" w:hAnsi="Times New Roman" w:cs="Times New Roman"/>
          <w:sz w:val="28"/>
          <w:szCs w:val="28"/>
        </w:rPr>
      </w:pPr>
    </w:p>
    <w:p w14:paraId="2664611B" w14:textId="77777777" w:rsidR="00313FFC" w:rsidRPr="0013502F" w:rsidRDefault="00313FFC" w:rsidP="00527456">
      <w:pPr>
        <w:spacing w:after="0" w:line="240" w:lineRule="auto"/>
        <w:ind w:firstLine="709"/>
        <w:jc w:val="both"/>
        <w:rPr>
          <w:rFonts w:ascii="Times New Roman" w:eastAsia="Calibri" w:hAnsi="Times New Roman" w:cs="Times New Roman"/>
          <w:sz w:val="28"/>
          <w:szCs w:val="28"/>
        </w:rPr>
      </w:pPr>
    </w:p>
    <w:bookmarkEnd w:id="0"/>
    <w:bookmarkEnd w:id="1"/>
    <w:p w14:paraId="73EE093E" w14:textId="77777777" w:rsidR="00FC6D12" w:rsidRPr="0013502F" w:rsidRDefault="00FC6D12" w:rsidP="00527456">
      <w:pPr>
        <w:pStyle w:val="1"/>
        <w:spacing w:before="0" w:line="240" w:lineRule="auto"/>
        <w:ind w:firstLine="709"/>
        <w:jc w:val="center"/>
        <w:rPr>
          <w:rFonts w:ascii="Times New Roman" w:eastAsia="Times New Roman" w:hAnsi="Times New Roman" w:cs="Times New Roman"/>
          <w:i/>
          <w:lang w:val="x-none" w:eastAsia="x-none"/>
        </w:rPr>
        <w:sectPr w:rsidR="00FC6D12" w:rsidRPr="0013502F" w:rsidSect="00DC1628">
          <w:footerReference w:type="default" r:id="rId17"/>
          <w:pgSz w:w="11906" w:h="16838"/>
          <w:pgMar w:top="709" w:right="851" w:bottom="851" w:left="1134" w:header="708" w:footer="708" w:gutter="0"/>
          <w:cols w:space="708"/>
          <w:titlePg/>
          <w:docGrid w:linePitch="360"/>
        </w:sectPr>
      </w:pPr>
    </w:p>
    <w:p w14:paraId="0DE597D2"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bookmarkStart w:id="5" w:name="Par466"/>
      <w:bookmarkEnd w:id="5"/>
      <w:r w:rsidRPr="0013502F">
        <w:rPr>
          <w:rFonts w:ascii="Times New Roman" w:hAnsi="Times New Roman" w:cs="Times New Roman"/>
          <w:sz w:val="28"/>
          <w:szCs w:val="28"/>
        </w:rPr>
        <w:t>Информация о состоянии жилищного фонда в городских округах и муниципальных районах</w:t>
      </w:r>
    </w:p>
    <w:p w14:paraId="3BFE165A"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Ханты-Мансийского автономного округа - Югры за отчетный период, кв. метров</w:t>
      </w:r>
    </w:p>
    <w:p w14:paraId="1DAC43FA"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u w:val="single"/>
        </w:rPr>
      </w:pPr>
      <w:r w:rsidRPr="0013502F">
        <w:rPr>
          <w:rFonts w:ascii="Times New Roman" w:hAnsi="Times New Roman" w:cs="Times New Roman"/>
          <w:sz w:val="28"/>
          <w:szCs w:val="28"/>
          <w:u w:val="single"/>
        </w:rPr>
        <w:t>город Ханты-Мансийск</w:t>
      </w:r>
    </w:p>
    <w:p w14:paraId="74B89A05"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наименование городского округа (муниципального района)</w:t>
      </w:r>
    </w:p>
    <w:p w14:paraId="68F9A79A"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p>
    <w:tbl>
      <w:tblPr>
        <w:tblW w:w="15180" w:type="dxa"/>
        <w:tblInd w:w="93" w:type="dxa"/>
        <w:tblLayout w:type="fixed"/>
        <w:tblCellMar>
          <w:top w:w="75" w:type="dxa"/>
          <w:bottom w:w="75" w:type="dxa"/>
        </w:tblCellMar>
        <w:tblLook w:val="04A0" w:firstRow="1" w:lastRow="0" w:firstColumn="1" w:lastColumn="0" w:noHBand="0" w:noVBand="1"/>
      </w:tblPr>
      <w:tblGrid>
        <w:gridCol w:w="1244"/>
        <w:gridCol w:w="1604"/>
        <w:gridCol w:w="1436"/>
        <w:gridCol w:w="1436"/>
        <w:gridCol w:w="1523"/>
        <w:gridCol w:w="992"/>
        <w:gridCol w:w="1417"/>
        <w:gridCol w:w="1134"/>
        <w:gridCol w:w="1559"/>
        <w:gridCol w:w="1134"/>
        <w:gridCol w:w="1701"/>
      </w:tblGrid>
      <w:tr w:rsidR="005E5023" w:rsidRPr="0013502F" w14:paraId="125B4E61" w14:textId="77777777" w:rsidTr="005E5023">
        <w:trPr>
          <w:trHeight w:val="330"/>
        </w:trPr>
        <w:tc>
          <w:tcPr>
            <w:tcW w:w="1245" w:type="dxa"/>
            <w:vMerge w:val="restart"/>
            <w:tcBorders>
              <w:top w:val="single" w:sz="8" w:space="0" w:color="auto"/>
              <w:left w:val="single" w:sz="8" w:space="0" w:color="auto"/>
              <w:bottom w:val="single" w:sz="8" w:space="0" w:color="000000"/>
              <w:right w:val="single" w:sz="8" w:space="0" w:color="auto"/>
            </w:tcBorders>
            <w:vAlign w:val="center"/>
            <w:hideMark/>
          </w:tcPr>
          <w:p w14:paraId="4C9FAD77"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Отчетный период</w:t>
            </w:r>
          </w:p>
        </w:tc>
        <w:tc>
          <w:tcPr>
            <w:tcW w:w="1605" w:type="dxa"/>
            <w:vMerge w:val="restart"/>
            <w:tcBorders>
              <w:top w:val="single" w:sz="8" w:space="0" w:color="auto"/>
              <w:left w:val="single" w:sz="8" w:space="0" w:color="auto"/>
              <w:bottom w:val="single" w:sz="8" w:space="0" w:color="000000"/>
              <w:right w:val="single" w:sz="8" w:space="0" w:color="auto"/>
            </w:tcBorders>
            <w:vAlign w:val="center"/>
            <w:hideMark/>
          </w:tcPr>
          <w:p w14:paraId="24CE850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Общая площадь жилых помещений на начало года, всего</w:t>
            </w:r>
          </w:p>
        </w:tc>
        <w:tc>
          <w:tcPr>
            <w:tcW w:w="5387" w:type="dxa"/>
            <w:gridSpan w:val="4"/>
            <w:tcBorders>
              <w:top w:val="single" w:sz="8" w:space="0" w:color="auto"/>
              <w:left w:val="nil"/>
              <w:bottom w:val="single" w:sz="8" w:space="0" w:color="auto"/>
              <w:right w:val="single" w:sz="8" w:space="0" w:color="000000"/>
            </w:tcBorders>
            <w:vAlign w:val="center"/>
            <w:hideMark/>
          </w:tcPr>
          <w:p w14:paraId="21D11184"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в том числе</w:t>
            </w:r>
          </w:p>
        </w:tc>
        <w:tc>
          <w:tcPr>
            <w:tcW w:w="1417" w:type="dxa"/>
            <w:vMerge w:val="restart"/>
            <w:tcBorders>
              <w:top w:val="single" w:sz="8" w:space="0" w:color="auto"/>
              <w:left w:val="single" w:sz="8" w:space="0" w:color="auto"/>
              <w:bottom w:val="single" w:sz="8" w:space="0" w:color="000000"/>
              <w:right w:val="single" w:sz="8" w:space="0" w:color="auto"/>
            </w:tcBorders>
            <w:vAlign w:val="center"/>
            <w:hideMark/>
          </w:tcPr>
          <w:p w14:paraId="6C99B77D"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Выбыло общей площади жилых помещений за год, всего</w:t>
            </w:r>
          </w:p>
        </w:tc>
        <w:tc>
          <w:tcPr>
            <w:tcW w:w="3827" w:type="dxa"/>
            <w:gridSpan w:val="3"/>
            <w:tcBorders>
              <w:top w:val="single" w:sz="8" w:space="0" w:color="auto"/>
              <w:left w:val="nil"/>
              <w:bottom w:val="single" w:sz="8" w:space="0" w:color="auto"/>
              <w:right w:val="single" w:sz="8" w:space="0" w:color="000000"/>
            </w:tcBorders>
            <w:vAlign w:val="center"/>
            <w:hideMark/>
          </w:tcPr>
          <w:p w14:paraId="60211BA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в том числе</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712E2556"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Общая площадь жилых помещений, введенная в действие за год</w:t>
            </w:r>
          </w:p>
        </w:tc>
      </w:tr>
      <w:tr w:rsidR="005E5023" w:rsidRPr="0013502F" w14:paraId="122B0FBE" w14:textId="77777777" w:rsidTr="005E5023">
        <w:trPr>
          <w:trHeight w:val="1905"/>
        </w:trPr>
        <w:tc>
          <w:tcPr>
            <w:tcW w:w="1245" w:type="dxa"/>
            <w:vMerge/>
            <w:tcBorders>
              <w:top w:val="single" w:sz="8" w:space="0" w:color="auto"/>
              <w:left w:val="single" w:sz="8" w:space="0" w:color="auto"/>
              <w:bottom w:val="single" w:sz="8" w:space="0" w:color="000000"/>
              <w:right w:val="single" w:sz="8" w:space="0" w:color="auto"/>
            </w:tcBorders>
            <w:vAlign w:val="center"/>
            <w:hideMark/>
          </w:tcPr>
          <w:p w14:paraId="53DA95B6" w14:textId="77777777" w:rsidR="005E5023" w:rsidRPr="0013502F" w:rsidRDefault="005E5023" w:rsidP="00527456">
            <w:pPr>
              <w:spacing w:after="0" w:line="240" w:lineRule="auto"/>
              <w:rPr>
                <w:rFonts w:ascii="Times New Roman" w:eastAsia="Times New Roman" w:hAnsi="Times New Roman" w:cs="Times New Roman"/>
                <w:sz w:val="24"/>
                <w:szCs w:val="24"/>
                <w:lang w:eastAsia="ru-RU"/>
              </w:rPr>
            </w:pPr>
          </w:p>
        </w:tc>
        <w:tc>
          <w:tcPr>
            <w:tcW w:w="1605" w:type="dxa"/>
            <w:vMerge/>
            <w:tcBorders>
              <w:top w:val="single" w:sz="8" w:space="0" w:color="auto"/>
              <w:left w:val="single" w:sz="8" w:space="0" w:color="auto"/>
              <w:bottom w:val="single" w:sz="8" w:space="0" w:color="000000"/>
              <w:right w:val="single" w:sz="8" w:space="0" w:color="auto"/>
            </w:tcBorders>
            <w:vAlign w:val="center"/>
            <w:hideMark/>
          </w:tcPr>
          <w:p w14:paraId="03AE42FC" w14:textId="77777777" w:rsidR="005E5023" w:rsidRPr="0013502F" w:rsidRDefault="005E5023" w:rsidP="00527456">
            <w:pPr>
              <w:spacing w:after="0" w:line="240" w:lineRule="auto"/>
              <w:rPr>
                <w:rFonts w:ascii="Times New Roman" w:eastAsia="Times New Roman" w:hAnsi="Times New Roman" w:cs="Times New Roman"/>
                <w:sz w:val="24"/>
                <w:szCs w:val="24"/>
                <w:lang w:eastAsia="ru-RU"/>
              </w:rPr>
            </w:pPr>
          </w:p>
        </w:tc>
        <w:tc>
          <w:tcPr>
            <w:tcW w:w="1436" w:type="dxa"/>
            <w:tcBorders>
              <w:top w:val="nil"/>
              <w:left w:val="nil"/>
              <w:bottom w:val="single" w:sz="8" w:space="0" w:color="auto"/>
              <w:right w:val="single" w:sz="8" w:space="0" w:color="auto"/>
            </w:tcBorders>
            <w:vAlign w:val="center"/>
            <w:hideMark/>
          </w:tcPr>
          <w:p w14:paraId="4F4C652F"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площадь ветхого жилищного фонда</w:t>
            </w:r>
          </w:p>
        </w:tc>
        <w:tc>
          <w:tcPr>
            <w:tcW w:w="1436" w:type="dxa"/>
            <w:tcBorders>
              <w:top w:val="nil"/>
              <w:left w:val="nil"/>
              <w:bottom w:val="single" w:sz="8" w:space="0" w:color="auto"/>
              <w:right w:val="single" w:sz="8" w:space="0" w:color="auto"/>
            </w:tcBorders>
            <w:vAlign w:val="center"/>
            <w:hideMark/>
          </w:tcPr>
          <w:p w14:paraId="40D29949"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площадь аварийного жилищного фонда</w:t>
            </w:r>
          </w:p>
        </w:tc>
        <w:tc>
          <w:tcPr>
            <w:tcW w:w="1523" w:type="dxa"/>
            <w:tcBorders>
              <w:top w:val="nil"/>
              <w:left w:val="nil"/>
              <w:bottom w:val="single" w:sz="8" w:space="0" w:color="auto"/>
              <w:right w:val="single" w:sz="8" w:space="0" w:color="auto"/>
            </w:tcBorders>
            <w:vAlign w:val="center"/>
            <w:hideMark/>
          </w:tcPr>
          <w:p w14:paraId="6A4F5DDC"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площадь пригодного для проживания жилищного фонда</w:t>
            </w:r>
          </w:p>
        </w:tc>
        <w:tc>
          <w:tcPr>
            <w:tcW w:w="992" w:type="dxa"/>
            <w:tcBorders>
              <w:top w:val="nil"/>
              <w:left w:val="nil"/>
              <w:bottom w:val="single" w:sz="8" w:space="0" w:color="auto"/>
              <w:right w:val="single" w:sz="8" w:space="0" w:color="auto"/>
            </w:tcBorders>
            <w:vAlign w:val="center"/>
            <w:hideMark/>
          </w:tcPr>
          <w:p w14:paraId="01D0A0AF"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прочее</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BB1124C" w14:textId="77777777" w:rsidR="005E5023" w:rsidRPr="0013502F" w:rsidRDefault="005E5023" w:rsidP="00527456">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vAlign w:val="center"/>
            <w:hideMark/>
          </w:tcPr>
          <w:p w14:paraId="1317B459"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снесено по причине ветхости</w:t>
            </w:r>
          </w:p>
        </w:tc>
        <w:tc>
          <w:tcPr>
            <w:tcW w:w="1559" w:type="dxa"/>
            <w:tcBorders>
              <w:top w:val="nil"/>
              <w:left w:val="nil"/>
              <w:bottom w:val="single" w:sz="8" w:space="0" w:color="auto"/>
              <w:right w:val="single" w:sz="8" w:space="0" w:color="auto"/>
            </w:tcBorders>
            <w:vAlign w:val="center"/>
            <w:hideMark/>
          </w:tcPr>
          <w:p w14:paraId="0F6E706F"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снесено по причине аварийности</w:t>
            </w:r>
          </w:p>
        </w:tc>
        <w:tc>
          <w:tcPr>
            <w:tcW w:w="1134" w:type="dxa"/>
            <w:tcBorders>
              <w:top w:val="nil"/>
              <w:left w:val="nil"/>
              <w:bottom w:val="single" w:sz="8" w:space="0" w:color="auto"/>
              <w:right w:val="single" w:sz="8" w:space="0" w:color="auto"/>
            </w:tcBorders>
            <w:vAlign w:val="center"/>
            <w:hideMark/>
          </w:tcPr>
          <w:p w14:paraId="1ADC0B59"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иные причины</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6AC1194" w14:textId="77777777" w:rsidR="005E5023" w:rsidRPr="0013502F" w:rsidRDefault="005E5023" w:rsidP="00527456">
            <w:pPr>
              <w:spacing w:after="0" w:line="240" w:lineRule="auto"/>
              <w:rPr>
                <w:rFonts w:ascii="Times New Roman" w:eastAsia="Times New Roman" w:hAnsi="Times New Roman" w:cs="Times New Roman"/>
                <w:sz w:val="24"/>
                <w:szCs w:val="24"/>
                <w:lang w:eastAsia="ru-RU"/>
              </w:rPr>
            </w:pPr>
          </w:p>
        </w:tc>
      </w:tr>
      <w:tr w:rsidR="005E5023" w:rsidRPr="0013502F" w14:paraId="19886C11"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1907AF9D"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2013</w:t>
            </w:r>
          </w:p>
        </w:tc>
        <w:tc>
          <w:tcPr>
            <w:tcW w:w="1605" w:type="dxa"/>
            <w:tcBorders>
              <w:top w:val="nil"/>
              <w:left w:val="nil"/>
              <w:bottom w:val="single" w:sz="8" w:space="0" w:color="auto"/>
              <w:right w:val="single" w:sz="8" w:space="0" w:color="auto"/>
            </w:tcBorders>
            <w:vAlign w:val="center"/>
            <w:hideMark/>
          </w:tcPr>
          <w:p w14:paraId="56E8C75E"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1 805 300  </w:t>
            </w:r>
          </w:p>
        </w:tc>
        <w:tc>
          <w:tcPr>
            <w:tcW w:w="1436" w:type="dxa"/>
            <w:tcBorders>
              <w:top w:val="nil"/>
              <w:left w:val="nil"/>
              <w:bottom w:val="single" w:sz="8" w:space="0" w:color="auto"/>
              <w:right w:val="single" w:sz="8" w:space="0" w:color="auto"/>
            </w:tcBorders>
            <w:vAlign w:val="center"/>
            <w:hideMark/>
          </w:tcPr>
          <w:p w14:paraId="3B3536DE"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83 600  </w:t>
            </w:r>
          </w:p>
        </w:tc>
        <w:tc>
          <w:tcPr>
            <w:tcW w:w="1436" w:type="dxa"/>
            <w:tcBorders>
              <w:top w:val="nil"/>
              <w:left w:val="nil"/>
              <w:bottom w:val="single" w:sz="8" w:space="0" w:color="auto"/>
              <w:right w:val="single" w:sz="8" w:space="0" w:color="auto"/>
            </w:tcBorders>
            <w:vAlign w:val="center"/>
            <w:hideMark/>
          </w:tcPr>
          <w:p w14:paraId="0386B4B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523" w:type="dxa"/>
            <w:tcBorders>
              <w:top w:val="nil"/>
              <w:left w:val="nil"/>
              <w:bottom w:val="single" w:sz="8" w:space="0" w:color="auto"/>
              <w:right w:val="single" w:sz="8" w:space="0" w:color="auto"/>
            </w:tcBorders>
            <w:vAlign w:val="center"/>
            <w:hideMark/>
          </w:tcPr>
          <w:p w14:paraId="61CEE68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1 721 700  </w:t>
            </w:r>
          </w:p>
        </w:tc>
        <w:tc>
          <w:tcPr>
            <w:tcW w:w="992" w:type="dxa"/>
            <w:tcBorders>
              <w:top w:val="nil"/>
              <w:left w:val="nil"/>
              <w:bottom w:val="single" w:sz="8" w:space="0" w:color="auto"/>
              <w:right w:val="single" w:sz="8" w:space="0" w:color="auto"/>
            </w:tcBorders>
            <w:vAlign w:val="center"/>
            <w:hideMark/>
          </w:tcPr>
          <w:p w14:paraId="596ECF6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vAlign w:val="center"/>
            <w:hideMark/>
          </w:tcPr>
          <w:p w14:paraId="0B16FCF5"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5 800  </w:t>
            </w:r>
          </w:p>
        </w:tc>
        <w:tc>
          <w:tcPr>
            <w:tcW w:w="1134" w:type="dxa"/>
            <w:tcBorders>
              <w:top w:val="nil"/>
              <w:left w:val="nil"/>
              <w:bottom w:val="single" w:sz="8" w:space="0" w:color="auto"/>
              <w:right w:val="single" w:sz="8" w:space="0" w:color="auto"/>
            </w:tcBorders>
            <w:vAlign w:val="center"/>
            <w:hideMark/>
          </w:tcPr>
          <w:p w14:paraId="0BF2FD6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5 800  </w:t>
            </w:r>
          </w:p>
        </w:tc>
        <w:tc>
          <w:tcPr>
            <w:tcW w:w="1559" w:type="dxa"/>
            <w:tcBorders>
              <w:top w:val="nil"/>
              <w:left w:val="nil"/>
              <w:bottom w:val="single" w:sz="8" w:space="0" w:color="auto"/>
              <w:right w:val="single" w:sz="8" w:space="0" w:color="auto"/>
            </w:tcBorders>
            <w:vAlign w:val="center"/>
            <w:hideMark/>
          </w:tcPr>
          <w:p w14:paraId="03EF1276"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134" w:type="dxa"/>
            <w:tcBorders>
              <w:top w:val="nil"/>
              <w:left w:val="nil"/>
              <w:bottom w:val="single" w:sz="8" w:space="0" w:color="auto"/>
              <w:right w:val="single" w:sz="8" w:space="0" w:color="auto"/>
            </w:tcBorders>
            <w:vAlign w:val="center"/>
            <w:hideMark/>
          </w:tcPr>
          <w:p w14:paraId="05A3F065"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vAlign w:val="center"/>
            <w:hideMark/>
          </w:tcPr>
          <w:p w14:paraId="7D49F6A7"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106 800  </w:t>
            </w:r>
          </w:p>
        </w:tc>
      </w:tr>
      <w:tr w:rsidR="005E5023" w:rsidRPr="0013502F" w14:paraId="6881805D"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21A6845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2014</w:t>
            </w:r>
          </w:p>
        </w:tc>
        <w:tc>
          <w:tcPr>
            <w:tcW w:w="1605" w:type="dxa"/>
            <w:tcBorders>
              <w:top w:val="nil"/>
              <w:left w:val="nil"/>
              <w:bottom w:val="single" w:sz="8" w:space="0" w:color="auto"/>
              <w:right w:val="single" w:sz="8" w:space="0" w:color="auto"/>
            </w:tcBorders>
            <w:vAlign w:val="center"/>
            <w:hideMark/>
          </w:tcPr>
          <w:p w14:paraId="0C2FF857"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1 906 300  </w:t>
            </w:r>
          </w:p>
        </w:tc>
        <w:tc>
          <w:tcPr>
            <w:tcW w:w="1436" w:type="dxa"/>
            <w:tcBorders>
              <w:top w:val="nil"/>
              <w:left w:val="nil"/>
              <w:bottom w:val="single" w:sz="8" w:space="0" w:color="auto"/>
              <w:right w:val="single" w:sz="8" w:space="0" w:color="auto"/>
            </w:tcBorders>
            <w:vAlign w:val="center"/>
            <w:hideMark/>
          </w:tcPr>
          <w:p w14:paraId="2756E95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78 200  </w:t>
            </w:r>
          </w:p>
        </w:tc>
        <w:tc>
          <w:tcPr>
            <w:tcW w:w="1436" w:type="dxa"/>
            <w:tcBorders>
              <w:top w:val="nil"/>
              <w:left w:val="nil"/>
              <w:bottom w:val="single" w:sz="8" w:space="0" w:color="auto"/>
              <w:right w:val="single" w:sz="8" w:space="0" w:color="auto"/>
            </w:tcBorders>
            <w:vAlign w:val="center"/>
            <w:hideMark/>
          </w:tcPr>
          <w:p w14:paraId="4C417562"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23 800  </w:t>
            </w:r>
          </w:p>
        </w:tc>
        <w:tc>
          <w:tcPr>
            <w:tcW w:w="1523" w:type="dxa"/>
            <w:tcBorders>
              <w:top w:val="nil"/>
              <w:left w:val="nil"/>
              <w:bottom w:val="single" w:sz="8" w:space="0" w:color="auto"/>
              <w:right w:val="single" w:sz="8" w:space="0" w:color="auto"/>
            </w:tcBorders>
            <w:vAlign w:val="center"/>
            <w:hideMark/>
          </w:tcPr>
          <w:p w14:paraId="064109D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1 804 300  </w:t>
            </w:r>
          </w:p>
        </w:tc>
        <w:tc>
          <w:tcPr>
            <w:tcW w:w="992" w:type="dxa"/>
            <w:tcBorders>
              <w:top w:val="nil"/>
              <w:left w:val="nil"/>
              <w:bottom w:val="single" w:sz="8" w:space="0" w:color="auto"/>
              <w:right w:val="single" w:sz="8" w:space="0" w:color="auto"/>
            </w:tcBorders>
            <w:vAlign w:val="center"/>
            <w:hideMark/>
          </w:tcPr>
          <w:p w14:paraId="082363C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vAlign w:val="center"/>
            <w:hideMark/>
          </w:tcPr>
          <w:p w14:paraId="50B6DD7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2 800  </w:t>
            </w:r>
          </w:p>
        </w:tc>
        <w:tc>
          <w:tcPr>
            <w:tcW w:w="1134" w:type="dxa"/>
            <w:tcBorders>
              <w:top w:val="nil"/>
              <w:left w:val="nil"/>
              <w:bottom w:val="single" w:sz="8" w:space="0" w:color="auto"/>
              <w:right w:val="single" w:sz="8" w:space="0" w:color="auto"/>
            </w:tcBorders>
            <w:vAlign w:val="center"/>
            <w:hideMark/>
          </w:tcPr>
          <w:p w14:paraId="125B363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vAlign w:val="center"/>
            <w:hideMark/>
          </w:tcPr>
          <w:p w14:paraId="503A910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2 800  </w:t>
            </w:r>
          </w:p>
        </w:tc>
        <w:tc>
          <w:tcPr>
            <w:tcW w:w="1134" w:type="dxa"/>
            <w:tcBorders>
              <w:top w:val="nil"/>
              <w:left w:val="nil"/>
              <w:bottom w:val="single" w:sz="8" w:space="0" w:color="auto"/>
              <w:right w:val="single" w:sz="8" w:space="0" w:color="auto"/>
            </w:tcBorders>
            <w:vAlign w:val="center"/>
            <w:hideMark/>
          </w:tcPr>
          <w:p w14:paraId="71D9845D"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vAlign w:val="center"/>
            <w:hideMark/>
          </w:tcPr>
          <w:p w14:paraId="40B7DC0C"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 xml:space="preserve">111 200  </w:t>
            </w:r>
          </w:p>
        </w:tc>
      </w:tr>
      <w:tr w:rsidR="005E5023" w:rsidRPr="0013502F" w14:paraId="6DDACBD1"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4B265EFA"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2015</w:t>
            </w:r>
          </w:p>
        </w:tc>
        <w:tc>
          <w:tcPr>
            <w:tcW w:w="1605" w:type="dxa"/>
            <w:tcBorders>
              <w:top w:val="nil"/>
              <w:left w:val="nil"/>
              <w:bottom w:val="single" w:sz="8" w:space="0" w:color="auto"/>
              <w:right w:val="single" w:sz="8" w:space="0" w:color="auto"/>
            </w:tcBorders>
            <w:vAlign w:val="center"/>
            <w:hideMark/>
          </w:tcPr>
          <w:p w14:paraId="1A168BF1"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2 014 700</w:t>
            </w:r>
          </w:p>
        </w:tc>
        <w:tc>
          <w:tcPr>
            <w:tcW w:w="1436" w:type="dxa"/>
            <w:tcBorders>
              <w:top w:val="nil"/>
              <w:left w:val="nil"/>
              <w:bottom w:val="single" w:sz="8" w:space="0" w:color="auto"/>
              <w:right w:val="single" w:sz="8" w:space="0" w:color="auto"/>
            </w:tcBorders>
            <w:vAlign w:val="center"/>
            <w:hideMark/>
          </w:tcPr>
          <w:p w14:paraId="6E035E56"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85 500</w:t>
            </w:r>
          </w:p>
        </w:tc>
        <w:tc>
          <w:tcPr>
            <w:tcW w:w="1436" w:type="dxa"/>
            <w:tcBorders>
              <w:top w:val="nil"/>
              <w:left w:val="nil"/>
              <w:bottom w:val="single" w:sz="8" w:space="0" w:color="auto"/>
              <w:right w:val="single" w:sz="8" w:space="0" w:color="auto"/>
            </w:tcBorders>
            <w:vAlign w:val="center"/>
            <w:hideMark/>
          </w:tcPr>
          <w:p w14:paraId="1246F584"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23 400</w:t>
            </w:r>
          </w:p>
        </w:tc>
        <w:tc>
          <w:tcPr>
            <w:tcW w:w="1523" w:type="dxa"/>
            <w:tcBorders>
              <w:top w:val="nil"/>
              <w:left w:val="nil"/>
              <w:bottom w:val="single" w:sz="8" w:space="0" w:color="auto"/>
              <w:right w:val="single" w:sz="8" w:space="0" w:color="auto"/>
            </w:tcBorders>
            <w:vAlign w:val="center"/>
            <w:hideMark/>
          </w:tcPr>
          <w:p w14:paraId="47458E90"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1 905 800</w:t>
            </w:r>
          </w:p>
        </w:tc>
        <w:tc>
          <w:tcPr>
            <w:tcW w:w="992" w:type="dxa"/>
            <w:tcBorders>
              <w:top w:val="nil"/>
              <w:left w:val="nil"/>
              <w:bottom w:val="single" w:sz="8" w:space="0" w:color="auto"/>
              <w:right w:val="single" w:sz="8" w:space="0" w:color="auto"/>
            </w:tcBorders>
            <w:vAlign w:val="center"/>
            <w:hideMark/>
          </w:tcPr>
          <w:p w14:paraId="527AFA56"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vAlign w:val="center"/>
            <w:hideMark/>
          </w:tcPr>
          <w:p w14:paraId="52E28EC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4 200</w:t>
            </w:r>
          </w:p>
        </w:tc>
        <w:tc>
          <w:tcPr>
            <w:tcW w:w="1134" w:type="dxa"/>
            <w:tcBorders>
              <w:top w:val="nil"/>
              <w:left w:val="nil"/>
              <w:bottom w:val="single" w:sz="8" w:space="0" w:color="auto"/>
              <w:right w:val="single" w:sz="8" w:space="0" w:color="auto"/>
            </w:tcBorders>
            <w:vAlign w:val="center"/>
            <w:hideMark/>
          </w:tcPr>
          <w:p w14:paraId="588C6AD1"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vAlign w:val="center"/>
            <w:hideMark/>
          </w:tcPr>
          <w:p w14:paraId="1DEABDCD"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4 200</w:t>
            </w:r>
          </w:p>
        </w:tc>
        <w:tc>
          <w:tcPr>
            <w:tcW w:w="1134" w:type="dxa"/>
            <w:tcBorders>
              <w:top w:val="nil"/>
              <w:left w:val="nil"/>
              <w:bottom w:val="single" w:sz="8" w:space="0" w:color="auto"/>
              <w:right w:val="single" w:sz="8" w:space="0" w:color="auto"/>
            </w:tcBorders>
            <w:vAlign w:val="center"/>
            <w:hideMark/>
          </w:tcPr>
          <w:p w14:paraId="51802E3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vAlign w:val="center"/>
            <w:hideMark/>
          </w:tcPr>
          <w:p w14:paraId="3D79345E"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140 000</w:t>
            </w:r>
          </w:p>
        </w:tc>
      </w:tr>
      <w:tr w:rsidR="005E5023" w:rsidRPr="0013502F" w14:paraId="38B26DB3"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7DCA10AD"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2016</w:t>
            </w:r>
          </w:p>
        </w:tc>
        <w:tc>
          <w:tcPr>
            <w:tcW w:w="1605" w:type="dxa"/>
            <w:tcBorders>
              <w:top w:val="nil"/>
              <w:left w:val="nil"/>
              <w:bottom w:val="single" w:sz="8" w:space="0" w:color="auto"/>
              <w:right w:val="single" w:sz="8" w:space="0" w:color="auto"/>
            </w:tcBorders>
            <w:hideMark/>
          </w:tcPr>
          <w:p w14:paraId="4BEEB18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2 150 500</w:t>
            </w:r>
          </w:p>
        </w:tc>
        <w:tc>
          <w:tcPr>
            <w:tcW w:w="1436" w:type="dxa"/>
            <w:tcBorders>
              <w:top w:val="nil"/>
              <w:left w:val="nil"/>
              <w:bottom w:val="single" w:sz="8" w:space="0" w:color="auto"/>
              <w:right w:val="single" w:sz="8" w:space="0" w:color="auto"/>
            </w:tcBorders>
            <w:hideMark/>
          </w:tcPr>
          <w:p w14:paraId="1F1CC163"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74 500</w:t>
            </w:r>
          </w:p>
        </w:tc>
        <w:tc>
          <w:tcPr>
            <w:tcW w:w="1436" w:type="dxa"/>
            <w:tcBorders>
              <w:top w:val="nil"/>
              <w:left w:val="nil"/>
              <w:bottom w:val="single" w:sz="8" w:space="0" w:color="auto"/>
              <w:right w:val="single" w:sz="8" w:space="0" w:color="auto"/>
            </w:tcBorders>
            <w:hideMark/>
          </w:tcPr>
          <w:p w14:paraId="2D33C1CA"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33 000</w:t>
            </w:r>
          </w:p>
        </w:tc>
        <w:tc>
          <w:tcPr>
            <w:tcW w:w="1523" w:type="dxa"/>
            <w:tcBorders>
              <w:top w:val="nil"/>
              <w:left w:val="nil"/>
              <w:bottom w:val="single" w:sz="8" w:space="0" w:color="auto"/>
              <w:right w:val="single" w:sz="8" w:space="0" w:color="auto"/>
            </w:tcBorders>
            <w:hideMark/>
          </w:tcPr>
          <w:p w14:paraId="359E3F85"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2 043 000</w:t>
            </w:r>
          </w:p>
        </w:tc>
        <w:tc>
          <w:tcPr>
            <w:tcW w:w="992" w:type="dxa"/>
            <w:tcBorders>
              <w:top w:val="nil"/>
              <w:left w:val="nil"/>
              <w:bottom w:val="single" w:sz="8" w:space="0" w:color="auto"/>
              <w:right w:val="single" w:sz="8" w:space="0" w:color="auto"/>
            </w:tcBorders>
            <w:hideMark/>
          </w:tcPr>
          <w:p w14:paraId="12F7A2B1"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hideMark/>
          </w:tcPr>
          <w:p w14:paraId="41291DD1"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4 500</w:t>
            </w:r>
          </w:p>
        </w:tc>
        <w:tc>
          <w:tcPr>
            <w:tcW w:w="1134" w:type="dxa"/>
            <w:tcBorders>
              <w:top w:val="nil"/>
              <w:left w:val="nil"/>
              <w:bottom w:val="single" w:sz="8" w:space="0" w:color="auto"/>
              <w:right w:val="single" w:sz="8" w:space="0" w:color="auto"/>
            </w:tcBorders>
            <w:hideMark/>
          </w:tcPr>
          <w:p w14:paraId="6169B9A2"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hideMark/>
          </w:tcPr>
          <w:p w14:paraId="30036C78"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4 500</w:t>
            </w:r>
          </w:p>
        </w:tc>
        <w:tc>
          <w:tcPr>
            <w:tcW w:w="1134" w:type="dxa"/>
            <w:tcBorders>
              <w:top w:val="nil"/>
              <w:left w:val="nil"/>
              <w:bottom w:val="single" w:sz="8" w:space="0" w:color="auto"/>
              <w:right w:val="single" w:sz="8" w:space="0" w:color="auto"/>
            </w:tcBorders>
            <w:hideMark/>
          </w:tcPr>
          <w:p w14:paraId="0E6511A9"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hideMark/>
          </w:tcPr>
          <w:p w14:paraId="5663409B" w14:textId="77777777" w:rsidR="005E5023" w:rsidRPr="0013502F" w:rsidRDefault="005E5023" w:rsidP="00527456">
            <w:pPr>
              <w:spacing w:after="0" w:line="240" w:lineRule="auto"/>
              <w:jc w:val="center"/>
              <w:rPr>
                <w:rFonts w:ascii="Times New Roman" w:eastAsia="Times New Roman" w:hAnsi="Times New Roman" w:cs="Times New Roman"/>
                <w:sz w:val="24"/>
                <w:szCs w:val="24"/>
                <w:lang w:eastAsia="ru-RU"/>
              </w:rPr>
            </w:pPr>
            <w:r w:rsidRPr="0013502F">
              <w:rPr>
                <w:rFonts w:ascii="Times New Roman" w:eastAsia="Times New Roman" w:hAnsi="Times New Roman" w:cs="Times New Roman"/>
                <w:sz w:val="24"/>
                <w:szCs w:val="24"/>
                <w:lang w:eastAsia="ru-RU"/>
              </w:rPr>
              <w:t>111 000</w:t>
            </w:r>
          </w:p>
        </w:tc>
      </w:tr>
      <w:tr w:rsidR="005E5023" w:rsidRPr="0013502F" w14:paraId="4FCB826D"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30273B61"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2017</w:t>
            </w:r>
          </w:p>
        </w:tc>
        <w:tc>
          <w:tcPr>
            <w:tcW w:w="1605" w:type="dxa"/>
            <w:tcBorders>
              <w:top w:val="nil"/>
              <w:left w:val="nil"/>
              <w:bottom w:val="single" w:sz="8" w:space="0" w:color="auto"/>
              <w:right w:val="single" w:sz="8" w:space="0" w:color="auto"/>
            </w:tcBorders>
            <w:hideMark/>
          </w:tcPr>
          <w:p w14:paraId="6C1DB96C"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2 257 000</w:t>
            </w:r>
          </w:p>
        </w:tc>
        <w:tc>
          <w:tcPr>
            <w:tcW w:w="1436" w:type="dxa"/>
            <w:tcBorders>
              <w:top w:val="nil"/>
              <w:left w:val="nil"/>
              <w:bottom w:val="single" w:sz="8" w:space="0" w:color="auto"/>
              <w:right w:val="single" w:sz="8" w:space="0" w:color="auto"/>
            </w:tcBorders>
            <w:hideMark/>
          </w:tcPr>
          <w:p w14:paraId="4B5F657C"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81 000</w:t>
            </w:r>
          </w:p>
        </w:tc>
        <w:tc>
          <w:tcPr>
            <w:tcW w:w="1436" w:type="dxa"/>
            <w:tcBorders>
              <w:top w:val="nil"/>
              <w:left w:val="nil"/>
              <w:bottom w:val="single" w:sz="8" w:space="0" w:color="auto"/>
              <w:right w:val="single" w:sz="8" w:space="0" w:color="auto"/>
            </w:tcBorders>
            <w:hideMark/>
          </w:tcPr>
          <w:p w14:paraId="25C52CA0"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24 000</w:t>
            </w:r>
          </w:p>
        </w:tc>
        <w:tc>
          <w:tcPr>
            <w:tcW w:w="1523" w:type="dxa"/>
            <w:tcBorders>
              <w:top w:val="nil"/>
              <w:left w:val="nil"/>
              <w:bottom w:val="single" w:sz="8" w:space="0" w:color="auto"/>
              <w:right w:val="single" w:sz="8" w:space="0" w:color="auto"/>
            </w:tcBorders>
            <w:hideMark/>
          </w:tcPr>
          <w:p w14:paraId="184DC327"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2 152 000</w:t>
            </w:r>
          </w:p>
        </w:tc>
        <w:tc>
          <w:tcPr>
            <w:tcW w:w="992" w:type="dxa"/>
            <w:tcBorders>
              <w:top w:val="nil"/>
              <w:left w:val="nil"/>
              <w:bottom w:val="single" w:sz="8" w:space="0" w:color="auto"/>
              <w:right w:val="single" w:sz="8" w:space="0" w:color="auto"/>
            </w:tcBorders>
            <w:hideMark/>
          </w:tcPr>
          <w:p w14:paraId="7A447E84"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hideMark/>
          </w:tcPr>
          <w:p w14:paraId="30B67581"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hideMark/>
          </w:tcPr>
          <w:p w14:paraId="62C6B0E6"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hideMark/>
          </w:tcPr>
          <w:p w14:paraId="7B7D5BFD"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hideMark/>
          </w:tcPr>
          <w:p w14:paraId="133F0375"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hideMark/>
          </w:tcPr>
          <w:p w14:paraId="73744D6F"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100 000</w:t>
            </w:r>
          </w:p>
        </w:tc>
      </w:tr>
      <w:tr w:rsidR="005E5023" w:rsidRPr="009A1D3D" w14:paraId="56F66773"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4D57670A"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2018</w:t>
            </w:r>
          </w:p>
        </w:tc>
        <w:tc>
          <w:tcPr>
            <w:tcW w:w="1605" w:type="dxa"/>
            <w:tcBorders>
              <w:top w:val="nil"/>
              <w:left w:val="nil"/>
              <w:bottom w:val="single" w:sz="8" w:space="0" w:color="auto"/>
              <w:right w:val="single" w:sz="8" w:space="0" w:color="auto"/>
            </w:tcBorders>
            <w:vAlign w:val="center"/>
            <w:hideMark/>
          </w:tcPr>
          <w:p w14:paraId="2D18C380"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2 353 500</w:t>
            </w:r>
          </w:p>
        </w:tc>
        <w:tc>
          <w:tcPr>
            <w:tcW w:w="1436" w:type="dxa"/>
            <w:tcBorders>
              <w:top w:val="nil"/>
              <w:left w:val="nil"/>
              <w:bottom w:val="single" w:sz="8" w:space="0" w:color="auto"/>
              <w:right w:val="single" w:sz="8" w:space="0" w:color="auto"/>
            </w:tcBorders>
            <w:vAlign w:val="center"/>
            <w:hideMark/>
          </w:tcPr>
          <w:p w14:paraId="2A10C950"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81 000</w:t>
            </w:r>
          </w:p>
        </w:tc>
        <w:tc>
          <w:tcPr>
            <w:tcW w:w="1436" w:type="dxa"/>
            <w:tcBorders>
              <w:top w:val="nil"/>
              <w:left w:val="nil"/>
              <w:bottom w:val="single" w:sz="8" w:space="0" w:color="auto"/>
              <w:right w:val="single" w:sz="8" w:space="0" w:color="auto"/>
            </w:tcBorders>
            <w:vAlign w:val="center"/>
            <w:hideMark/>
          </w:tcPr>
          <w:p w14:paraId="6107C44C"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24 000</w:t>
            </w:r>
          </w:p>
        </w:tc>
        <w:tc>
          <w:tcPr>
            <w:tcW w:w="1523" w:type="dxa"/>
            <w:tcBorders>
              <w:top w:val="nil"/>
              <w:left w:val="nil"/>
              <w:bottom w:val="single" w:sz="8" w:space="0" w:color="auto"/>
              <w:right w:val="single" w:sz="8" w:space="0" w:color="auto"/>
            </w:tcBorders>
            <w:vAlign w:val="center"/>
            <w:hideMark/>
          </w:tcPr>
          <w:p w14:paraId="02028755"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2 248 000</w:t>
            </w:r>
          </w:p>
        </w:tc>
        <w:tc>
          <w:tcPr>
            <w:tcW w:w="992" w:type="dxa"/>
            <w:tcBorders>
              <w:top w:val="nil"/>
              <w:left w:val="nil"/>
              <w:bottom w:val="single" w:sz="8" w:space="0" w:color="auto"/>
              <w:right w:val="single" w:sz="8" w:space="0" w:color="auto"/>
            </w:tcBorders>
            <w:vAlign w:val="center"/>
            <w:hideMark/>
          </w:tcPr>
          <w:p w14:paraId="360E74B0"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single" w:sz="8" w:space="0" w:color="auto"/>
            </w:tcBorders>
            <w:vAlign w:val="center"/>
            <w:hideMark/>
          </w:tcPr>
          <w:p w14:paraId="639F4F3E"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vAlign w:val="center"/>
            <w:hideMark/>
          </w:tcPr>
          <w:p w14:paraId="71AFDD0E"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vAlign w:val="center"/>
            <w:hideMark/>
          </w:tcPr>
          <w:p w14:paraId="02C052A2"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vAlign w:val="center"/>
            <w:hideMark/>
          </w:tcPr>
          <w:p w14:paraId="272EBDBC"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w:t>
            </w:r>
          </w:p>
        </w:tc>
        <w:tc>
          <w:tcPr>
            <w:tcW w:w="1701" w:type="dxa"/>
            <w:tcBorders>
              <w:top w:val="nil"/>
              <w:left w:val="nil"/>
              <w:bottom w:val="single" w:sz="8" w:space="0" w:color="auto"/>
              <w:right w:val="single" w:sz="8" w:space="0" w:color="auto"/>
            </w:tcBorders>
            <w:vAlign w:val="center"/>
            <w:hideMark/>
          </w:tcPr>
          <w:p w14:paraId="4731A792"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100 000</w:t>
            </w:r>
          </w:p>
        </w:tc>
      </w:tr>
      <w:tr w:rsidR="005E5023" w:rsidRPr="009A1D3D" w14:paraId="11D1FFDB" w14:textId="77777777" w:rsidTr="005E5023">
        <w:trPr>
          <w:trHeight w:val="330"/>
        </w:trPr>
        <w:tc>
          <w:tcPr>
            <w:tcW w:w="1245" w:type="dxa"/>
            <w:tcBorders>
              <w:top w:val="nil"/>
              <w:left w:val="single" w:sz="8" w:space="0" w:color="auto"/>
              <w:bottom w:val="single" w:sz="8" w:space="0" w:color="auto"/>
              <w:right w:val="single" w:sz="8" w:space="0" w:color="auto"/>
            </w:tcBorders>
            <w:vAlign w:val="center"/>
            <w:hideMark/>
          </w:tcPr>
          <w:p w14:paraId="45EB97B2"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2019</w:t>
            </w:r>
          </w:p>
        </w:tc>
        <w:tc>
          <w:tcPr>
            <w:tcW w:w="1605" w:type="dxa"/>
            <w:tcBorders>
              <w:top w:val="nil"/>
              <w:left w:val="nil"/>
              <w:bottom w:val="single" w:sz="8" w:space="0" w:color="auto"/>
              <w:right w:val="single" w:sz="8" w:space="0" w:color="auto"/>
            </w:tcBorders>
            <w:vAlign w:val="center"/>
            <w:hideMark/>
          </w:tcPr>
          <w:p w14:paraId="7A27573C"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2 449 500</w:t>
            </w:r>
          </w:p>
        </w:tc>
        <w:tc>
          <w:tcPr>
            <w:tcW w:w="1436" w:type="dxa"/>
            <w:tcBorders>
              <w:top w:val="nil"/>
              <w:left w:val="nil"/>
              <w:bottom w:val="single" w:sz="8" w:space="0" w:color="auto"/>
              <w:right w:val="single" w:sz="8" w:space="0" w:color="auto"/>
            </w:tcBorders>
            <w:vAlign w:val="center"/>
            <w:hideMark/>
          </w:tcPr>
          <w:p w14:paraId="524A9541"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81 000</w:t>
            </w:r>
          </w:p>
        </w:tc>
        <w:tc>
          <w:tcPr>
            <w:tcW w:w="1436" w:type="dxa"/>
            <w:tcBorders>
              <w:top w:val="nil"/>
              <w:left w:val="nil"/>
              <w:bottom w:val="single" w:sz="8" w:space="0" w:color="auto"/>
              <w:right w:val="single" w:sz="8" w:space="0" w:color="auto"/>
            </w:tcBorders>
            <w:vAlign w:val="center"/>
            <w:hideMark/>
          </w:tcPr>
          <w:p w14:paraId="124CAD37"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24 000</w:t>
            </w:r>
          </w:p>
        </w:tc>
        <w:tc>
          <w:tcPr>
            <w:tcW w:w="1523" w:type="dxa"/>
            <w:tcBorders>
              <w:top w:val="nil"/>
              <w:left w:val="nil"/>
              <w:bottom w:val="single" w:sz="8" w:space="0" w:color="auto"/>
              <w:right w:val="single" w:sz="8" w:space="0" w:color="auto"/>
            </w:tcBorders>
            <w:vAlign w:val="center"/>
            <w:hideMark/>
          </w:tcPr>
          <w:p w14:paraId="229DDF37"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2 344 500</w:t>
            </w:r>
          </w:p>
        </w:tc>
        <w:tc>
          <w:tcPr>
            <w:tcW w:w="992" w:type="dxa"/>
            <w:tcBorders>
              <w:top w:val="nil"/>
              <w:left w:val="nil"/>
              <w:bottom w:val="single" w:sz="8" w:space="0" w:color="auto"/>
              <w:right w:val="single" w:sz="8" w:space="0" w:color="auto"/>
            </w:tcBorders>
            <w:vAlign w:val="center"/>
          </w:tcPr>
          <w:p w14:paraId="1D88F85B"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vAlign w:val="center"/>
            <w:hideMark/>
          </w:tcPr>
          <w:p w14:paraId="2AAC7774"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vAlign w:val="center"/>
          </w:tcPr>
          <w:p w14:paraId="356F600D"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vAlign w:val="center"/>
            <w:hideMark/>
          </w:tcPr>
          <w:p w14:paraId="0CC4B46F"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4 000</w:t>
            </w:r>
          </w:p>
        </w:tc>
        <w:tc>
          <w:tcPr>
            <w:tcW w:w="1134" w:type="dxa"/>
            <w:tcBorders>
              <w:top w:val="nil"/>
              <w:left w:val="nil"/>
              <w:bottom w:val="single" w:sz="8" w:space="0" w:color="auto"/>
              <w:right w:val="single" w:sz="8" w:space="0" w:color="auto"/>
            </w:tcBorders>
            <w:vAlign w:val="center"/>
          </w:tcPr>
          <w:p w14:paraId="714AB467"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single" w:sz="8" w:space="0" w:color="auto"/>
            </w:tcBorders>
            <w:vAlign w:val="center"/>
            <w:hideMark/>
          </w:tcPr>
          <w:p w14:paraId="59F7C874" w14:textId="77777777" w:rsidR="005E5023" w:rsidRPr="00C50C92" w:rsidRDefault="005E5023" w:rsidP="00527456">
            <w:pPr>
              <w:spacing w:after="0" w:line="240" w:lineRule="auto"/>
              <w:jc w:val="center"/>
              <w:rPr>
                <w:rFonts w:ascii="Times New Roman" w:eastAsia="Times New Roman" w:hAnsi="Times New Roman" w:cs="Times New Roman"/>
                <w:sz w:val="24"/>
                <w:szCs w:val="24"/>
                <w:lang w:eastAsia="ru-RU"/>
              </w:rPr>
            </w:pPr>
            <w:r w:rsidRPr="00C50C92">
              <w:rPr>
                <w:rFonts w:ascii="Times New Roman" w:eastAsia="Times New Roman" w:hAnsi="Times New Roman" w:cs="Times New Roman"/>
                <w:sz w:val="24"/>
                <w:szCs w:val="24"/>
                <w:lang w:eastAsia="ru-RU"/>
              </w:rPr>
              <w:t>100 000</w:t>
            </w:r>
          </w:p>
        </w:tc>
      </w:tr>
    </w:tbl>
    <w:p w14:paraId="405135BF" w14:textId="77777777" w:rsidR="005E5023" w:rsidRPr="0013502F" w:rsidRDefault="005E5023" w:rsidP="00527456">
      <w:pPr>
        <w:widowControl w:val="0"/>
        <w:autoSpaceDE w:val="0"/>
        <w:autoSpaceDN w:val="0"/>
        <w:adjustRightInd w:val="0"/>
        <w:spacing w:after="0" w:line="240" w:lineRule="auto"/>
        <w:jc w:val="center"/>
        <w:rPr>
          <w:rFonts w:ascii="Times New Roman" w:hAnsi="Times New Roman" w:cs="Times New Roman"/>
          <w:sz w:val="28"/>
          <w:szCs w:val="28"/>
        </w:rPr>
      </w:pPr>
    </w:p>
    <w:p w14:paraId="0687BB47" w14:textId="77777777" w:rsidR="007C2224" w:rsidRDefault="007C2224">
      <w:pPr>
        <w:rPr>
          <w:rFonts w:ascii="Times New Roman" w:eastAsia="Calibri" w:hAnsi="Times New Roman" w:cs="Times New Roman"/>
          <w:sz w:val="28"/>
          <w:szCs w:val="28"/>
        </w:rPr>
        <w:sectPr w:rsidR="007C2224" w:rsidSect="007C2224">
          <w:pgSz w:w="16838" w:h="11906" w:orient="landscape"/>
          <w:pgMar w:top="1134" w:right="851" w:bottom="851" w:left="1134" w:header="709" w:footer="709" w:gutter="0"/>
          <w:cols w:space="708"/>
          <w:docGrid w:linePitch="360"/>
        </w:sectPr>
      </w:pPr>
    </w:p>
    <w:p w14:paraId="644B9192" w14:textId="777D4A44" w:rsidR="005E5023" w:rsidRPr="0013502F" w:rsidRDefault="005E5023" w:rsidP="00527456">
      <w:pPr>
        <w:widowControl w:val="0"/>
        <w:spacing w:after="0" w:line="240" w:lineRule="auto"/>
        <w:ind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Общая площадь жилищного фонда города Ханты-Мансийска по сост</w:t>
      </w:r>
      <w:r w:rsidR="007C2224">
        <w:rPr>
          <w:rFonts w:ascii="Times New Roman" w:eastAsia="Calibri" w:hAnsi="Times New Roman" w:cs="Times New Roman"/>
          <w:sz w:val="28"/>
          <w:szCs w:val="28"/>
        </w:rPr>
        <w:t xml:space="preserve">оянию на 01.01.2016 составляет </w:t>
      </w:r>
      <w:r w:rsidRPr="0013502F">
        <w:rPr>
          <w:rFonts w:ascii="Times New Roman" w:eastAsia="Calibri" w:hAnsi="Times New Roman" w:cs="Times New Roman"/>
          <w:sz w:val="28"/>
          <w:szCs w:val="28"/>
        </w:rPr>
        <w:t xml:space="preserve">2257,0 тыс. </w:t>
      </w:r>
      <w:proofErr w:type="spellStart"/>
      <w:r w:rsidRPr="0013502F">
        <w:rPr>
          <w:rFonts w:ascii="Times New Roman" w:eastAsia="Calibri" w:hAnsi="Times New Roman" w:cs="Times New Roman"/>
          <w:sz w:val="28"/>
          <w:szCs w:val="28"/>
        </w:rPr>
        <w:t>кв.м</w:t>
      </w:r>
      <w:proofErr w:type="spellEnd"/>
      <w:r w:rsidRPr="0013502F">
        <w:rPr>
          <w:rFonts w:ascii="Times New Roman" w:eastAsia="Calibri" w:hAnsi="Times New Roman" w:cs="Times New Roman"/>
          <w:sz w:val="28"/>
          <w:szCs w:val="28"/>
        </w:rPr>
        <w:t xml:space="preserve">., из </w:t>
      </w:r>
      <w:proofErr w:type="gramStart"/>
      <w:r w:rsidRPr="0013502F">
        <w:rPr>
          <w:rFonts w:ascii="Times New Roman" w:eastAsia="Calibri" w:hAnsi="Times New Roman" w:cs="Times New Roman"/>
          <w:sz w:val="28"/>
          <w:szCs w:val="28"/>
        </w:rPr>
        <w:t xml:space="preserve">которой: </w:t>
      </w:r>
      <w:r w:rsidR="007576D2">
        <w:rPr>
          <w:rFonts w:ascii="Times New Roman" w:eastAsia="Calibri" w:hAnsi="Times New Roman" w:cs="Times New Roman"/>
          <w:sz w:val="28"/>
          <w:szCs w:val="28"/>
        </w:rPr>
        <w:t xml:space="preserve"> </w:t>
      </w:r>
      <w:r w:rsidRPr="0013502F">
        <w:rPr>
          <w:rFonts w:ascii="Times New Roman" w:eastAsia="Calibri" w:hAnsi="Times New Roman" w:cs="Times New Roman"/>
          <w:sz w:val="28"/>
          <w:szCs w:val="28"/>
        </w:rPr>
        <w:t>площадь</w:t>
      </w:r>
      <w:proofErr w:type="gramEnd"/>
      <w:r w:rsidRPr="0013502F">
        <w:rPr>
          <w:rFonts w:ascii="Times New Roman" w:eastAsia="Calibri" w:hAnsi="Times New Roman" w:cs="Times New Roman"/>
          <w:sz w:val="28"/>
          <w:szCs w:val="28"/>
        </w:rPr>
        <w:t xml:space="preserve"> ветхого жилищного фонда (с процентом износа конструктивных элементов здания свыше 65%) составляет 74,5 тыс. </w:t>
      </w:r>
      <w:proofErr w:type="spellStart"/>
      <w:r w:rsidRPr="0013502F">
        <w:rPr>
          <w:rFonts w:ascii="Times New Roman" w:eastAsia="Calibri" w:hAnsi="Times New Roman" w:cs="Times New Roman"/>
          <w:sz w:val="28"/>
          <w:szCs w:val="28"/>
        </w:rPr>
        <w:t>кв.м</w:t>
      </w:r>
      <w:proofErr w:type="spellEnd"/>
      <w:r w:rsidRPr="0013502F">
        <w:rPr>
          <w:rFonts w:ascii="Times New Roman" w:eastAsia="Calibri" w:hAnsi="Times New Roman" w:cs="Times New Roman"/>
          <w:sz w:val="28"/>
          <w:szCs w:val="28"/>
        </w:rPr>
        <w:t xml:space="preserve">., что на 11 тыс. </w:t>
      </w:r>
      <w:proofErr w:type="spellStart"/>
      <w:r w:rsidRPr="0013502F">
        <w:rPr>
          <w:rFonts w:ascii="Times New Roman" w:eastAsia="Calibri" w:hAnsi="Times New Roman" w:cs="Times New Roman"/>
          <w:sz w:val="28"/>
          <w:szCs w:val="28"/>
        </w:rPr>
        <w:t>кв.м</w:t>
      </w:r>
      <w:proofErr w:type="spellEnd"/>
      <w:r w:rsidRPr="0013502F">
        <w:rPr>
          <w:rFonts w:ascii="Times New Roman" w:eastAsia="Calibri" w:hAnsi="Times New Roman" w:cs="Times New Roman"/>
          <w:sz w:val="28"/>
          <w:szCs w:val="28"/>
        </w:rPr>
        <w:t xml:space="preserve"> меньше чем в 2015 году;</w:t>
      </w:r>
      <w:r w:rsidR="007576D2">
        <w:rPr>
          <w:rFonts w:ascii="Times New Roman" w:eastAsia="Calibri" w:hAnsi="Times New Roman" w:cs="Times New Roman"/>
          <w:sz w:val="28"/>
          <w:szCs w:val="28"/>
        </w:rPr>
        <w:t xml:space="preserve"> </w:t>
      </w:r>
      <w:r w:rsidRPr="0013502F">
        <w:rPr>
          <w:rFonts w:ascii="Times New Roman" w:eastAsia="Calibri" w:hAnsi="Times New Roman" w:cs="Times New Roman"/>
          <w:sz w:val="28"/>
          <w:szCs w:val="28"/>
        </w:rPr>
        <w:t xml:space="preserve">площадь аварийного жилищного фонда составляет 33,0 </w:t>
      </w:r>
      <w:proofErr w:type="spellStart"/>
      <w:r w:rsidRPr="0013502F">
        <w:rPr>
          <w:rFonts w:ascii="Times New Roman" w:eastAsia="Calibri" w:hAnsi="Times New Roman" w:cs="Times New Roman"/>
          <w:sz w:val="28"/>
          <w:szCs w:val="28"/>
        </w:rPr>
        <w:t>тыс.кв.м</w:t>
      </w:r>
      <w:proofErr w:type="spellEnd"/>
      <w:r w:rsidRPr="0013502F">
        <w:rPr>
          <w:rFonts w:ascii="Times New Roman" w:eastAsia="Calibri" w:hAnsi="Times New Roman" w:cs="Times New Roman"/>
          <w:sz w:val="28"/>
          <w:szCs w:val="28"/>
        </w:rPr>
        <w:t xml:space="preserve">, что на 9,6 </w:t>
      </w:r>
      <w:proofErr w:type="spellStart"/>
      <w:r w:rsidRPr="0013502F">
        <w:rPr>
          <w:rFonts w:ascii="Times New Roman" w:eastAsia="Calibri" w:hAnsi="Times New Roman" w:cs="Times New Roman"/>
          <w:sz w:val="28"/>
          <w:szCs w:val="28"/>
        </w:rPr>
        <w:t>тыс.кв.м</w:t>
      </w:r>
      <w:proofErr w:type="spellEnd"/>
      <w:r w:rsidR="009B765C">
        <w:rPr>
          <w:rFonts w:ascii="Times New Roman" w:eastAsia="Calibri" w:hAnsi="Times New Roman" w:cs="Times New Roman"/>
          <w:sz w:val="28"/>
          <w:szCs w:val="28"/>
        </w:rPr>
        <w:t>.</w:t>
      </w:r>
      <w:r w:rsidRPr="0013502F">
        <w:rPr>
          <w:rFonts w:ascii="Times New Roman" w:eastAsia="Calibri" w:hAnsi="Times New Roman" w:cs="Times New Roman"/>
          <w:sz w:val="28"/>
          <w:szCs w:val="28"/>
        </w:rPr>
        <w:t xml:space="preserve"> больше чем в 2015 году.</w:t>
      </w:r>
    </w:p>
    <w:p w14:paraId="421C7537" w14:textId="77777777" w:rsidR="005E5023" w:rsidRPr="0013502F" w:rsidRDefault="005E5023" w:rsidP="00527456">
      <w:pPr>
        <w:widowControl w:val="0"/>
        <w:spacing w:after="0" w:line="240" w:lineRule="auto"/>
        <w:ind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Площадь аварийного жилого фонда увеличилась в связи с активизацией собственников помещений в многоквартирных домах в инициировании процедуры признания многоквартирных домов аварийными и подлежащими сносу.</w:t>
      </w:r>
    </w:p>
    <w:p w14:paraId="49A7DA12" w14:textId="2A24D326" w:rsidR="005E5023" w:rsidRPr="0013502F" w:rsidRDefault="005E5023" w:rsidP="00527456">
      <w:pPr>
        <w:widowControl w:val="0"/>
        <w:spacing w:after="0" w:line="240" w:lineRule="auto"/>
        <w:ind w:firstLine="709"/>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Продолжена реализация мероприятий по ликвидации аварийного жилищного фонда. В 2016 году было снесено 12 аварийных домов общей площадью 4,5 тыс. </w:t>
      </w:r>
      <w:proofErr w:type="spellStart"/>
      <w:r w:rsidRPr="0013502F">
        <w:rPr>
          <w:rFonts w:ascii="Times New Roman" w:eastAsia="Calibri" w:hAnsi="Times New Roman" w:cs="Times New Roman"/>
          <w:sz w:val="28"/>
          <w:szCs w:val="28"/>
        </w:rPr>
        <w:t>кв.м</w:t>
      </w:r>
      <w:proofErr w:type="spellEnd"/>
      <w:r w:rsidRPr="0013502F">
        <w:rPr>
          <w:rFonts w:ascii="Times New Roman" w:eastAsia="Calibri" w:hAnsi="Times New Roman" w:cs="Times New Roman"/>
          <w:sz w:val="28"/>
          <w:szCs w:val="28"/>
        </w:rPr>
        <w:t xml:space="preserve">., что на 0,3 тыс. </w:t>
      </w:r>
      <w:proofErr w:type="spellStart"/>
      <w:r w:rsidRPr="0013502F">
        <w:rPr>
          <w:rFonts w:ascii="Times New Roman" w:eastAsia="Calibri" w:hAnsi="Times New Roman" w:cs="Times New Roman"/>
          <w:sz w:val="28"/>
          <w:szCs w:val="28"/>
        </w:rPr>
        <w:t>кв.м</w:t>
      </w:r>
      <w:proofErr w:type="spellEnd"/>
      <w:r w:rsidRPr="0013502F">
        <w:rPr>
          <w:rFonts w:ascii="Times New Roman" w:eastAsia="Calibri" w:hAnsi="Times New Roman" w:cs="Times New Roman"/>
          <w:sz w:val="28"/>
          <w:szCs w:val="28"/>
        </w:rPr>
        <w:t>. больше чем за 2015году.</w:t>
      </w:r>
      <w:r w:rsidR="007576D2">
        <w:rPr>
          <w:rFonts w:ascii="Times New Roman" w:eastAsia="Calibri" w:hAnsi="Times New Roman" w:cs="Times New Roman"/>
          <w:sz w:val="28"/>
          <w:szCs w:val="28"/>
        </w:rPr>
        <w:t xml:space="preserve"> </w:t>
      </w:r>
      <w:r w:rsidRPr="0013502F">
        <w:rPr>
          <w:rFonts w:ascii="Times New Roman" w:eastAsia="Calibri" w:hAnsi="Times New Roman" w:cs="Times New Roman"/>
          <w:sz w:val="28"/>
          <w:szCs w:val="28"/>
        </w:rPr>
        <w:t xml:space="preserve">В 2016 году в эксплуатацию введено 20 многоквартирных домов общей площадью 111,0 тыс. </w:t>
      </w:r>
      <w:proofErr w:type="spellStart"/>
      <w:r w:rsidRPr="0013502F">
        <w:rPr>
          <w:rFonts w:ascii="Times New Roman" w:eastAsia="Calibri" w:hAnsi="Times New Roman" w:cs="Times New Roman"/>
          <w:sz w:val="28"/>
          <w:szCs w:val="28"/>
        </w:rPr>
        <w:t>кв.м</w:t>
      </w:r>
      <w:proofErr w:type="spellEnd"/>
      <w:r w:rsidRPr="0013502F">
        <w:rPr>
          <w:rFonts w:ascii="Times New Roman" w:eastAsia="Calibri" w:hAnsi="Times New Roman" w:cs="Times New Roman"/>
          <w:sz w:val="28"/>
          <w:szCs w:val="28"/>
        </w:rPr>
        <w:t xml:space="preserve">. и 10,7 тыс. </w:t>
      </w:r>
      <w:proofErr w:type="spellStart"/>
      <w:r w:rsidRPr="0013502F">
        <w:rPr>
          <w:rFonts w:ascii="Times New Roman" w:eastAsia="Calibri" w:hAnsi="Times New Roman" w:cs="Times New Roman"/>
          <w:sz w:val="28"/>
          <w:szCs w:val="28"/>
        </w:rPr>
        <w:t>кв.м</w:t>
      </w:r>
      <w:proofErr w:type="spellEnd"/>
      <w:r w:rsidRPr="0013502F">
        <w:rPr>
          <w:rFonts w:ascii="Times New Roman" w:eastAsia="Calibri" w:hAnsi="Times New Roman" w:cs="Times New Roman"/>
          <w:sz w:val="28"/>
          <w:szCs w:val="28"/>
        </w:rPr>
        <w:t xml:space="preserve">. индивидуального жилого фонда. За 2015 год было введено 140,0 тыс. </w:t>
      </w:r>
      <w:proofErr w:type="spellStart"/>
      <w:r w:rsidRPr="0013502F">
        <w:rPr>
          <w:rFonts w:ascii="Times New Roman" w:eastAsia="Calibri" w:hAnsi="Times New Roman" w:cs="Times New Roman"/>
          <w:sz w:val="28"/>
          <w:szCs w:val="28"/>
        </w:rPr>
        <w:t>кв.м</w:t>
      </w:r>
      <w:proofErr w:type="spellEnd"/>
      <w:r w:rsidR="00DB3D5C" w:rsidRPr="0013502F">
        <w:rPr>
          <w:rFonts w:ascii="Times New Roman" w:eastAsia="Calibri" w:hAnsi="Times New Roman" w:cs="Times New Roman"/>
          <w:sz w:val="28"/>
          <w:szCs w:val="28"/>
        </w:rPr>
        <w:t>.</w:t>
      </w:r>
      <w:r w:rsidRPr="0013502F">
        <w:rPr>
          <w:rFonts w:ascii="Times New Roman" w:eastAsia="Calibri" w:hAnsi="Times New Roman" w:cs="Times New Roman"/>
          <w:sz w:val="28"/>
          <w:szCs w:val="28"/>
        </w:rPr>
        <w:t xml:space="preserve"> общей площади жилищного фонда.</w:t>
      </w:r>
    </w:p>
    <w:p w14:paraId="00F9E1A8" w14:textId="77777777" w:rsidR="00811B56" w:rsidRPr="0013502F" w:rsidRDefault="00811B56" w:rsidP="00527456">
      <w:pPr>
        <w:spacing w:after="0" w:line="240" w:lineRule="auto"/>
      </w:pPr>
    </w:p>
    <w:p w14:paraId="0D5298B7" w14:textId="77777777" w:rsidR="006736C6" w:rsidRPr="0013502F" w:rsidRDefault="00D747C7" w:rsidP="00527456">
      <w:pPr>
        <w:pStyle w:val="1"/>
        <w:numPr>
          <w:ilvl w:val="1"/>
          <w:numId w:val="1"/>
        </w:numPr>
        <w:spacing w:before="0" w:line="240" w:lineRule="auto"/>
        <w:jc w:val="center"/>
        <w:rPr>
          <w:rFonts w:ascii="Times New Roman" w:eastAsia="Calibri" w:hAnsi="Times New Roman" w:cs="Times New Roman"/>
          <w:color w:val="auto"/>
          <w:lang w:eastAsia="ru-RU"/>
        </w:rPr>
      </w:pPr>
      <w:r w:rsidRPr="0013502F">
        <w:rPr>
          <w:rFonts w:ascii="Times New Roman" w:eastAsia="Calibri" w:hAnsi="Times New Roman" w:cs="Times New Roman"/>
          <w:color w:val="auto"/>
          <w:lang w:eastAsia="ru-RU"/>
        </w:rPr>
        <w:t>Охрана прав граждан и юридических лиц</w:t>
      </w:r>
    </w:p>
    <w:p w14:paraId="34B95E2D" w14:textId="77777777" w:rsidR="00B3207F" w:rsidRPr="0013502F" w:rsidRDefault="00B3207F" w:rsidP="00527456">
      <w:pPr>
        <w:spacing w:after="0" w:line="240" w:lineRule="auto"/>
        <w:ind w:firstLine="709"/>
        <w:rPr>
          <w:rFonts w:ascii="Times New Roman" w:hAnsi="Times New Roman" w:cs="Times New Roman"/>
          <w:sz w:val="28"/>
          <w:szCs w:val="28"/>
          <w:lang w:eastAsia="ru-RU"/>
        </w:rPr>
      </w:pPr>
    </w:p>
    <w:p w14:paraId="465EC471" w14:textId="77777777" w:rsidR="009016C7" w:rsidRPr="0013502F"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В 2016 году в суды поступило 57 обращений физических и юридических лиц по обжалованию действий (бездействий) органов Администрации города Ханты-Мансийска, что на 103,5% больше по сравнению по итогам работы 2015 года (28 обращений). Из общего числа обращений, основную долю 77,2% (44) составляют обращения физических лиц, что на 54.5% больше по сравнению по итогам работы 2015 года (24).</w:t>
      </w:r>
    </w:p>
    <w:p w14:paraId="3CA30E50" w14:textId="77777777" w:rsidR="009016C7" w:rsidRPr="0013502F"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Доля обращений юридических лиц от общего числа незначительна и составляет 22,8% (13). Вместе с тем таких обращений в суды поступило в три раза больше чем в 2015 году (4).</w:t>
      </w:r>
    </w:p>
    <w:p w14:paraId="5668DA65" w14:textId="77777777" w:rsidR="009016C7" w:rsidRPr="0013502F"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 xml:space="preserve">Всего в 2016 году по результатам рассмотрения обращений, судами удовлетворено 15 обращений, что составляет 26,3% от общего числа обращений, </w:t>
      </w:r>
      <w:proofErr w:type="gramStart"/>
      <w:r w:rsidRPr="0013502F">
        <w:rPr>
          <w:rFonts w:ascii="Times New Roman" w:hAnsi="Times New Roman" w:cs="Times New Roman"/>
          <w:sz w:val="28"/>
          <w:szCs w:val="28"/>
          <w:lang w:eastAsia="ru-RU"/>
        </w:rPr>
        <w:t>в  2015</w:t>
      </w:r>
      <w:proofErr w:type="gramEnd"/>
      <w:r w:rsidRPr="0013502F">
        <w:rPr>
          <w:rFonts w:ascii="Times New Roman" w:hAnsi="Times New Roman" w:cs="Times New Roman"/>
          <w:sz w:val="28"/>
          <w:szCs w:val="28"/>
          <w:lang w:eastAsia="ru-RU"/>
        </w:rPr>
        <w:t xml:space="preserve"> году этот показатель составлял 46,4%.</w:t>
      </w:r>
    </w:p>
    <w:p w14:paraId="0F8F2B89" w14:textId="77777777" w:rsidR="009016C7" w:rsidRPr="0013502F"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 xml:space="preserve">Вместе с этим судами принято решений об отказе в удовлетворении 36 обращений, что составляет 63,2 % от общего числа рассмотренных, в 2015 году это показатель составил 39,2 %. </w:t>
      </w:r>
    </w:p>
    <w:p w14:paraId="367EDC26" w14:textId="26BE9061" w:rsidR="009016C7" w:rsidRPr="0013502F"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 xml:space="preserve">Наибольшее количество обращений из общего числа составляют обращения в сфере жилищных и земельных отношений 71,9% (40), что на 110,5 </w:t>
      </w:r>
      <w:proofErr w:type="gramStart"/>
      <w:r w:rsidRPr="0013502F">
        <w:rPr>
          <w:rFonts w:ascii="Times New Roman" w:hAnsi="Times New Roman" w:cs="Times New Roman"/>
          <w:sz w:val="28"/>
          <w:szCs w:val="28"/>
          <w:lang w:eastAsia="ru-RU"/>
        </w:rPr>
        <w:t>%  больше</w:t>
      </w:r>
      <w:proofErr w:type="gramEnd"/>
      <w:r w:rsidRPr="0013502F">
        <w:rPr>
          <w:rFonts w:ascii="Times New Roman" w:hAnsi="Times New Roman" w:cs="Times New Roman"/>
          <w:sz w:val="28"/>
          <w:szCs w:val="28"/>
          <w:lang w:eastAsia="ru-RU"/>
        </w:rPr>
        <w:t xml:space="preserve"> по сравнению с 2015 годом (19), из них: </w:t>
      </w:r>
      <w:r w:rsidR="007576D2">
        <w:rPr>
          <w:rFonts w:ascii="Times New Roman" w:hAnsi="Times New Roman" w:cs="Times New Roman"/>
          <w:sz w:val="28"/>
          <w:szCs w:val="28"/>
          <w:lang w:eastAsia="ru-RU"/>
        </w:rPr>
        <w:t xml:space="preserve"> </w:t>
      </w:r>
      <w:r w:rsidRPr="0013502F">
        <w:rPr>
          <w:rFonts w:ascii="Times New Roman" w:hAnsi="Times New Roman" w:cs="Times New Roman"/>
          <w:sz w:val="28"/>
          <w:szCs w:val="28"/>
          <w:lang w:eastAsia="ru-RU"/>
        </w:rPr>
        <w:t>удовлетворено - 10, что составляет 25% от числа поданных обращений данной категории, в 2015 году этот показатель составил 63,2%;</w:t>
      </w:r>
      <w:r w:rsidR="007576D2">
        <w:rPr>
          <w:rFonts w:ascii="Times New Roman" w:hAnsi="Times New Roman" w:cs="Times New Roman"/>
          <w:sz w:val="28"/>
          <w:szCs w:val="28"/>
          <w:lang w:eastAsia="ru-RU"/>
        </w:rPr>
        <w:t xml:space="preserve"> </w:t>
      </w:r>
      <w:r w:rsidRPr="0013502F">
        <w:rPr>
          <w:rFonts w:ascii="Times New Roman" w:hAnsi="Times New Roman" w:cs="Times New Roman"/>
          <w:sz w:val="28"/>
          <w:szCs w:val="28"/>
          <w:lang w:eastAsia="ru-RU"/>
        </w:rPr>
        <w:t>отказано в удовлетворении – 24, что составляет 60% от числа поданных обращений данной категории, в 2015 году этот показатель составил 32%, что показывает положительную динамику.</w:t>
      </w:r>
    </w:p>
    <w:p w14:paraId="67D394D6" w14:textId="17869FB6" w:rsidR="007576D2" w:rsidRDefault="009016C7" w:rsidP="00527456">
      <w:pPr>
        <w:spacing w:after="0" w:line="240" w:lineRule="auto"/>
        <w:ind w:firstLine="709"/>
        <w:jc w:val="both"/>
        <w:rPr>
          <w:rFonts w:ascii="Times New Roman" w:hAnsi="Times New Roman" w:cs="Times New Roman"/>
          <w:sz w:val="28"/>
          <w:szCs w:val="28"/>
          <w:lang w:eastAsia="ru-RU"/>
        </w:rPr>
      </w:pPr>
      <w:r w:rsidRPr="0013502F">
        <w:rPr>
          <w:rFonts w:ascii="Times New Roman" w:hAnsi="Times New Roman" w:cs="Times New Roman"/>
          <w:sz w:val="28"/>
          <w:szCs w:val="28"/>
          <w:lang w:eastAsia="ru-RU"/>
        </w:rPr>
        <w:t>Динамика показателей обжалованных в суды действий (бездействий) органов Администрации города Ханты-Мансийска в 2016 году показывает эффективность деятельности органов Администрации города Ханты-Мансийска по сравнению с 2015 годом</w:t>
      </w:r>
      <w:r w:rsidR="007576D2">
        <w:rPr>
          <w:rFonts w:ascii="Times New Roman" w:hAnsi="Times New Roman" w:cs="Times New Roman"/>
          <w:sz w:val="28"/>
          <w:szCs w:val="28"/>
          <w:lang w:eastAsia="ru-RU"/>
        </w:rPr>
        <w:t xml:space="preserve"> (Таблица 2)</w:t>
      </w:r>
      <w:r w:rsidRPr="0013502F">
        <w:rPr>
          <w:rFonts w:ascii="Times New Roman" w:hAnsi="Times New Roman" w:cs="Times New Roman"/>
          <w:sz w:val="28"/>
          <w:szCs w:val="28"/>
          <w:lang w:eastAsia="ru-RU"/>
        </w:rPr>
        <w:t>.</w:t>
      </w:r>
    </w:p>
    <w:p w14:paraId="2A110AE1" w14:textId="77777777" w:rsidR="007576D2" w:rsidRDefault="007576D2" w:rsidP="007576D2">
      <w:pPr>
        <w:jc w:val="center"/>
        <w:rPr>
          <w:rFonts w:ascii="Times New Roman" w:hAnsi="Times New Roman" w:cs="Times New Roman"/>
          <w:sz w:val="28"/>
          <w:szCs w:val="28"/>
        </w:rPr>
        <w:sectPr w:rsidR="007576D2" w:rsidSect="007576D2">
          <w:pgSz w:w="11906" w:h="16838"/>
          <w:pgMar w:top="851" w:right="851" w:bottom="1134" w:left="1134" w:header="709" w:footer="709" w:gutter="0"/>
          <w:cols w:space="708"/>
          <w:docGrid w:linePitch="360"/>
        </w:sectPr>
      </w:pPr>
      <w:r>
        <w:rPr>
          <w:rFonts w:ascii="Times New Roman" w:hAnsi="Times New Roman" w:cs="Times New Roman"/>
          <w:sz w:val="28"/>
          <w:szCs w:val="28"/>
        </w:rPr>
        <w:br w:type="page"/>
      </w:r>
    </w:p>
    <w:p w14:paraId="22A9D03A" w14:textId="67A60301" w:rsidR="007576D2" w:rsidRDefault="007576D2" w:rsidP="007576D2">
      <w:pPr>
        <w:jc w:val="right"/>
        <w:rPr>
          <w:rFonts w:ascii="Times New Roman" w:hAnsi="Times New Roman" w:cs="Times New Roman"/>
          <w:sz w:val="28"/>
          <w:szCs w:val="28"/>
        </w:rPr>
      </w:pPr>
      <w:r>
        <w:rPr>
          <w:rFonts w:ascii="Times New Roman" w:hAnsi="Times New Roman" w:cs="Times New Roman"/>
          <w:sz w:val="28"/>
          <w:szCs w:val="28"/>
        </w:rPr>
        <w:t>Таблица 2</w:t>
      </w:r>
    </w:p>
    <w:p w14:paraId="711B34E2" w14:textId="37D96554" w:rsidR="007576D2" w:rsidRPr="0013502F" w:rsidRDefault="007576D2" w:rsidP="007576D2">
      <w:pPr>
        <w:jc w:val="center"/>
        <w:rPr>
          <w:rFonts w:ascii="Times New Roman" w:hAnsi="Times New Roman" w:cs="Times New Roman"/>
          <w:sz w:val="28"/>
          <w:szCs w:val="28"/>
        </w:rPr>
      </w:pPr>
      <w:r w:rsidRPr="0013502F">
        <w:rPr>
          <w:rFonts w:ascii="Times New Roman" w:hAnsi="Times New Roman" w:cs="Times New Roman"/>
          <w:sz w:val="28"/>
          <w:szCs w:val="28"/>
        </w:rPr>
        <w:t>Количество допущенных нарушений прав граждан</w:t>
      </w:r>
    </w:p>
    <w:p w14:paraId="3BC8C334" w14:textId="77777777" w:rsidR="007576D2" w:rsidRPr="0013502F" w:rsidRDefault="007576D2" w:rsidP="007576D2">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и юридических лиц, подтвержденных судебными актами</w:t>
      </w:r>
    </w:p>
    <w:p w14:paraId="1FF57A88" w14:textId="77777777" w:rsidR="007576D2" w:rsidRPr="0013502F" w:rsidRDefault="007576D2" w:rsidP="007576D2">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____город Ханты-Мансийск______________</w:t>
      </w:r>
    </w:p>
    <w:p w14:paraId="276A88AD" w14:textId="77777777" w:rsidR="007576D2" w:rsidRPr="0013502F" w:rsidRDefault="007576D2" w:rsidP="007576D2">
      <w:pPr>
        <w:widowControl w:val="0"/>
        <w:autoSpaceDE w:val="0"/>
        <w:autoSpaceDN w:val="0"/>
        <w:adjustRightInd w:val="0"/>
        <w:spacing w:after="0" w:line="240" w:lineRule="auto"/>
        <w:jc w:val="center"/>
        <w:rPr>
          <w:rFonts w:ascii="Times New Roman" w:hAnsi="Times New Roman" w:cs="Times New Roman"/>
          <w:sz w:val="28"/>
          <w:szCs w:val="28"/>
        </w:rPr>
      </w:pPr>
      <w:r w:rsidRPr="0013502F">
        <w:rPr>
          <w:rFonts w:ascii="Times New Roman" w:hAnsi="Times New Roman" w:cs="Times New Roman"/>
          <w:sz w:val="28"/>
          <w:szCs w:val="28"/>
        </w:rPr>
        <w:t>наименование городского округа (муниципального района)</w:t>
      </w:r>
    </w:p>
    <w:p w14:paraId="2CFF3455" w14:textId="3D0A2373" w:rsidR="007576D2" w:rsidRPr="0013502F" w:rsidRDefault="007576D2" w:rsidP="00527456">
      <w:pPr>
        <w:spacing w:after="0" w:line="240" w:lineRule="auto"/>
        <w:ind w:firstLine="709"/>
        <w:jc w:val="both"/>
        <w:rPr>
          <w:rFonts w:ascii="Times New Roman" w:hAnsi="Times New Roman" w:cs="Times New Roman"/>
          <w:sz w:val="28"/>
          <w:szCs w:val="28"/>
          <w:lang w:eastAsia="ru-RU"/>
        </w:rPr>
      </w:pPr>
    </w:p>
    <w:tbl>
      <w:tblPr>
        <w:tblW w:w="16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649"/>
        <w:gridCol w:w="632"/>
        <w:gridCol w:w="632"/>
        <w:gridCol w:w="632"/>
        <w:gridCol w:w="632"/>
        <w:gridCol w:w="632"/>
        <w:gridCol w:w="632"/>
        <w:gridCol w:w="632"/>
        <w:gridCol w:w="632"/>
        <w:gridCol w:w="632"/>
        <w:gridCol w:w="633"/>
        <w:gridCol w:w="633"/>
        <w:gridCol w:w="633"/>
        <w:gridCol w:w="633"/>
        <w:gridCol w:w="633"/>
        <w:gridCol w:w="633"/>
        <w:gridCol w:w="633"/>
        <w:gridCol w:w="633"/>
        <w:gridCol w:w="633"/>
        <w:gridCol w:w="633"/>
        <w:gridCol w:w="633"/>
        <w:gridCol w:w="633"/>
        <w:gridCol w:w="667"/>
        <w:gridCol w:w="599"/>
      </w:tblGrid>
      <w:tr w:rsidR="007576D2" w:rsidRPr="0013502F" w14:paraId="71EB296D" w14:textId="77777777" w:rsidTr="007576D2">
        <w:trPr>
          <w:jc w:val="center"/>
        </w:trPr>
        <w:tc>
          <w:tcPr>
            <w:tcW w:w="993" w:type="dxa"/>
            <w:vMerge w:val="restart"/>
            <w:vAlign w:val="center"/>
          </w:tcPr>
          <w:p w14:paraId="19C1809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Орган местного самоуправления</w:t>
            </w:r>
          </w:p>
        </w:tc>
        <w:tc>
          <w:tcPr>
            <w:tcW w:w="3809" w:type="dxa"/>
            <w:gridSpan w:val="6"/>
            <w:vMerge w:val="restart"/>
            <w:vAlign w:val="center"/>
          </w:tcPr>
          <w:p w14:paraId="2F6F549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Общее количество обращений в суды на действия (бездействие) органа местного самоуправления</w:t>
            </w:r>
          </w:p>
        </w:tc>
        <w:tc>
          <w:tcPr>
            <w:tcW w:w="11390" w:type="dxa"/>
            <w:gridSpan w:val="18"/>
            <w:vAlign w:val="center"/>
          </w:tcPr>
          <w:p w14:paraId="5D0DB52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из них судами исковые требования:</w:t>
            </w:r>
          </w:p>
        </w:tc>
      </w:tr>
      <w:tr w:rsidR="007576D2" w:rsidRPr="0013502F" w14:paraId="4FB3CBC4" w14:textId="77777777" w:rsidTr="007576D2">
        <w:trPr>
          <w:jc w:val="center"/>
        </w:trPr>
        <w:tc>
          <w:tcPr>
            <w:tcW w:w="993" w:type="dxa"/>
            <w:vMerge/>
          </w:tcPr>
          <w:p w14:paraId="65A12465" w14:textId="77777777" w:rsidR="007576D2" w:rsidRPr="0013502F" w:rsidRDefault="007576D2" w:rsidP="007576D2">
            <w:pPr>
              <w:spacing w:after="0" w:line="240" w:lineRule="auto"/>
              <w:rPr>
                <w:rFonts w:ascii="Times New Roman" w:hAnsi="Times New Roman" w:cs="Times New Roman"/>
                <w:sz w:val="20"/>
                <w:szCs w:val="20"/>
              </w:rPr>
            </w:pPr>
          </w:p>
        </w:tc>
        <w:tc>
          <w:tcPr>
            <w:tcW w:w="3809" w:type="dxa"/>
            <w:gridSpan w:val="6"/>
            <w:vMerge/>
          </w:tcPr>
          <w:p w14:paraId="71FE22CF" w14:textId="77777777" w:rsidR="007576D2" w:rsidRPr="0013502F" w:rsidRDefault="007576D2" w:rsidP="007576D2">
            <w:pPr>
              <w:spacing w:after="0" w:line="240" w:lineRule="auto"/>
              <w:rPr>
                <w:rFonts w:ascii="Times New Roman" w:hAnsi="Times New Roman" w:cs="Times New Roman"/>
                <w:sz w:val="20"/>
                <w:szCs w:val="20"/>
              </w:rPr>
            </w:pPr>
          </w:p>
        </w:tc>
        <w:tc>
          <w:tcPr>
            <w:tcW w:w="3794" w:type="dxa"/>
            <w:gridSpan w:val="6"/>
          </w:tcPr>
          <w:p w14:paraId="3D8A638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удовлетворены частично</w:t>
            </w:r>
          </w:p>
        </w:tc>
        <w:tc>
          <w:tcPr>
            <w:tcW w:w="3798" w:type="dxa"/>
            <w:gridSpan w:val="6"/>
          </w:tcPr>
          <w:p w14:paraId="0118DCF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удовлетворены полностью</w:t>
            </w:r>
          </w:p>
        </w:tc>
        <w:tc>
          <w:tcPr>
            <w:tcW w:w="3798" w:type="dxa"/>
            <w:gridSpan w:val="6"/>
          </w:tcPr>
          <w:p w14:paraId="31E23FB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отказано в удовлетворении</w:t>
            </w:r>
          </w:p>
        </w:tc>
      </w:tr>
      <w:tr w:rsidR="007576D2" w:rsidRPr="0013502F" w14:paraId="6F2D27DC" w14:textId="77777777" w:rsidTr="007576D2">
        <w:trPr>
          <w:jc w:val="center"/>
        </w:trPr>
        <w:tc>
          <w:tcPr>
            <w:tcW w:w="993" w:type="dxa"/>
            <w:vMerge/>
          </w:tcPr>
          <w:p w14:paraId="3F9CF396" w14:textId="77777777" w:rsidR="007576D2" w:rsidRPr="0013502F" w:rsidRDefault="007576D2" w:rsidP="007576D2">
            <w:pPr>
              <w:spacing w:after="0" w:line="240" w:lineRule="auto"/>
              <w:rPr>
                <w:rFonts w:ascii="Times New Roman" w:hAnsi="Times New Roman" w:cs="Times New Roman"/>
                <w:sz w:val="20"/>
                <w:szCs w:val="20"/>
              </w:rPr>
            </w:pPr>
          </w:p>
        </w:tc>
        <w:tc>
          <w:tcPr>
            <w:tcW w:w="1281" w:type="dxa"/>
            <w:gridSpan w:val="2"/>
          </w:tcPr>
          <w:p w14:paraId="0339876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2014</w:t>
            </w:r>
          </w:p>
        </w:tc>
        <w:tc>
          <w:tcPr>
            <w:tcW w:w="1264" w:type="dxa"/>
            <w:gridSpan w:val="2"/>
          </w:tcPr>
          <w:p w14:paraId="510C3FF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2015</w:t>
            </w:r>
          </w:p>
        </w:tc>
        <w:tc>
          <w:tcPr>
            <w:tcW w:w="1264" w:type="dxa"/>
            <w:gridSpan w:val="2"/>
          </w:tcPr>
          <w:p w14:paraId="5DFE3CB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2016</w:t>
            </w:r>
          </w:p>
        </w:tc>
        <w:tc>
          <w:tcPr>
            <w:tcW w:w="1264" w:type="dxa"/>
            <w:gridSpan w:val="2"/>
          </w:tcPr>
          <w:p w14:paraId="7D6B6D5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2014</w:t>
            </w:r>
          </w:p>
        </w:tc>
        <w:tc>
          <w:tcPr>
            <w:tcW w:w="1264" w:type="dxa"/>
            <w:gridSpan w:val="2"/>
          </w:tcPr>
          <w:p w14:paraId="1D4E023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2015</w:t>
            </w:r>
          </w:p>
        </w:tc>
        <w:tc>
          <w:tcPr>
            <w:tcW w:w="1266" w:type="dxa"/>
            <w:gridSpan w:val="2"/>
          </w:tcPr>
          <w:p w14:paraId="54B8A60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2016</w:t>
            </w:r>
          </w:p>
        </w:tc>
        <w:tc>
          <w:tcPr>
            <w:tcW w:w="1266" w:type="dxa"/>
            <w:gridSpan w:val="2"/>
          </w:tcPr>
          <w:p w14:paraId="4AC5C8B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2014</w:t>
            </w:r>
          </w:p>
        </w:tc>
        <w:tc>
          <w:tcPr>
            <w:tcW w:w="1266" w:type="dxa"/>
            <w:gridSpan w:val="2"/>
          </w:tcPr>
          <w:p w14:paraId="20B1BF1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2015</w:t>
            </w:r>
          </w:p>
        </w:tc>
        <w:tc>
          <w:tcPr>
            <w:tcW w:w="1266" w:type="dxa"/>
            <w:gridSpan w:val="2"/>
          </w:tcPr>
          <w:p w14:paraId="5DFDA2E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2016</w:t>
            </w:r>
          </w:p>
        </w:tc>
        <w:tc>
          <w:tcPr>
            <w:tcW w:w="1266" w:type="dxa"/>
            <w:gridSpan w:val="2"/>
          </w:tcPr>
          <w:p w14:paraId="66609E2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2014</w:t>
            </w:r>
          </w:p>
        </w:tc>
        <w:tc>
          <w:tcPr>
            <w:tcW w:w="1266" w:type="dxa"/>
            <w:gridSpan w:val="2"/>
          </w:tcPr>
          <w:p w14:paraId="239F937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2015</w:t>
            </w:r>
          </w:p>
        </w:tc>
        <w:tc>
          <w:tcPr>
            <w:tcW w:w="1266" w:type="dxa"/>
            <w:gridSpan w:val="2"/>
          </w:tcPr>
          <w:p w14:paraId="3BE8DB2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2016</w:t>
            </w:r>
          </w:p>
        </w:tc>
      </w:tr>
      <w:tr w:rsidR="007576D2" w:rsidRPr="0013502F" w14:paraId="2739A3B3" w14:textId="77777777" w:rsidTr="007576D2">
        <w:trPr>
          <w:jc w:val="center"/>
        </w:trPr>
        <w:tc>
          <w:tcPr>
            <w:tcW w:w="993" w:type="dxa"/>
            <w:vMerge/>
          </w:tcPr>
          <w:p w14:paraId="325F0CF2" w14:textId="77777777" w:rsidR="007576D2" w:rsidRPr="0013502F" w:rsidRDefault="007576D2" w:rsidP="007576D2">
            <w:pPr>
              <w:spacing w:after="0" w:line="240" w:lineRule="auto"/>
              <w:rPr>
                <w:rFonts w:ascii="Times New Roman" w:hAnsi="Times New Roman" w:cs="Times New Roman"/>
                <w:sz w:val="20"/>
                <w:szCs w:val="20"/>
              </w:rPr>
            </w:pPr>
          </w:p>
        </w:tc>
        <w:tc>
          <w:tcPr>
            <w:tcW w:w="649" w:type="dxa"/>
          </w:tcPr>
          <w:p w14:paraId="03807AA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72EE313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2" w:type="dxa"/>
          </w:tcPr>
          <w:p w14:paraId="36E3991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13502F">
              <w:rPr>
                <w:rFonts w:ascii="Times New Roman" w:eastAsia="Times New Roman" w:hAnsi="Times New Roman" w:cs="Times New Roman"/>
                <w:sz w:val="20"/>
                <w:szCs w:val="20"/>
                <w:lang w:eastAsia="ru-RU"/>
              </w:rPr>
              <w:t>юри</w:t>
            </w:r>
            <w:proofErr w:type="spellEnd"/>
            <w:r w:rsidRPr="0013502F">
              <w:rPr>
                <w:rFonts w:ascii="Times New Roman" w:eastAsia="Times New Roman" w:hAnsi="Times New Roman" w:cs="Times New Roman"/>
                <w:sz w:val="20"/>
                <w:szCs w:val="20"/>
                <w:lang w:val="en-US" w:eastAsia="ru-RU"/>
              </w:rPr>
              <w:t>-</w:t>
            </w:r>
            <w:proofErr w:type="spellStart"/>
            <w:r w:rsidRPr="0013502F">
              <w:rPr>
                <w:rFonts w:ascii="Times New Roman" w:eastAsia="Times New Roman" w:hAnsi="Times New Roman" w:cs="Times New Roman"/>
                <w:sz w:val="20"/>
                <w:szCs w:val="20"/>
                <w:lang w:eastAsia="ru-RU"/>
              </w:rPr>
              <w:t>дические</w:t>
            </w:r>
            <w:proofErr w:type="spellEnd"/>
            <w:proofErr w:type="gramEnd"/>
            <w:r w:rsidRPr="0013502F">
              <w:rPr>
                <w:rFonts w:ascii="Times New Roman" w:eastAsia="Times New Roman" w:hAnsi="Times New Roman" w:cs="Times New Roman"/>
                <w:sz w:val="20"/>
                <w:szCs w:val="20"/>
                <w:lang w:eastAsia="ru-RU"/>
              </w:rPr>
              <w:t xml:space="preserve"> лица</w:t>
            </w:r>
          </w:p>
        </w:tc>
        <w:tc>
          <w:tcPr>
            <w:tcW w:w="632" w:type="dxa"/>
          </w:tcPr>
          <w:p w14:paraId="547526E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2D61549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2" w:type="dxa"/>
          </w:tcPr>
          <w:p w14:paraId="09F5F57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3BD60E2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2" w:type="dxa"/>
          </w:tcPr>
          <w:p w14:paraId="1DE9ABB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286C374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2" w:type="dxa"/>
          </w:tcPr>
          <w:p w14:paraId="5A91B5C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22F746F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2" w:type="dxa"/>
          </w:tcPr>
          <w:p w14:paraId="036B64D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4A08CC3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2" w:type="dxa"/>
          </w:tcPr>
          <w:p w14:paraId="4E8F760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70B0DEA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2" w:type="dxa"/>
          </w:tcPr>
          <w:p w14:paraId="4C59EE1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3110420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2" w:type="dxa"/>
          </w:tcPr>
          <w:p w14:paraId="57C1AD3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3C1E999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7CF7907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406F330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050553C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386B068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7CE5523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048FC92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1B25518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01B4CEB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106BA1F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0C3260C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03B6573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053C3B3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72B9425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4833D44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0762C62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7358F91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375904A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w:t>
            </w:r>
            <w:proofErr w:type="spellEnd"/>
          </w:p>
          <w:p w14:paraId="6D13788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чес</w:t>
            </w:r>
          </w:p>
          <w:p w14:paraId="1F034C9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5C9E71F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45869ED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диче</w:t>
            </w:r>
          </w:p>
          <w:p w14:paraId="5887977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ские</w:t>
            </w:r>
            <w:proofErr w:type="spellEnd"/>
            <w:r w:rsidRPr="0013502F">
              <w:rPr>
                <w:rFonts w:ascii="Times New Roman" w:eastAsia="Times New Roman" w:hAnsi="Times New Roman" w:cs="Times New Roman"/>
                <w:sz w:val="20"/>
                <w:szCs w:val="20"/>
                <w:lang w:eastAsia="ru-RU"/>
              </w:rPr>
              <w:t xml:space="preserve"> лица</w:t>
            </w:r>
          </w:p>
        </w:tc>
        <w:tc>
          <w:tcPr>
            <w:tcW w:w="633" w:type="dxa"/>
          </w:tcPr>
          <w:p w14:paraId="64CA540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физичес</w:t>
            </w:r>
            <w:proofErr w:type="spellEnd"/>
          </w:p>
          <w:p w14:paraId="4107237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633" w:type="dxa"/>
          </w:tcPr>
          <w:p w14:paraId="49E803D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64E81BC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c>
          <w:tcPr>
            <w:tcW w:w="667" w:type="dxa"/>
          </w:tcPr>
          <w:p w14:paraId="377DB45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физи</w:t>
            </w:r>
            <w:proofErr w:type="spellEnd"/>
          </w:p>
          <w:p w14:paraId="6C7C901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чес</w:t>
            </w:r>
          </w:p>
          <w:p w14:paraId="01B1F4A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кие лица</w:t>
            </w:r>
          </w:p>
        </w:tc>
        <w:tc>
          <w:tcPr>
            <w:tcW w:w="599" w:type="dxa"/>
          </w:tcPr>
          <w:p w14:paraId="2303095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юри</w:t>
            </w:r>
            <w:proofErr w:type="spellEnd"/>
          </w:p>
          <w:p w14:paraId="4689958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дические</w:t>
            </w:r>
            <w:proofErr w:type="spellEnd"/>
            <w:r w:rsidRPr="0013502F">
              <w:rPr>
                <w:rFonts w:ascii="Times New Roman" w:eastAsia="Times New Roman" w:hAnsi="Times New Roman" w:cs="Times New Roman"/>
                <w:sz w:val="20"/>
                <w:szCs w:val="20"/>
                <w:lang w:eastAsia="ru-RU"/>
              </w:rPr>
              <w:t xml:space="preserve"> лица</w:t>
            </w:r>
          </w:p>
        </w:tc>
      </w:tr>
      <w:tr w:rsidR="007576D2" w:rsidRPr="0013502F" w14:paraId="0E23778E" w14:textId="77777777" w:rsidTr="007576D2">
        <w:trPr>
          <w:jc w:val="center"/>
        </w:trPr>
        <w:tc>
          <w:tcPr>
            <w:tcW w:w="993" w:type="dxa"/>
          </w:tcPr>
          <w:p w14:paraId="6949CD16"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Всего, в том числе по направлениям:</w:t>
            </w:r>
          </w:p>
        </w:tc>
        <w:tc>
          <w:tcPr>
            <w:tcW w:w="649" w:type="dxa"/>
            <w:vAlign w:val="bottom"/>
          </w:tcPr>
          <w:p w14:paraId="4F4DB4A2"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30</w:t>
            </w:r>
          </w:p>
        </w:tc>
        <w:tc>
          <w:tcPr>
            <w:tcW w:w="632" w:type="dxa"/>
            <w:vAlign w:val="bottom"/>
          </w:tcPr>
          <w:p w14:paraId="73179D6A"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4</w:t>
            </w:r>
          </w:p>
        </w:tc>
        <w:tc>
          <w:tcPr>
            <w:tcW w:w="632" w:type="dxa"/>
            <w:vAlign w:val="bottom"/>
          </w:tcPr>
          <w:p w14:paraId="6BFEE14B"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24</w:t>
            </w:r>
          </w:p>
        </w:tc>
        <w:tc>
          <w:tcPr>
            <w:tcW w:w="632" w:type="dxa"/>
            <w:vAlign w:val="bottom"/>
          </w:tcPr>
          <w:p w14:paraId="2C15E8C4"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4</w:t>
            </w:r>
          </w:p>
        </w:tc>
        <w:tc>
          <w:tcPr>
            <w:tcW w:w="632" w:type="dxa"/>
            <w:vAlign w:val="bottom"/>
          </w:tcPr>
          <w:p w14:paraId="5F8F7E0B"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44</w:t>
            </w:r>
          </w:p>
        </w:tc>
        <w:tc>
          <w:tcPr>
            <w:tcW w:w="632" w:type="dxa"/>
            <w:vAlign w:val="bottom"/>
          </w:tcPr>
          <w:p w14:paraId="1EE359D8"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13</w:t>
            </w:r>
          </w:p>
        </w:tc>
        <w:tc>
          <w:tcPr>
            <w:tcW w:w="632" w:type="dxa"/>
            <w:vAlign w:val="bottom"/>
          </w:tcPr>
          <w:p w14:paraId="12FA71E3"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32" w:type="dxa"/>
            <w:vAlign w:val="bottom"/>
          </w:tcPr>
          <w:p w14:paraId="2CEFD0B5"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07266EEC"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2" w:type="dxa"/>
            <w:vAlign w:val="bottom"/>
          </w:tcPr>
          <w:p w14:paraId="687A0BEE"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3</w:t>
            </w:r>
          </w:p>
        </w:tc>
        <w:tc>
          <w:tcPr>
            <w:tcW w:w="633" w:type="dxa"/>
            <w:vAlign w:val="bottom"/>
          </w:tcPr>
          <w:p w14:paraId="2D288C25"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3</w:t>
            </w:r>
          </w:p>
        </w:tc>
        <w:tc>
          <w:tcPr>
            <w:tcW w:w="633" w:type="dxa"/>
            <w:vAlign w:val="bottom"/>
          </w:tcPr>
          <w:p w14:paraId="07952363"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w:t>
            </w:r>
          </w:p>
        </w:tc>
        <w:tc>
          <w:tcPr>
            <w:tcW w:w="633" w:type="dxa"/>
            <w:vAlign w:val="bottom"/>
          </w:tcPr>
          <w:p w14:paraId="7F7B4C6D"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21</w:t>
            </w:r>
          </w:p>
        </w:tc>
        <w:tc>
          <w:tcPr>
            <w:tcW w:w="633" w:type="dxa"/>
            <w:vAlign w:val="bottom"/>
          </w:tcPr>
          <w:p w14:paraId="382FEC08"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3</w:t>
            </w:r>
          </w:p>
        </w:tc>
        <w:tc>
          <w:tcPr>
            <w:tcW w:w="633" w:type="dxa"/>
            <w:vAlign w:val="bottom"/>
          </w:tcPr>
          <w:p w14:paraId="217EC11B"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12</w:t>
            </w:r>
          </w:p>
        </w:tc>
        <w:tc>
          <w:tcPr>
            <w:tcW w:w="633" w:type="dxa"/>
            <w:vAlign w:val="bottom"/>
          </w:tcPr>
          <w:p w14:paraId="16C2E641"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4E07FCFE"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10</w:t>
            </w:r>
          </w:p>
        </w:tc>
        <w:tc>
          <w:tcPr>
            <w:tcW w:w="633" w:type="dxa"/>
            <w:vAlign w:val="bottom"/>
          </w:tcPr>
          <w:p w14:paraId="23816AA7"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5</w:t>
            </w:r>
          </w:p>
        </w:tc>
        <w:tc>
          <w:tcPr>
            <w:tcW w:w="633" w:type="dxa"/>
            <w:vAlign w:val="bottom"/>
          </w:tcPr>
          <w:p w14:paraId="36E53BFF"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9</w:t>
            </w:r>
          </w:p>
        </w:tc>
        <w:tc>
          <w:tcPr>
            <w:tcW w:w="633" w:type="dxa"/>
            <w:vAlign w:val="bottom"/>
          </w:tcPr>
          <w:p w14:paraId="133B6960"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69464324"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10</w:t>
            </w:r>
          </w:p>
        </w:tc>
        <w:tc>
          <w:tcPr>
            <w:tcW w:w="633" w:type="dxa"/>
            <w:vAlign w:val="bottom"/>
          </w:tcPr>
          <w:p w14:paraId="478AAFEB"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67" w:type="dxa"/>
            <w:vAlign w:val="bottom"/>
          </w:tcPr>
          <w:p w14:paraId="2E8B9D2B"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29</w:t>
            </w:r>
          </w:p>
        </w:tc>
        <w:tc>
          <w:tcPr>
            <w:tcW w:w="599" w:type="dxa"/>
            <w:vAlign w:val="bottom"/>
          </w:tcPr>
          <w:p w14:paraId="3D194972"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7</w:t>
            </w:r>
          </w:p>
        </w:tc>
      </w:tr>
      <w:tr w:rsidR="007576D2" w:rsidRPr="0013502F" w14:paraId="70335143" w14:textId="77777777" w:rsidTr="007576D2">
        <w:trPr>
          <w:jc w:val="center"/>
        </w:trPr>
        <w:tc>
          <w:tcPr>
            <w:tcW w:w="993" w:type="dxa"/>
          </w:tcPr>
          <w:p w14:paraId="01AE2D99"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 xml:space="preserve">малое </w:t>
            </w:r>
            <w:proofErr w:type="gramStart"/>
            <w:r w:rsidRPr="0013502F">
              <w:rPr>
                <w:rFonts w:ascii="Times New Roman" w:eastAsia="Times New Roman" w:hAnsi="Times New Roman" w:cs="Times New Roman"/>
                <w:sz w:val="20"/>
                <w:szCs w:val="20"/>
                <w:lang w:eastAsia="ru-RU"/>
              </w:rPr>
              <w:t>пред-</w:t>
            </w:r>
            <w:proofErr w:type="spellStart"/>
            <w:r w:rsidRPr="0013502F">
              <w:rPr>
                <w:rFonts w:ascii="Times New Roman" w:eastAsia="Times New Roman" w:hAnsi="Times New Roman" w:cs="Times New Roman"/>
                <w:sz w:val="20"/>
                <w:szCs w:val="20"/>
                <w:lang w:eastAsia="ru-RU"/>
              </w:rPr>
              <w:t>принимательство</w:t>
            </w:r>
            <w:proofErr w:type="spellEnd"/>
            <w:proofErr w:type="gramEnd"/>
          </w:p>
        </w:tc>
        <w:tc>
          <w:tcPr>
            <w:tcW w:w="649" w:type="dxa"/>
            <w:vAlign w:val="bottom"/>
          </w:tcPr>
          <w:p w14:paraId="1218041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3E6211C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53517A0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7C2495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38535D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586EAC9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8E07EC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476BF17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131BD21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D570D4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FA61A1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244ADE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FCFD81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3A3045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FEB3B3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E4BF8F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399D30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F40693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512128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15D252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D6607E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E4AFDF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67" w:type="dxa"/>
            <w:vAlign w:val="bottom"/>
          </w:tcPr>
          <w:p w14:paraId="5DFECC8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599" w:type="dxa"/>
            <w:vAlign w:val="bottom"/>
          </w:tcPr>
          <w:p w14:paraId="12F8DC9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r>
      <w:tr w:rsidR="007576D2" w:rsidRPr="0013502F" w14:paraId="1D0715B7" w14:textId="77777777" w:rsidTr="007576D2">
        <w:trPr>
          <w:jc w:val="center"/>
        </w:trPr>
        <w:tc>
          <w:tcPr>
            <w:tcW w:w="993" w:type="dxa"/>
          </w:tcPr>
          <w:p w14:paraId="7BC17152"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жилищно-коммунальный комплекс</w:t>
            </w:r>
          </w:p>
        </w:tc>
        <w:tc>
          <w:tcPr>
            <w:tcW w:w="649" w:type="dxa"/>
            <w:vAlign w:val="bottom"/>
          </w:tcPr>
          <w:p w14:paraId="47254BE7" w14:textId="7B2AE905" w:rsidR="007576D2" w:rsidRPr="0013502F" w:rsidRDefault="008559F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32" w:type="dxa"/>
            <w:vAlign w:val="bottom"/>
          </w:tcPr>
          <w:p w14:paraId="7CDDB328" w14:textId="2FE10991" w:rsidR="007576D2" w:rsidRPr="0013502F" w:rsidRDefault="008559F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32" w:type="dxa"/>
            <w:vAlign w:val="bottom"/>
          </w:tcPr>
          <w:p w14:paraId="602F085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7606A7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18E053A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0F62F5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F841319" w14:textId="092EA373" w:rsidR="007576D2" w:rsidRPr="0013502F" w:rsidRDefault="008559F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32" w:type="dxa"/>
            <w:vAlign w:val="bottom"/>
          </w:tcPr>
          <w:p w14:paraId="78DD79C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3959D0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DB54E2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F836A9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5F9CB61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A03442A" w14:textId="29062A89" w:rsidR="007576D2" w:rsidRPr="0013502F" w:rsidRDefault="008559F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33" w:type="dxa"/>
            <w:vAlign w:val="bottom"/>
          </w:tcPr>
          <w:p w14:paraId="0A5AB9A1" w14:textId="00223046" w:rsidR="007576D2" w:rsidRPr="0013502F" w:rsidRDefault="008559F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33" w:type="dxa"/>
            <w:vAlign w:val="bottom"/>
          </w:tcPr>
          <w:p w14:paraId="55901C1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491BC6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5F66BE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997442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B1D887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7084AD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42AFFC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0A2621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67" w:type="dxa"/>
            <w:vAlign w:val="bottom"/>
          </w:tcPr>
          <w:p w14:paraId="1098B63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599" w:type="dxa"/>
            <w:vAlign w:val="bottom"/>
          </w:tcPr>
          <w:p w14:paraId="4D930A8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r>
      <w:tr w:rsidR="007576D2" w:rsidRPr="0013502F" w14:paraId="6603515F" w14:textId="77777777" w:rsidTr="007576D2">
        <w:trPr>
          <w:jc w:val="center"/>
        </w:trPr>
        <w:tc>
          <w:tcPr>
            <w:tcW w:w="993" w:type="dxa"/>
          </w:tcPr>
          <w:p w14:paraId="33D8C3F4"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13502F">
              <w:rPr>
                <w:rFonts w:ascii="Times New Roman" w:eastAsia="Times New Roman" w:hAnsi="Times New Roman" w:cs="Times New Roman"/>
                <w:sz w:val="20"/>
                <w:szCs w:val="20"/>
                <w:lang w:eastAsia="ru-RU"/>
              </w:rPr>
              <w:t>строи-</w:t>
            </w:r>
            <w:proofErr w:type="spellStart"/>
            <w:r w:rsidRPr="0013502F">
              <w:rPr>
                <w:rFonts w:ascii="Times New Roman" w:eastAsia="Times New Roman" w:hAnsi="Times New Roman" w:cs="Times New Roman"/>
                <w:sz w:val="20"/>
                <w:szCs w:val="20"/>
                <w:lang w:eastAsia="ru-RU"/>
              </w:rPr>
              <w:t>тель</w:t>
            </w:r>
            <w:proofErr w:type="spellEnd"/>
            <w:proofErr w:type="gramEnd"/>
            <w:r w:rsidRPr="0013502F">
              <w:rPr>
                <w:rFonts w:ascii="Times New Roman" w:eastAsia="Times New Roman" w:hAnsi="Times New Roman" w:cs="Times New Roman"/>
                <w:sz w:val="20"/>
                <w:szCs w:val="20"/>
                <w:lang w:eastAsia="ru-RU"/>
              </w:rPr>
              <w:t>-</w:t>
            </w:r>
            <w:proofErr w:type="spellStart"/>
            <w:r w:rsidRPr="0013502F">
              <w:rPr>
                <w:rFonts w:ascii="Times New Roman" w:eastAsia="Times New Roman" w:hAnsi="Times New Roman" w:cs="Times New Roman"/>
                <w:sz w:val="20"/>
                <w:szCs w:val="20"/>
                <w:lang w:eastAsia="ru-RU"/>
              </w:rPr>
              <w:t>ство</w:t>
            </w:r>
            <w:proofErr w:type="spellEnd"/>
          </w:p>
        </w:tc>
        <w:tc>
          <w:tcPr>
            <w:tcW w:w="649" w:type="dxa"/>
            <w:vAlign w:val="bottom"/>
          </w:tcPr>
          <w:p w14:paraId="1DE24381"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11</w:t>
            </w:r>
          </w:p>
        </w:tc>
        <w:tc>
          <w:tcPr>
            <w:tcW w:w="632" w:type="dxa"/>
            <w:vAlign w:val="bottom"/>
          </w:tcPr>
          <w:p w14:paraId="0C4479DE"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2" w:type="dxa"/>
            <w:vAlign w:val="bottom"/>
          </w:tcPr>
          <w:p w14:paraId="3A03F07F"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5</w:t>
            </w:r>
          </w:p>
        </w:tc>
        <w:tc>
          <w:tcPr>
            <w:tcW w:w="632" w:type="dxa"/>
            <w:vAlign w:val="bottom"/>
          </w:tcPr>
          <w:p w14:paraId="442E107A"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3</w:t>
            </w:r>
          </w:p>
        </w:tc>
        <w:tc>
          <w:tcPr>
            <w:tcW w:w="632" w:type="dxa"/>
            <w:vAlign w:val="bottom"/>
          </w:tcPr>
          <w:p w14:paraId="363AF814"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6</w:t>
            </w:r>
          </w:p>
        </w:tc>
        <w:tc>
          <w:tcPr>
            <w:tcW w:w="632" w:type="dxa"/>
            <w:vAlign w:val="bottom"/>
          </w:tcPr>
          <w:p w14:paraId="0F4BF65A"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11</w:t>
            </w:r>
          </w:p>
        </w:tc>
        <w:tc>
          <w:tcPr>
            <w:tcW w:w="632" w:type="dxa"/>
            <w:vAlign w:val="bottom"/>
          </w:tcPr>
          <w:p w14:paraId="7036A16D"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7ADBBE6B"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5B24F765"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3433C684"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3" w:type="dxa"/>
            <w:vAlign w:val="bottom"/>
          </w:tcPr>
          <w:p w14:paraId="41539437"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633" w:type="dxa"/>
            <w:vAlign w:val="bottom"/>
          </w:tcPr>
          <w:p w14:paraId="3E69C8CA"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0</w:t>
            </w:r>
          </w:p>
        </w:tc>
        <w:tc>
          <w:tcPr>
            <w:tcW w:w="633" w:type="dxa"/>
            <w:vAlign w:val="bottom"/>
          </w:tcPr>
          <w:p w14:paraId="7B48B9CE"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4</w:t>
            </w:r>
          </w:p>
        </w:tc>
        <w:tc>
          <w:tcPr>
            <w:tcW w:w="633" w:type="dxa"/>
            <w:vAlign w:val="bottom"/>
          </w:tcPr>
          <w:p w14:paraId="300D1E88"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3" w:type="dxa"/>
            <w:vAlign w:val="bottom"/>
          </w:tcPr>
          <w:p w14:paraId="02590347"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33" w:type="dxa"/>
            <w:vAlign w:val="bottom"/>
          </w:tcPr>
          <w:p w14:paraId="2BDF734A"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3656B614"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633" w:type="dxa"/>
            <w:vAlign w:val="bottom"/>
          </w:tcPr>
          <w:p w14:paraId="3793DFBA"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5</w:t>
            </w:r>
          </w:p>
        </w:tc>
        <w:tc>
          <w:tcPr>
            <w:tcW w:w="633" w:type="dxa"/>
            <w:vAlign w:val="bottom"/>
          </w:tcPr>
          <w:p w14:paraId="3EFAC0D5"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7</w:t>
            </w:r>
          </w:p>
        </w:tc>
        <w:tc>
          <w:tcPr>
            <w:tcW w:w="633" w:type="dxa"/>
            <w:vAlign w:val="bottom"/>
          </w:tcPr>
          <w:p w14:paraId="34C47230"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6F5D67DD"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5</w:t>
            </w:r>
          </w:p>
        </w:tc>
        <w:tc>
          <w:tcPr>
            <w:tcW w:w="633" w:type="dxa"/>
            <w:vAlign w:val="bottom"/>
          </w:tcPr>
          <w:p w14:paraId="6D666D9D"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67" w:type="dxa"/>
            <w:vAlign w:val="bottom"/>
          </w:tcPr>
          <w:p w14:paraId="0D880245"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6</w:t>
            </w:r>
          </w:p>
        </w:tc>
        <w:tc>
          <w:tcPr>
            <w:tcW w:w="599" w:type="dxa"/>
            <w:vAlign w:val="bottom"/>
          </w:tcPr>
          <w:p w14:paraId="35CBC9A3"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6</w:t>
            </w:r>
          </w:p>
        </w:tc>
      </w:tr>
      <w:tr w:rsidR="007576D2" w:rsidRPr="0013502F" w14:paraId="6076AF66" w14:textId="77777777" w:rsidTr="007576D2">
        <w:trPr>
          <w:jc w:val="center"/>
        </w:trPr>
        <w:tc>
          <w:tcPr>
            <w:tcW w:w="993" w:type="dxa"/>
          </w:tcPr>
          <w:p w14:paraId="28559D94"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здравоохранение</w:t>
            </w:r>
          </w:p>
        </w:tc>
        <w:tc>
          <w:tcPr>
            <w:tcW w:w="649" w:type="dxa"/>
            <w:vAlign w:val="bottom"/>
          </w:tcPr>
          <w:p w14:paraId="778AF81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95CE64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BFAC36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E27143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C3E8A7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5653024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498BFC3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1A58C02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59D1362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4A17F5D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43E703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A63387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B7AAC5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C3331E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530EDEC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C868E5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510F124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A3CAE2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4F27DF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5D6439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7ECDFA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554D3960"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67" w:type="dxa"/>
            <w:vAlign w:val="bottom"/>
          </w:tcPr>
          <w:p w14:paraId="0E9EEFC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599" w:type="dxa"/>
            <w:vAlign w:val="bottom"/>
          </w:tcPr>
          <w:p w14:paraId="02610E8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r>
      <w:tr w:rsidR="007576D2" w:rsidRPr="0013502F" w14:paraId="7924016B" w14:textId="77777777" w:rsidTr="007576D2">
        <w:trPr>
          <w:jc w:val="center"/>
        </w:trPr>
        <w:tc>
          <w:tcPr>
            <w:tcW w:w="993" w:type="dxa"/>
          </w:tcPr>
          <w:p w14:paraId="4433C6E8"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образование</w:t>
            </w:r>
          </w:p>
        </w:tc>
        <w:tc>
          <w:tcPr>
            <w:tcW w:w="649" w:type="dxa"/>
            <w:vAlign w:val="bottom"/>
          </w:tcPr>
          <w:p w14:paraId="11627D8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A75CC2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425CB8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18FE18A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705200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4AAB7AF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F98892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9D284F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C43015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6197671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85B646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5289FD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288A05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E7C345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DF209A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968860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9EBD12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6C4A27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09A418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68D14AE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032B4C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744D95EC"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67" w:type="dxa"/>
            <w:vAlign w:val="bottom"/>
          </w:tcPr>
          <w:p w14:paraId="5F7D6CF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599" w:type="dxa"/>
            <w:vAlign w:val="bottom"/>
          </w:tcPr>
          <w:p w14:paraId="69C9ADF8"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r>
      <w:tr w:rsidR="007576D2" w:rsidRPr="0013502F" w14:paraId="4C671424" w14:textId="77777777" w:rsidTr="007576D2">
        <w:trPr>
          <w:jc w:val="center"/>
        </w:trPr>
        <w:tc>
          <w:tcPr>
            <w:tcW w:w="993" w:type="dxa"/>
          </w:tcPr>
          <w:p w14:paraId="75576F83"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sidRPr="0013502F">
              <w:rPr>
                <w:rFonts w:ascii="Times New Roman" w:eastAsia="Times New Roman" w:hAnsi="Times New Roman" w:cs="Times New Roman"/>
                <w:sz w:val="20"/>
                <w:szCs w:val="20"/>
                <w:lang w:eastAsia="ru-RU"/>
              </w:rPr>
              <w:t>жилищныеи</w:t>
            </w:r>
            <w:proofErr w:type="spellEnd"/>
            <w:r w:rsidRPr="0013502F">
              <w:rPr>
                <w:rFonts w:ascii="Times New Roman" w:eastAsia="Times New Roman" w:hAnsi="Times New Roman" w:cs="Times New Roman"/>
                <w:sz w:val="20"/>
                <w:szCs w:val="20"/>
                <w:lang w:eastAsia="ru-RU"/>
              </w:rPr>
              <w:t xml:space="preserve"> земельные отношения</w:t>
            </w:r>
          </w:p>
        </w:tc>
        <w:tc>
          <w:tcPr>
            <w:tcW w:w="649" w:type="dxa"/>
            <w:vAlign w:val="bottom"/>
          </w:tcPr>
          <w:p w14:paraId="365DE85B"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rPr>
              <w:t>1</w:t>
            </w:r>
            <w:r w:rsidRPr="0013502F">
              <w:rPr>
                <w:rFonts w:ascii="Times New Roman" w:hAnsi="Times New Roman" w:cs="Times New Roman"/>
                <w:sz w:val="20"/>
                <w:lang w:val="en-US"/>
              </w:rPr>
              <w:t>9</w:t>
            </w:r>
          </w:p>
        </w:tc>
        <w:tc>
          <w:tcPr>
            <w:tcW w:w="632" w:type="dxa"/>
            <w:vAlign w:val="bottom"/>
          </w:tcPr>
          <w:p w14:paraId="4BA7B6F6"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2" w:type="dxa"/>
            <w:vAlign w:val="bottom"/>
          </w:tcPr>
          <w:p w14:paraId="7C22D547"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19</w:t>
            </w:r>
          </w:p>
        </w:tc>
        <w:tc>
          <w:tcPr>
            <w:tcW w:w="632" w:type="dxa"/>
            <w:vAlign w:val="bottom"/>
          </w:tcPr>
          <w:p w14:paraId="5F5D03CB"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32" w:type="dxa"/>
            <w:vAlign w:val="bottom"/>
          </w:tcPr>
          <w:p w14:paraId="0E677E75"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38</w:t>
            </w:r>
          </w:p>
        </w:tc>
        <w:tc>
          <w:tcPr>
            <w:tcW w:w="632" w:type="dxa"/>
            <w:vAlign w:val="bottom"/>
          </w:tcPr>
          <w:p w14:paraId="336AFDB6"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2</w:t>
            </w:r>
          </w:p>
        </w:tc>
        <w:tc>
          <w:tcPr>
            <w:tcW w:w="632" w:type="dxa"/>
            <w:vAlign w:val="bottom"/>
          </w:tcPr>
          <w:p w14:paraId="2A93F33B"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08E6D62F"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1AB381F3"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2" w:type="dxa"/>
            <w:vAlign w:val="bottom"/>
          </w:tcPr>
          <w:p w14:paraId="738CF595"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01B638B6"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3</w:t>
            </w:r>
          </w:p>
        </w:tc>
        <w:tc>
          <w:tcPr>
            <w:tcW w:w="633" w:type="dxa"/>
            <w:vAlign w:val="bottom"/>
          </w:tcPr>
          <w:p w14:paraId="46AA6107"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w:t>
            </w:r>
          </w:p>
        </w:tc>
        <w:tc>
          <w:tcPr>
            <w:tcW w:w="633" w:type="dxa"/>
            <w:vAlign w:val="bottom"/>
          </w:tcPr>
          <w:p w14:paraId="11592B41"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17</w:t>
            </w:r>
          </w:p>
        </w:tc>
        <w:tc>
          <w:tcPr>
            <w:tcW w:w="633" w:type="dxa"/>
            <w:vAlign w:val="bottom"/>
          </w:tcPr>
          <w:p w14:paraId="24DD21B3"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526295A3"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rPr>
              <w:t>1</w:t>
            </w:r>
            <w:r w:rsidRPr="0013502F">
              <w:rPr>
                <w:rFonts w:ascii="Times New Roman" w:hAnsi="Times New Roman" w:cs="Times New Roman"/>
                <w:sz w:val="20"/>
                <w:lang w:val="en-US"/>
              </w:rPr>
              <w:t>2</w:t>
            </w:r>
          </w:p>
        </w:tc>
        <w:tc>
          <w:tcPr>
            <w:tcW w:w="633" w:type="dxa"/>
            <w:vAlign w:val="bottom"/>
          </w:tcPr>
          <w:p w14:paraId="2B135E3D"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33" w:type="dxa"/>
            <w:vAlign w:val="bottom"/>
          </w:tcPr>
          <w:p w14:paraId="211323B4"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rPr>
              <w:t>1</w:t>
            </w:r>
            <w:r w:rsidRPr="0013502F">
              <w:rPr>
                <w:rFonts w:ascii="Times New Roman" w:hAnsi="Times New Roman" w:cs="Times New Roman"/>
                <w:b/>
                <w:sz w:val="20"/>
                <w:lang w:val="en-US"/>
              </w:rPr>
              <w:t>0</w:t>
            </w:r>
          </w:p>
        </w:tc>
        <w:tc>
          <w:tcPr>
            <w:tcW w:w="633" w:type="dxa"/>
            <w:vAlign w:val="bottom"/>
          </w:tcPr>
          <w:p w14:paraId="764D6630"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633" w:type="dxa"/>
            <w:vAlign w:val="bottom"/>
          </w:tcPr>
          <w:p w14:paraId="12562950"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2</w:t>
            </w:r>
          </w:p>
        </w:tc>
        <w:tc>
          <w:tcPr>
            <w:tcW w:w="633" w:type="dxa"/>
            <w:vAlign w:val="bottom"/>
          </w:tcPr>
          <w:p w14:paraId="0E7BAEDE"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39F03518"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5</w:t>
            </w:r>
          </w:p>
        </w:tc>
        <w:tc>
          <w:tcPr>
            <w:tcW w:w="633" w:type="dxa"/>
            <w:vAlign w:val="bottom"/>
          </w:tcPr>
          <w:p w14:paraId="4F31A745"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0</w:t>
            </w:r>
          </w:p>
        </w:tc>
        <w:tc>
          <w:tcPr>
            <w:tcW w:w="667" w:type="dxa"/>
            <w:vAlign w:val="bottom"/>
          </w:tcPr>
          <w:p w14:paraId="3EEADBD5"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23</w:t>
            </w:r>
          </w:p>
        </w:tc>
        <w:tc>
          <w:tcPr>
            <w:tcW w:w="599" w:type="dxa"/>
            <w:vAlign w:val="bottom"/>
          </w:tcPr>
          <w:p w14:paraId="53004515"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1</w:t>
            </w:r>
          </w:p>
        </w:tc>
      </w:tr>
      <w:tr w:rsidR="007576D2" w:rsidRPr="0013502F" w14:paraId="35E02998" w14:textId="77777777" w:rsidTr="007576D2">
        <w:trPr>
          <w:jc w:val="center"/>
        </w:trPr>
        <w:tc>
          <w:tcPr>
            <w:tcW w:w="993" w:type="dxa"/>
          </w:tcPr>
          <w:p w14:paraId="297C76EE"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правила благоустройства территории города</w:t>
            </w:r>
          </w:p>
        </w:tc>
        <w:tc>
          <w:tcPr>
            <w:tcW w:w="649" w:type="dxa"/>
            <w:vAlign w:val="bottom"/>
          </w:tcPr>
          <w:p w14:paraId="26EB57BD"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2D91A7E2"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47E241BF"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4E012283"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2" w:type="dxa"/>
            <w:vAlign w:val="bottom"/>
          </w:tcPr>
          <w:p w14:paraId="1C95EB89"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632" w:type="dxa"/>
            <w:vAlign w:val="bottom"/>
          </w:tcPr>
          <w:p w14:paraId="3E79A87B"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0</w:t>
            </w:r>
          </w:p>
        </w:tc>
        <w:tc>
          <w:tcPr>
            <w:tcW w:w="632" w:type="dxa"/>
            <w:vAlign w:val="bottom"/>
          </w:tcPr>
          <w:p w14:paraId="5C415BFC"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5272C290"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179EFD5C"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2" w:type="dxa"/>
            <w:vAlign w:val="bottom"/>
          </w:tcPr>
          <w:p w14:paraId="496A6D3E" w14:textId="77777777" w:rsidR="007576D2" w:rsidRPr="0013502F" w:rsidRDefault="007576D2" w:rsidP="007576D2">
            <w:pPr>
              <w:pStyle w:val="ConsPlusNormal"/>
              <w:jc w:val="center"/>
              <w:rPr>
                <w:rFonts w:ascii="Times New Roman" w:hAnsi="Times New Roman" w:cs="Times New Roman"/>
                <w:sz w:val="20"/>
                <w:lang w:val="en-US"/>
              </w:rPr>
            </w:pPr>
            <w:r w:rsidRPr="0013502F">
              <w:rPr>
                <w:rFonts w:ascii="Times New Roman" w:hAnsi="Times New Roman" w:cs="Times New Roman"/>
                <w:sz w:val="20"/>
                <w:lang w:val="en-US"/>
              </w:rPr>
              <w:t>1</w:t>
            </w:r>
          </w:p>
        </w:tc>
        <w:tc>
          <w:tcPr>
            <w:tcW w:w="633" w:type="dxa"/>
            <w:vAlign w:val="bottom"/>
          </w:tcPr>
          <w:p w14:paraId="12EDAD8E"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633" w:type="dxa"/>
            <w:vAlign w:val="bottom"/>
          </w:tcPr>
          <w:p w14:paraId="4327E5BF" w14:textId="77777777" w:rsidR="007576D2" w:rsidRPr="0013502F" w:rsidRDefault="007576D2" w:rsidP="007576D2">
            <w:pPr>
              <w:pStyle w:val="ConsPlusNormal"/>
              <w:jc w:val="center"/>
              <w:rPr>
                <w:rFonts w:ascii="Times New Roman" w:hAnsi="Times New Roman" w:cs="Times New Roman"/>
                <w:b/>
                <w:sz w:val="20"/>
                <w:lang w:val="en-US"/>
              </w:rPr>
            </w:pPr>
            <w:r w:rsidRPr="0013502F">
              <w:rPr>
                <w:rFonts w:ascii="Times New Roman" w:hAnsi="Times New Roman" w:cs="Times New Roman"/>
                <w:b/>
                <w:sz w:val="20"/>
                <w:lang w:val="en-US"/>
              </w:rPr>
              <w:t>0</w:t>
            </w:r>
          </w:p>
        </w:tc>
        <w:tc>
          <w:tcPr>
            <w:tcW w:w="633" w:type="dxa"/>
            <w:vAlign w:val="bottom"/>
          </w:tcPr>
          <w:p w14:paraId="6CA59CF6"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28837BA2"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572ACFD7"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20744AB7"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28631FA1"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7DC13276"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77B9C3F0"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2C9EBDC2"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60E280C9"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33" w:type="dxa"/>
            <w:vAlign w:val="bottom"/>
          </w:tcPr>
          <w:p w14:paraId="6C737988" w14:textId="77777777" w:rsidR="007576D2" w:rsidRPr="0013502F" w:rsidRDefault="007576D2" w:rsidP="007576D2">
            <w:pPr>
              <w:pStyle w:val="ConsPlusNormal"/>
              <w:jc w:val="center"/>
              <w:rPr>
                <w:rFonts w:ascii="Times New Roman" w:hAnsi="Times New Roman" w:cs="Times New Roman"/>
                <w:sz w:val="20"/>
              </w:rPr>
            </w:pPr>
            <w:r w:rsidRPr="0013502F">
              <w:rPr>
                <w:rFonts w:ascii="Times New Roman" w:hAnsi="Times New Roman" w:cs="Times New Roman"/>
                <w:sz w:val="20"/>
              </w:rPr>
              <w:t>0</w:t>
            </w:r>
          </w:p>
        </w:tc>
        <w:tc>
          <w:tcPr>
            <w:tcW w:w="667" w:type="dxa"/>
            <w:vAlign w:val="bottom"/>
          </w:tcPr>
          <w:p w14:paraId="250A406F"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c>
          <w:tcPr>
            <w:tcW w:w="599" w:type="dxa"/>
            <w:vAlign w:val="bottom"/>
          </w:tcPr>
          <w:p w14:paraId="155696B4" w14:textId="77777777" w:rsidR="007576D2" w:rsidRPr="0013502F" w:rsidRDefault="007576D2" w:rsidP="007576D2">
            <w:pPr>
              <w:pStyle w:val="ConsPlusNormal"/>
              <w:jc w:val="center"/>
              <w:rPr>
                <w:rFonts w:ascii="Times New Roman" w:hAnsi="Times New Roman" w:cs="Times New Roman"/>
                <w:b/>
                <w:sz w:val="20"/>
              </w:rPr>
            </w:pPr>
            <w:r w:rsidRPr="0013502F">
              <w:rPr>
                <w:rFonts w:ascii="Times New Roman" w:hAnsi="Times New Roman" w:cs="Times New Roman"/>
                <w:b/>
                <w:sz w:val="20"/>
              </w:rPr>
              <w:t>0</w:t>
            </w:r>
          </w:p>
        </w:tc>
      </w:tr>
      <w:tr w:rsidR="007576D2" w:rsidRPr="0013502F" w14:paraId="5A676DF7" w14:textId="77777777" w:rsidTr="007576D2">
        <w:trPr>
          <w:jc w:val="center"/>
        </w:trPr>
        <w:tc>
          <w:tcPr>
            <w:tcW w:w="993" w:type="dxa"/>
          </w:tcPr>
          <w:p w14:paraId="73A87A84" w14:textId="77777777" w:rsidR="007576D2" w:rsidRPr="0013502F" w:rsidRDefault="007576D2" w:rsidP="007576D2">
            <w:pPr>
              <w:widowControl w:val="0"/>
              <w:autoSpaceDE w:val="0"/>
              <w:autoSpaceDN w:val="0"/>
              <w:spacing w:after="0" w:line="240" w:lineRule="auto"/>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и т.д.</w:t>
            </w:r>
          </w:p>
        </w:tc>
        <w:tc>
          <w:tcPr>
            <w:tcW w:w="649" w:type="dxa"/>
            <w:vAlign w:val="bottom"/>
          </w:tcPr>
          <w:p w14:paraId="2171130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9F42E7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7A852A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F783B1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1280D56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738697CB"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0D7A315F"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23C4CF4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5050680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2" w:type="dxa"/>
            <w:vAlign w:val="bottom"/>
          </w:tcPr>
          <w:p w14:paraId="37B3A5D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1EE060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369AA49"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7B67C6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ECF49A5"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1490AB2"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3A2C1AA4"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4906E67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8C41163"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4DBD89D"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0111A3C1"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1CC3D6BE"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33" w:type="dxa"/>
            <w:vAlign w:val="bottom"/>
          </w:tcPr>
          <w:p w14:paraId="2011F046"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667" w:type="dxa"/>
            <w:vAlign w:val="bottom"/>
          </w:tcPr>
          <w:p w14:paraId="6B3B63B7"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c>
          <w:tcPr>
            <w:tcW w:w="599" w:type="dxa"/>
            <w:vAlign w:val="bottom"/>
          </w:tcPr>
          <w:p w14:paraId="606D411A" w14:textId="77777777" w:rsidR="007576D2" w:rsidRPr="0013502F" w:rsidRDefault="007576D2" w:rsidP="007576D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3502F">
              <w:rPr>
                <w:rFonts w:ascii="Times New Roman" w:eastAsia="Times New Roman" w:hAnsi="Times New Roman" w:cs="Times New Roman"/>
                <w:sz w:val="20"/>
                <w:szCs w:val="20"/>
                <w:lang w:eastAsia="ru-RU"/>
              </w:rPr>
              <w:t>0</w:t>
            </w:r>
          </w:p>
        </w:tc>
      </w:tr>
    </w:tbl>
    <w:p w14:paraId="46FDECF3" w14:textId="77777777" w:rsidR="00B3207F" w:rsidRDefault="00B3207F" w:rsidP="00527456">
      <w:pPr>
        <w:spacing w:after="0" w:line="240" w:lineRule="auto"/>
        <w:ind w:firstLine="709"/>
        <w:rPr>
          <w:rFonts w:ascii="Times New Roman" w:hAnsi="Times New Roman" w:cs="Times New Roman"/>
          <w:sz w:val="28"/>
          <w:szCs w:val="28"/>
          <w:lang w:eastAsia="ru-RU"/>
        </w:rPr>
      </w:pPr>
    </w:p>
    <w:p w14:paraId="7248D51F" w14:textId="77777777" w:rsidR="007576D2" w:rsidRDefault="007576D2">
      <w:pPr>
        <w:rPr>
          <w:rFonts w:ascii="Times New Roman" w:hAnsi="Times New Roman" w:cs="Times New Roman"/>
          <w:b/>
          <w:sz w:val="28"/>
          <w:szCs w:val="28"/>
          <w:lang w:eastAsia="ru-RU"/>
        </w:rPr>
        <w:sectPr w:rsidR="007576D2" w:rsidSect="007576D2">
          <w:pgSz w:w="16838" w:h="11906" w:orient="landscape"/>
          <w:pgMar w:top="1134" w:right="851" w:bottom="851" w:left="1134" w:header="709" w:footer="709" w:gutter="0"/>
          <w:cols w:space="708"/>
          <w:docGrid w:linePitch="360"/>
        </w:sectPr>
      </w:pPr>
    </w:p>
    <w:p w14:paraId="167809C9" w14:textId="69F1FE4E" w:rsidR="00B90440" w:rsidRDefault="00B90440" w:rsidP="00527456">
      <w:pPr>
        <w:spacing w:after="0" w:line="240" w:lineRule="auto"/>
        <w:ind w:firstLine="709"/>
        <w:jc w:val="center"/>
        <w:rPr>
          <w:rFonts w:ascii="Times New Roman" w:hAnsi="Times New Roman" w:cs="Times New Roman"/>
          <w:b/>
          <w:sz w:val="28"/>
          <w:szCs w:val="28"/>
          <w:lang w:eastAsia="ru-RU"/>
        </w:rPr>
      </w:pPr>
      <w:r w:rsidRPr="00B90440">
        <w:rPr>
          <w:rFonts w:ascii="Times New Roman" w:hAnsi="Times New Roman" w:cs="Times New Roman"/>
          <w:b/>
          <w:sz w:val="28"/>
          <w:szCs w:val="28"/>
          <w:lang w:eastAsia="ru-RU"/>
        </w:rPr>
        <w:t>1.10. Состояние платежной дисциплины и инвестиционной политики в жилищно-коммунальном комплексе</w:t>
      </w:r>
    </w:p>
    <w:p w14:paraId="161C1FE4" w14:textId="77777777" w:rsidR="00B90440" w:rsidRDefault="00B90440" w:rsidP="00527456">
      <w:pPr>
        <w:spacing w:after="0" w:line="240" w:lineRule="auto"/>
        <w:jc w:val="both"/>
        <w:rPr>
          <w:rFonts w:ascii="Times New Roman" w:eastAsia="Calibri" w:hAnsi="Times New Roman" w:cs="Times New Roman"/>
          <w:sz w:val="24"/>
          <w:szCs w:val="24"/>
        </w:rPr>
      </w:pPr>
    </w:p>
    <w:p w14:paraId="50002653" w14:textId="77777777" w:rsidR="00B90440" w:rsidRPr="00B90440" w:rsidRDefault="00B90440" w:rsidP="00527456">
      <w:pPr>
        <w:spacing w:after="0" w:line="240" w:lineRule="auto"/>
        <w:ind w:firstLine="708"/>
        <w:jc w:val="both"/>
        <w:rPr>
          <w:rFonts w:ascii="Times New Roman" w:eastAsia="Calibri" w:hAnsi="Times New Roman" w:cs="Times New Roman"/>
          <w:sz w:val="28"/>
          <w:szCs w:val="28"/>
        </w:rPr>
      </w:pPr>
      <w:r w:rsidRPr="00B90440">
        <w:rPr>
          <w:rFonts w:ascii="Times New Roman" w:eastAsia="Calibri" w:hAnsi="Times New Roman" w:cs="Times New Roman"/>
          <w:sz w:val="28"/>
          <w:szCs w:val="28"/>
        </w:rPr>
        <w:t>Программа капитального ремонта общего имущества в многоквартирных домах, расположенных на территории Ханты-Мансийского автономного округа – Югры, утверждена постановлением Правительства Ханты-Мансийского автономного округа – Югры от 25.12.2013 №568-п</w:t>
      </w:r>
      <w:r>
        <w:rPr>
          <w:rFonts w:ascii="Times New Roman" w:eastAsia="Calibri" w:hAnsi="Times New Roman" w:cs="Times New Roman"/>
          <w:sz w:val="28"/>
          <w:szCs w:val="28"/>
        </w:rPr>
        <w:t>.</w:t>
      </w:r>
    </w:p>
    <w:p w14:paraId="30CB1658" w14:textId="77777777" w:rsidR="00B90440" w:rsidRPr="00B90440" w:rsidRDefault="00B90440" w:rsidP="00527456">
      <w:pPr>
        <w:spacing w:after="0" w:line="240" w:lineRule="auto"/>
        <w:ind w:firstLine="708"/>
        <w:jc w:val="both"/>
        <w:rPr>
          <w:rFonts w:ascii="Times New Roman" w:eastAsia="Calibri" w:hAnsi="Times New Roman" w:cs="Times New Roman"/>
          <w:sz w:val="28"/>
          <w:szCs w:val="28"/>
        </w:rPr>
      </w:pPr>
      <w:r w:rsidRPr="00B90440">
        <w:rPr>
          <w:rFonts w:ascii="Times New Roman" w:eastAsia="Calibri" w:hAnsi="Times New Roman" w:cs="Times New Roman"/>
          <w:sz w:val="28"/>
          <w:szCs w:val="28"/>
        </w:rPr>
        <w:t xml:space="preserve">Обязанность собственников по оплате </w:t>
      </w:r>
      <w:proofErr w:type="gramStart"/>
      <w:r w:rsidRPr="00B90440">
        <w:rPr>
          <w:rFonts w:ascii="Times New Roman" w:eastAsia="Calibri" w:hAnsi="Times New Roman" w:cs="Times New Roman"/>
          <w:sz w:val="28"/>
          <w:szCs w:val="28"/>
        </w:rPr>
        <w:t>минимальных  взносов</w:t>
      </w:r>
      <w:proofErr w:type="gramEnd"/>
      <w:r w:rsidRPr="00B90440">
        <w:rPr>
          <w:rFonts w:ascii="Times New Roman" w:eastAsia="Calibri" w:hAnsi="Times New Roman" w:cs="Times New Roman"/>
          <w:sz w:val="28"/>
          <w:szCs w:val="28"/>
        </w:rPr>
        <w:t xml:space="preserve"> возникла с сентября 2014 года. Уровень собираемости взносов по г. Ханты-Мансийску выше среднего уровня собираемости по Округу. </w:t>
      </w:r>
    </w:p>
    <w:p w14:paraId="7A24FFCA" w14:textId="1F64D979" w:rsidR="00B90440" w:rsidRDefault="00B90440" w:rsidP="00527456">
      <w:pPr>
        <w:spacing w:after="0" w:line="240" w:lineRule="auto"/>
        <w:ind w:right="142" w:firstLine="709"/>
        <w:jc w:val="both"/>
        <w:rPr>
          <w:rFonts w:ascii="Times New Roman" w:eastAsia="Calibri" w:hAnsi="Times New Roman" w:cs="Times New Roman"/>
          <w:sz w:val="28"/>
          <w:szCs w:val="28"/>
          <w:lang w:eastAsia="ru-RU"/>
        </w:rPr>
      </w:pPr>
      <w:r w:rsidRPr="00AB151E">
        <w:rPr>
          <w:rFonts w:ascii="Times New Roman" w:eastAsia="Calibri" w:hAnsi="Times New Roman" w:cs="Times New Roman"/>
          <w:sz w:val="28"/>
          <w:szCs w:val="28"/>
          <w:lang w:eastAsia="ru-RU"/>
        </w:rPr>
        <w:t xml:space="preserve">Собираемость обязательных взносов на капитальный ремонт по итогам 2016 года составила </w:t>
      </w:r>
      <w:r>
        <w:rPr>
          <w:rFonts w:ascii="Times New Roman" w:eastAsia="Calibri" w:hAnsi="Times New Roman" w:cs="Times New Roman"/>
          <w:sz w:val="28"/>
          <w:szCs w:val="28"/>
          <w:lang w:eastAsia="ru-RU"/>
        </w:rPr>
        <w:t>98,9</w:t>
      </w:r>
      <w:r w:rsidRPr="00AB151E">
        <w:rPr>
          <w:rFonts w:ascii="Times New Roman" w:eastAsia="Calibri" w:hAnsi="Times New Roman" w:cs="Times New Roman"/>
          <w:sz w:val="28"/>
          <w:szCs w:val="28"/>
          <w:lang w:eastAsia="ru-RU"/>
        </w:rPr>
        <w:t xml:space="preserve">% (в 2015 году 90,9%), что на </w:t>
      </w:r>
      <w:r w:rsidR="009772E6">
        <w:rPr>
          <w:rFonts w:ascii="Times New Roman" w:eastAsia="Calibri" w:hAnsi="Times New Roman" w:cs="Times New Roman"/>
          <w:sz w:val="28"/>
          <w:szCs w:val="28"/>
          <w:lang w:eastAsia="ru-RU"/>
        </w:rPr>
        <w:t>6</w:t>
      </w:r>
      <w:r w:rsidRPr="00AB151E">
        <w:rPr>
          <w:rFonts w:ascii="Times New Roman" w:eastAsia="Calibri" w:hAnsi="Times New Roman" w:cs="Times New Roman"/>
          <w:sz w:val="28"/>
          <w:szCs w:val="28"/>
          <w:lang w:eastAsia="ru-RU"/>
        </w:rPr>
        <w:t>% больше, чем в среднем по округу. Собираемость взносов с 01.09.2014 по 31.12.2016 составляет практически 99,0%, что на 20,8% больше, чем в среднем по округу.</w:t>
      </w:r>
      <w:r w:rsidR="00A35177">
        <w:rPr>
          <w:rFonts w:ascii="Times New Roman" w:eastAsia="Calibri" w:hAnsi="Times New Roman" w:cs="Times New Roman"/>
          <w:sz w:val="28"/>
          <w:szCs w:val="28"/>
          <w:lang w:eastAsia="ru-RU"/>
        </w:rPr>
        <w:t xml:space="preserve"> Наличие муниципальных инвестиционных программ отражено в таблице</w:t>
      </w:r>
      <w:r w:rsidR="00CD1036">
        <w:rPr>
          <w:rFonts w:ascii="Times New Roman" w:eastAsia="Calibri" w:hAnsi="Times New Roman" w:cs="Times New Roman"/>
          <w:sz w:val="28"/>
          <w:szCs w:val="28"/>
          <w:lang w:eastAsia="ru-RU"/>
        </w:rPr>
        <w:t xml:space="preserve"> 3</w:t>
      </w:r>
      <w:r w:rsidR="00A35177">
        <w:rPr>
          <w:rFonts w:ascii="Times New Roman" w:eastAsia="Calibri" w:hAnsi="Times New Roman" w:cs="Times New Roman"/>
          <w:sz w:val="28"/>
          <w:szCs w:val="28"/>
          <w:lang w:eastAsia="ru-RU"/>
        </w:rPr>
        <w:t>.</w:t>
      </w:r>
    </w:p>
    <w:p w14:paraId="7875CFB5" w14:textId="77777777" w:rsidR="00C746D6" w:rsidRDefault="00C746D6" w:rsidP="00527456">
      <w:pPr>
        <w:spacing w:after="0" w:line="240" w:lineRule="auto"/>
        <w:ind w:right="142" w:firstLine="709"/>
        <w:jc w:val="center"/>
        <w:rPr>
          <w:rFonts w:ascii="Times New Roman" w:eastAsia="Calibri" w:hAnsi="Times New Roman" w:cs="Times New Roman"/>
          <w:sz w:val="28"/>
          <w:szCs w:val="28"/>
          <w:lang w:eastAsia="ru-RU"/>
        </w:rPr>
      </w:pPr>
    </w:p>
    <w:p w14:paraId="5AAE3F2D" w14:textId="7AF7A735" w:rsidR="00C746D6" w:rsidRDefault="00CD1036" w:rsidP="00CD1036">
      <w:pPr>
        <w:spacing w:after="0" w:line="240" w:lineRule="auto"/>
        <w:ind w:right="142"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3</w:t>
      </w:r>
    </w:p>
    <w:p w14:paraId="69BA74E4" w14:textId="77777777" w:rsidR="009772E6" w:rsidRPr="009772E6" w:rsidRDefault="009772E6" w:rsidP="00527456">
      <w:pPr>
        <w:spacing w:after="0" w:line="240" w:lineRule="auto"/>
        <w:ind w:right="142" w:firstLine="709"/>
        <w:jc w:val="center"/>
        <w:rPr>
          <w:rFonts w:ascii="Times New Roman" w:eastAsia="Calibri" w:hAnsi="Times New Roman" w:cs="Times New Roman"/>
          <w:sz w:val="28"/>
          <w:szCs w:val="28"/>
          <w:lang w:eastAsia="ru-RU"/>
        </w:rPr>
      </w:pPr>
      <w:r w:rsidRPr="009772E6">
        <w:rPr>
          <w:rFonts w:ascii="Times New Roman" w:eastAsia="Calibri" w:hAnsi="Times New Roman" w:cs="Times New Roman"/>
          <w:sz w:val="28"/>
          <w:szCs w:val="28"/>
          <w:lang w:eastAsia="ru-RU"/>
        </w:rPr>
        <w:t>Состояние платежной дисциплины и инвестиционной</w:t>
      </w:r>
    </w:p>
    <w:p w14:paraId="31233CF9" w14:textId="77777777" w:rsidR="009772E6" w:rsidRPr="009772E6" w:rsidRDefault="009772E6" w:rsidP="00527456">
      <w:pPr>
        <w:spacing w:after="0" w:line="240" w:lineRule="auto"/>
        <w:ind w:right="142" w:firstLine="709"/>
        <w:jc w:val="center"/>
        <w:rPr>
          <w:rFonts w:ascii="Times New Roman" w:eastAsia="Calibri" w:hAnsi="Times New Roman" w:cs="Times New Roman"/>
          <w:sz w:val="28"/>
          <w:szCs w:val="28"/>
          <w:lang w:eastAsia="ru-RU"/>
        </w:rPr>
      </w:pPr>
      <w:r w:rsidRPr="009772E6">
        <w:rPr>
          <w:rFonts w:ascii="Times New Roman" w:eastAsia="Calibri" w:hAnsi="Times New Roman" w:cs="Times New Roman"/>
          <w:sz w:val="28"/>
          <w:szCs w:val="28"/>
          <w:lang w:eastAsia="ru-RU"/>
        </w:rPr>
        <w:t>политики в жилищно-коммунальном комплексе</w:t>
      </w:r>
    </w:p>
    <w:p w14:paraId="2FE6F6BF" w14:textId="77777777" w:rsidR="009772E6" w:rsidRPr="009772E6" w:rsidRDefault="009772E6" w:rsidP="00527456">
      <w:pPr>
        <w:spacing w:after="0" w:line="240" w:lineRule="auto"/>
        <w:ind w:right="142"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____________город Ханты-Мансийск</w:t>
      </w:r>
      <w:r w:rsidRPr="009772E6">
        <w:rPr>
          <w:rFonts w:ascii="Times New Roman" w:eastAsia="Calibri" w:hAnsi="Times New Roman" w:cs="Times New Roman"/>
          <w:sz w:val="28"/>
          <w:szCs w:val="28"/>
          <w:lang w:eastAsia="ru-RU"/>
        </w:rPr>
        <w:t>________________</w:t>
      </w:r>
    </w:p>
    <w:p w14:paraId="4A94D281" w14:textId="77777777" w:rsidR="009772E6" w:rsidRPr="00AB151E" w:rsidRDefault="009772E6" w:rsidP="00527456">
      <w:pPr>
        <w:spacing w:after="0" w:line="240" w:lineRule="auto"/>
        <w:ind w:right="142" w:firstLine="709"/>
        <w:jc w:val="center"/>
        <w:rPr>
          <w:rFonts w:ascii="Times New Roman" w:eastAsia="Calibri" w:hAnsi="Times New Roman" w:cs="Times New Roman"/>
          <w:sz w:val="28"/>
          <w:szCs w:val="28"/>
          <w:lang w:eastAsia="ru-RU"/>
        </w:rPr>
      </w:pPr>
      <w:r w:rsidRPr="009772E6">
        <w:rPr>
          <w:rFonts w:ascii="Times New Roman" w:eastAsia="Calibri" w:hAnsi="Times New Roman" w:cs="Times New Roman"/>
          <w:sz w:val="28"/>
          <w:szCs w:val="28"/>
          <w:lang w:eastAsia="ru-RU"/>
        </w:rPr>
        <w:t>наименование городского округа (муниципального района</w:t>
      </w:r>
      <w:r>
        <w:rPr>
          <w:rFonts w:ascii="Times New Roman" w:eastAsia="Calibri" w:hAnsi="Times New Roman" w:cs="Times New Roman"/>
          <w:sz w:val="28"/>
          <w:szCs w:val="28"/>
          <w:lang w:eastAsia="ru-RU"/>
        </w:rPr>
        <w:t>)</w:t>
      </w:r>
    </w:p>
    <w:p w14:paraId="4A5C85E4" w14:textId="77777777" w:rsidR="00B90440" w:rsidRDefault="00B90440" w:rsidP="00527456">
      <w:pPr>
        <w:spacing w:after="0" w:line="240" w:lineRule="auto"/>
        <w:ind w:firstLine="709"/>
        <w:jc w:val="both"/>
        <w:rPr>
          <w:rFonts w:ascii="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1417"/>
        <w:gridCol w:w="737"/>
        <w:gridCol w:w="680"/>
        <w:gridCol w:w="680"/>
        <w:gridCol w:w="665"/>
        <w:gridCol w:w="708"/>
        <w:gridCol w:w="709"/>
        <w:gridCol w:w="709"/>
      </w:tblGrid>
      <w:tr w:rsidR="00B90440" w:rsidRPr="00B90440" w14:paraId="51BE4934" w14:textId="77777777" w:rsidTr="009772E6">
        <w:trPr>
          <w:jc w:val="center"/>
        </w:trPr>
        <w:tc>
          <w:tcPr>
            <w:tcW w:w="510" w:type="dxa"/>
          </w:tcPr>
          <w:p w14:paraId="5A894C4D"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N п/п</w:t>
            </w:r>
          </w:p>
        </w:tc>
        <w:tc>
          <w:tcPr>
            <w:tcW w:w="3742" w:type="dxa"/>
          </w:tcPr>
          <w:p w14:paraId="604102F5"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Наименование показателя</w:t>
            </w:r>
          </w:p>
        </w:tc>
        <w:tc>
          <w:tcPr>
            <w:tcW w:w="1417" w:type="dxa"/>
          </w:tcPr>
          <w:p w14:paraId="391B5ACE"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Единица измерения</w:t>
            </w:r>
          </w:p>
        </w:tc>
        <w:tc>
          <w:tcPr>
            <w:tcW w:w="737" w:type="dxa"/>
          </w:tcPr>
          <w:p w14:paraId="69775698"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2013</w:t>
            </w:r>
          </w:p>
        </w:tc>
        <w:tc>
          <w:tcPr>
            <w:tcW w:w="680" w:type="dxa"/>
          </w:tcPr>
          <w:p w14:paraId="2241E32E"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2014</w:t>
            </w:r>
          </w:p>
        </w:tc>
        <w:tc>
          <w:tcPr>
            <w:tcW w:w="680" w:type="dxa"/>
          </w:tcPr>
          <w:p w14:paraId="54B52D02"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2015</w:t>
            </w:r>
          </w:p>
        </w:tc>
        <w:tc>
          <w:tcPr>
            <w:tcW w:w="665" w:type="dxa"/>
          </w:tcPr>
          <w:p w14:paraId="458C82A3"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2016</w:t>
            </w:r>
          </w:p>
        </w:tc>
        <w:tc>
          <w:tcPr>
            <w:tcW w:w="708" w:type="dxa"/>
          </w:tcPr>
          <w:p w14:paraId="3A7C8A0C" w14:textId="77777777" w:rsidR="00B90440" w:rsidRPr="00C50C92" w:rsidRDefault="00B90440" w:rsidP="00527456">
            <w:pPr>
              <w:pStyle w:val="ConsPlusNormal"/>
              <w:jc w:val="center"/>
              <w:rPr>
                <w:rFonts w:ascii="Times New Roman" w:hAnsi="Times New Roman" w:cs="Times New Roman"/>
              </w:rPr>
            </w:pPr>
            <w:r w:rsidRPr="00C50C92">
              <w:rPr>
                <w:rFonts w:ascii="Times New Roman" w:hAnsi="Times New Roman" w:cs="Times New Roman"/>
              </w:rPr>
              <w:t>2017</w:t>
            </w:r>
          </w:p>
        </w:tc>
        <w:tc>
          <w:tcPr>
            <w:tcW w:w="709" w:type="dxa"/>
          </w:tcPr>
          <w:p w14:paraId="56C8B83D" w14:textId="77777777" w:rsidR="00B90440" w:rsidRPr="00C50C92" w:rsidRDefault="00B90440" w:rsidP="00527456">
            <w:pPr>
              <w:pStyle w:val="ConsPlusNormal"/>
              <w:jc w:val="center"/>
              <w:rPr>
                <w:rFonts w:ascii="Times New Roman" w:hAnsi="Times New Roman" w:cs="Times New Roman"/>
              </w:rPr>
            </w:pPr>
            <w:r w:rsidRPr="00C50C92">
              <w:rPr>
                <w:rFonts w:ascii="Times New Roman" w:hAnsi="Times New Roman" w:cs="Times New Roman"/>
              </w:rPr>
              <w:t>2018</w:t>
            </w:r>
          </w:p>
        </w:tc>
        <w:tc>
          <w:tcPr>
            <w:tcW w:w="709" w:type="dxa"/>
          </w:tcPr>
          <w:p w14:paraId="6D50D9BE" w14:textId="77777777" w:rsidR="00B90440" w:rsidRPr="00C50C92" w:rsidRDefault="00B90440" w:rsidP="00527456">
            <w:pPr>
              <w:pStyle w:val="ConsPlusNormal"/>
              <w:jc w:val="center"/>
              <w:rPr>
                <w:rFonts w:ascii="Times New Roman" w:hAnsi="Times New Roman" w:cs="Times New Roman"/>
              </w:rPr>
            </w:pPr>
            <w:r w:rsidRPr="00C50C92">
              <w:rPr>
                <w:rFonts w:ascii="Times New Roman" w:hAnsi="Times New Roman" w:cs="Times New Roman"/>
              </w:rPr>
              <w:t>2019</w:t>
            </w:r>
          </w:p>
        </w:tc>
      </w:tr>
      <w:tr w:rsidR="00B90440" w:rsidRPr="00B90440" w14:paraId="408A17AE" w14:textId="77777777" w:rsidTr="009772E6">
        <w:trPr>
          <w:jc w:val="center"/>
        </w:trPr>
        <w:tc>
          <w:tcPr>
            <w:tcW w:w="510" w:type="dxa"/>
          </w:tcPr>
          <w:p w14:paraId="0C0B4169"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1.</w:t>
            </w:r>
          </w:p>
        </w:tc>
        <w:tc>
          <w:tcPr>
            <w:tcW w:w="3742" w:type="dxa"/>
          </w:tcPr>
          <w:p w14:paraId="26D913BE"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1417" w:type="dxa"/>
          </w:tcPr>
          <w:p w14:paraId="70D71525"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процентов</w:t>
            </w:r>
          </w:p>
        </w:tc>
        <w:tc>
          <w:tcPr>
            <w:tcW w:w="737" w:type="dxa"/>
          </w:tcPr>
          <w:p w14:paraId="06532455"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0</w:t>
            </w:r>
          </w:p>
        </w:tc>
        <w:tc>
          <w:tcPr>
            <w:tcW w:w="680" w:type="dxa"/>
          </w:tcPr>
          <w:p w14:paraId="3EA575F8" w14:textId="77777777" w:rsidR="00B90440" w:rsidRPr="00B90440" w:rsidRDefault="00B90440" w:rsidP="00527456">
            <w:pPr>
              <w:spacing w:after="0" w:line="240" w:lineRule="auto"/>
              <w:jc w:val="center"/>
              <w:rPr>
                <w:rFonts w:ascii="Times New Roman" w:hAnsi="Times New Roman" w:cs="Times New Roman"/>
              </w:rPr>
            </w:pPr>
            <w:r w:rsidRPr="00B90440">
              <w:rPr>
                <w:rFonts w:ascii="Times New Roman" w:hAnsi="Times New Roman" w:cs="Times New Roman"/>
              </w:rPr>
              <w:t>0</w:t>
            </w:r>
          </w:p>
        </w:tc>
        <w:tc>
          <w:tcPr>
            <w:tcW w:w="680" w:type="dxa"/>
          </w:tcPr>
          <w:p w14:paraId="6CAB818F" w14:textId="77777777" w:rsidR="00B90440" w:rsidRPr="00B90440" w:rsidRDefault="00B90440" w:rsidP="00527456">
            <w:pPr>
              <w:spacing w:after="0" w:line="240" w:lineRule="auto"/>
              <w:jc w:val="center"/>
              <w:rPr>
                <w:rFonts w:ascii="Times New Roman" w:hAnsi="Times New Roman" w:cs="Times New Roman"/>
              </w:rPr>
            </w:pPr>
            <w:r w:rsidRPr="00B90440">
              <w:rPr>
                <w:rFonts w:ascii="Times New Roman" w:hAnsi="Times New Roman" w:cs="Times New Roman"/>
              </w:rPr>
              <w:t>0</w:t>
            </w:r>
          </w:p>
        </w:tc>
        <w:tc>
          <w:tcPr>
            <w:tcW w:w="665" w:type="dxa"/>
          </w:tcPr>
          <w:p w14:paraId="0A963C52" w14:textId="77777777" w:rsidR="00B90440" w:rsidRPr="00B90440" w:rsidRDefault="00B90440" w:rsidP="00527456">
            <w:pPr>
              <w:spacing w:after="0" w:line="240" w:lineRule="auto"/>
              <w:jc w:val="center"/>
              <w:rPr>
                <w:rFonts w:ascii="Times New Roman" w:hAnsi="Times New Roman" w:cs="Times New Roman"/>
              </w:rPr>
            </w:pPr>
            <w:r w:rsidRPr="00B90440">
              <w:rPr>
                <w:rFonts w:ascii="Times New Roman" w:hAnsi="Times New Roman" w:cs="Times New Roman"/>
              </w:rPr>
              <w:t>0</w:t>
            </w:r>
          </w:p>
        </w:tc>
        <w:tc>
          <w:tcPr>
            <w:tcW w:w="708" w:type="dxa"/>
          </w:tcPr>
          <w:p w14:paraId="4094C286" w14:textId="77777777" w:rsidR="00B90440" w:rsidRPr="00C50C92" w:rsidRDefault="00B90440" w:rsidP="00527456">
            <w:pPr>
              <w:spacing w:after="0" w:line="240" w:lineRule="auto"/>
              <w:jc w:val="center"/>
              <w:rPr>
                <w:rFonts w:ascii="Times New Roman" w:hAnsi="Times New Roman" w:cs="Times New Roman"/>
              </w:rPr>
            </w:pPr>
            <w:r w:rsidRPr="00C50C92">
              <w:rPr>
                <w:rFonts w:ascii="Times New Roman" w:hAnsi="Times New Roman" w:cs="Times New Roman"/>
              </w:rPr>
              <w:t>0</w:t>
            </w:r>
          </w:p>
        </w:tc>
        <w:tc>
          <w:tcPr>
            <w:tcW w:w="709" w:type="dxa"/>
          </w:tcPr>
          <w:p w14:paraId="25F75304" w14:textId="77777777" w:rsidR="00B90440" w:rsidRPr="00C50C92" w:rsidRDefault="00B90440" w:rsidP="00527456">
            <w:pPr>
              <w:spacing w:after="0" w:line="240" w:lineRule="auto"/>
              <w:jc w:val="center"/>
              <w:rPr>
                <w:rFonts w:ascii="Times New Roman" w:hAnsi="Times New Roman" w:cs="Times New Roman"/>
              </w:rPr>
            </w:pPr>
            <w:r w:rsidRPr="00C50C92">
              <w:rPr>
                <w:rFonts w:ascii="Times New Roman" w:hAnsi="Times New Roman" w:cs="Times New Roman"/>
              </w:rPr>
              <w:t>0</w:t>
            </w:r>
          </w:p>
        </w:tc>
        <w:tc>
          <w:tcPr>
            <w:tcW w:w="709" w:type="dxa"/>
          </w:tcPr>
          <w:p w14:paraId="1C388D1B" w14:textId="77777777" w:rsidR="00B90440" w:rsidRPr="00C50C92" w:rsidRDefault="00B90440" w:rsidP="00527456">
            <w:pPr>
              <w:spacing w:after="0" w:line="240" w:lineRule="auto"/>
              <w:jc w:val="center"/>
              <w:rPr>
                <w:rFonts w:ascii="Times New Roman" w:hAnsi="Times New Roman" w:cs="Times New Roman"/>
              </w:rPr>
            </w:pPr>
            <w:r w:rsidRPr="00C50C92">
              <w:rPr>
                <w:rFonts w:ascii="Times New Roman" w:hAnsi="Times New Roman" w:cs="Times New Roman"/>
              </w:rPr>
              <w:t>0</w:t>
            </w:r>
          </w:p>
        </w:tc>
      </w:tr>
      <w:tr w:rsidR="00B90440" w:rsidRPr="00B90440" w14:paraId="28BE48C9" w14:textId="77777777" w:rsidTr="009772E6">
        <w:trPr>
          <w:jc w:val="center"/>
        </w:trPr>
        <w:tc>
          <w:tcPr>
            <w:tcW w:w="510" w:type="dxa"/>
          </w:tcPr>
          <w:p w14:paraId="0CBB4402"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w:t>
            </w:r>
          </w:p>
        </w:tc>
        <w:tc>
          <w:tcPr>
            <w:tcW w:w="3742" w:type="dxa"/>
          </w:tcPr>
          <w:p w14:paraId="072CB362"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 xml:space="preserve">Уровень собираемости взносов на капитальный ремонт общего имущества многоквартирных домов </w:t>
            </w:r>
          </w:p>
        </w:tc>
        <w:tc>
          <w:tcPr>
            <w:tcW w:w="1417" w:type="dxa"/>
          </w:tcPr>
          <w:p w14:paraId="58EA61FC"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процентов</w:t>
            </w:r>
          </w:p>
        </w:tc>
        <w:tc>
          <w:tcPr>
            <w:tcW w:w="737" w:type="dxa"/>
          </w:tcPr>
          <w:p w14:paraId="32BDE0E8" w14:textId="77777777" w:rsidR="00B90440" w:rsidRPr="00B90440" w:rsidRDefault="00B90440" w:rsidP="00527456">
            <w:pPr>
              <w:pStyle w:val="ConsPlusNormal"/>
              <w:rPr>
                <w:rFonts w:ascii="Times New Roman" w:hAnsi="Times New Roman" w:cs="Times New Roman"/>
              </w:rPr>
            </w:pPr>
          </w:p>
        </w:tc>
        <w:tc>
          <w:tcPr>
            <w:tcW w:w="680" w:type="dxa"/>
          </w:tcPr>
          <w:p w14:paraId="3969EE63"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81,6</w:t>
            </w:r>
          </w:p>
        </w:tc>
        <w:tc>
          <w:tcPr>
            <w:tcW w:w="680" w:type="dxa"/>
          </w:tcPr>
          <w:p w14:paraId="2FEB1818"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90,9</w:t>
            </w:r>
          </w:p>
        </w:tc>
        <w:tc>
          <w:tcPr>
            <w:tcW w:w="665" w:type="dxa"/>
          </w:tcPr>
          <w:p w14:paraId="6908192C"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98,9</w:t>
            </w:r>
          </w:p>
        </w:tc>
        <w:tc>
          <w:tcPr>
            <w:tcW w:w="708" w:type="dxa"/>
          </w:tcPr>
          <w:p w14:paraId="76BA9F9F"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98,9</w:t>
            </w:r>
          </w:p>
        </w:tc>
        <w:tc>
          <w:tcPr>
            <w:tcW w:w="709" w:type="dxa"/>
          </w:tcPr>
          <w:p w14:paraId="708A9384"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98,9</w:t>
            </w:r>
          </w:p>
        </w:tc>
        <w:tc>
          <w:tcPr>
            <w:tcW w:w="709" w:type="dxa"/>
          </w:tcPr>
          <w:p w14:paraId="0F4A196E"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98,9</w:t>
            </w:r>
          </w:p>
        </w:tc>
      </w:tr>
      <w:tr w:rsidR="00B90440" w:rsidRPr="00B90440" w14:paraId="1D9BB094" w14:textId="77777777" w:rsidTr="009772E6">
        <w:trPr>
          <w:jc w:val="center"/>
        </w:trPr>
        <w:tc>
          <w:tcPr>
            <w:tcW w:w="510" w:type="dxa"/>
          </w:tcPr>
          <w:p w14:paraId="26FB06DC"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3.</w:t>
            </w:r>
          </w:p>
        </w:tc>
        <w:tc>
          <w:tcPr>
            <w:tcW w:w="3742" w:type="dxa"/>
          </w:tcPr>
          <w:p w14:paraId="0742F679" w14:textId="77777777" w:rsidR="00B90440" w:rsidRPr="00B90440" w:rsidRDefault="00B90440" w:rsidP="00527456">
            <w:pPr>
              <w:pStyle w:val="ConsPlusNormal"/>
              <w:rPr>
                <w:rFonts w:ascii="Times New Roman" w:hAnsi="Times New Roman" w:cs="Times New Roman"/>
              </w:rPr>
            </w:pPr>
            <w:r w:rsidRPr="00B90440">
              <w:rPr>
                <w:rFonts w:ascii="Times New Roman" w:hAnsi="Times New Roman" w:cs="Times New Roman"/>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p>
        </w:tc>
        <w:tc>
          <w:tcPr>
            <w:tcW w:w="1417" w:type="dxa"/>
          </w:tcPr>
          <w:p w14:paraId="2EF63D8D"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в наличии</w:t>
            </w:r>
          </w:p>
        </w:tc>
        <w:tc>
          <w:tcPr>
            <w:tcW w:w="737" w:type="dxa"/>
          </w:tcPr>
          <w:p w14:paraId="37A4098A"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0</w:t>
            </w:r>
          </w:p>
        </w:tc>
        <w:tc>
          <w:tcPr>
            <w:tcW w:w="680" w:type="dxa"/>
          </w:tcPr>
          <w:p w14:paraId="2B0EB944"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0</w:t>
            </w:r>
          </w:p>
        </w:tc>
        <w:tc>
          <w:tcPr>
            <w:tcW w:w="680" w:type="dxa"/>
          </w:tcPr>
          <w:p w14:paraId="6EE64024"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1</w:t>
            </w:r>
          </w:p>
          <w:p w14:paraId="12378823" w14:textId="77777777" w:rsidR="00B90440" w:rsidRPr="00B90440" w:rsidRDefault="00B90440" w:rsidP="00527456">
            <w:pPr>
              <w:pStyle w:val="ConsPlusNormal"/>
              <w:jc w:val="center"/>
              <w:rPr>
                <w:rFonts w:ascii="Times New Roman" w:hAnsi="Times New Roman" w:cs="Times New Roman"/>
              </w:rPr>
            </w:pPr>
          </w:p>
        </w:tc>
        <w:tc>
          <w:tcPr>
            <w:tcW w:w="665" w:type="dxa"/>
          </w:tcPr>
          <w:p w14:paraId="776E5F48"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1</w:t>
            </w:r>
          </w:p>
        </w:tc>
        <w:tc>
          <w:tcPr>
            <w:tcW w:w="708" w:type="dxa"/>
          </w:tcPr>
          <w:p w14:paraId="604A52AD"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w:t>
            </w:r>
          </w:p>
        </w:tc>
        <w:tc>
          <w:tcPr>
            <w:tcW w:w="709" w:type="dxa"/>
          </w:tcPr>
          <w:p w14:paraId="1E52AB10"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w:t>
            </w:r>
          </w:p>
        </w:tc>
        <w:tc>
          <w:tcPr>
            <w:tcW w:w="709" w:type="dxa"/>
          </w:tcPr>
          <w:p w14:paraId="64795416" w14:textId="77777777" w:rsidR="00B90440" w:rsidRPr="00B90440" w:rsidRDefault="00B90440" w:rsidP="00527456">
            <w:pPr>
              <w:pStyle w:val="ConsPlusNormal"/>
              <w:jc w:val="center"/>
              <w:rPr>
                <w:rFonts w:ascii="Times New Roman" w:hAnsi="Times New Roman" w:cs="Times New Roman"/>
              </w:rPr>
            </w:pPr>
            <w:r w:rsidRPr="00B90440">
              <w:rPr>
                <w:rFonts w:ascii="Times New Roman" w:hAnsi="Times New Roman" w:cs="Times New Roman"/>
              </w:rPr>
              <w:t>2</w:t>
            </w:r>
          </w:p>
        </w:tc>
      </w:tr>
    </w:tbl>
    <w:p w14:paraId="78D1D669" w14:textId="77777777" w:rsidR="00B90440" w:rsidRPr="00B90440" w:rsidRDefault="00B90440" w:rsidP="00527456">
      <w:pPr>
        <w:spacing w:after="0" w:line="240" w:lineRule="auto"/>
        <w:ind w:firstLine="709"/>
        <w:jc w:val="center"/>
        <w:rPr>
          <w:rFonts w:ascii="Times New Roman" w:hAnsi="Times New Roman" w:cs="Times New Roman"/>
          <w:b/>
          <w:sz w:val="28"/>
          <w:szCs w:val="28"/>
          <w:lang w:eastAsia="ru-RU"/>
        </w:rPr>
        <w:sectPr w:rsidR="00B90440" w:rsidRPr="00B90440" w:rsidSect="007576D2">
          <w:pgSz w:w="11906" w:h="16838"/>
          <w:pgMar w:top="851" w:right="851" w:bottom="1134" w:left="1134" w:header="709" w:footer="709" w:gutter="0"/>
          <w:cols w:space="708"/>
          <w:docGrid w:linePitch="360"/>
        </w:sectPr>
      </w:pPr>
    </w:p>
    <w:p w14:paraId="4432E122" w14:textId="77777777" w:rsidR="00EB4435" w:rsidRPr="0013502F" w:rsidRDefault="00EB4435" w:rsidP="00527456">
      <w:pPr>
        <w:pStyle w:val="1"/>
        <w:spacing w:before="0" w:line="240" w:lineRule="auto"/>
        <w:ind w:firstLine="709"/>
        <w:jc w:val="center"/>
        <w:rPr>
          <w:rFonts w:ascii="Times New Roman" w:eastAsia="Calibri" w:hAnsi="Times New Roman" w:cs="Times New Roman"/>
          <w:color w:val="auto"/>
          <w:lang w:eastAsia="ru-RU"/>
        </w:rPr>
      </w:pPr>
      <w:bookmarkStart w:id="6" w:name="Par572"/>
      <w:bookmarkEnd w:id="6"/>
      <w:r w:rsidRPr="0013502F">
        <w:rPr>
          <w:rFonts w:ascii="Times New Roman" w:eastAsia="Calibri" w:hAnsi="Times New Roman" w:cs="Times New Roman"/>
          <w:color w:val="auto"/>
          <w:lang w:eastAsia="ru-RU"/>
        </w:rPr>
        <w:t>Раздел 2. Показатели, характеризующие социально-экономическое развитие муниципального образования автономного округа, оценку эффективности деятельности органов местного самоуправления городских округов и муниципальных районов, за отчетный год и их планируемые значения на 3-летний период</w:t>
      </w:r>
    </w:p>
    <w:p w14:paraId="6EF3A346" w14:textId="77777777" w:rsidR="00BE476E" w:rsidRPr="0013502F" w:rsidRDefault="00BE476E" w:rsidP="00527456">
      <w:pPr>
        <w:spacing w:after="0" w:line="240" w:lineRule="auto"/>
        <w:ind w:firstLine="709"/>
        <w:rPr>
          <w:lang w:eastAsia="ru-RU"/>
        </w:rPr>
      </w:pPr>
    </w:p>
    <w:p w14:paraId="1F4EA6DC" w14:textId="77777777" w:rsidR="008D6DF6" w:rsidRPr="0013502F" w:rsidRDefault="008D6DF6" w:rsidP="00527456">
      <w:pPr>
        <w:spacing w:after="0" w:line="240" w:lineRule="auto"/>
        <w:ind w:firstLine="709"/>
        <w:rPr>
          <w:rFonts w:ascii="Times New Roman" w:hAnsi="Times New Roman" w:cs="Times New Roman"/>
          <w:sz w:val="16"/>
          <w:szCs w:val="16"/>
          <w:lang w:eastAsia="ru-RU"/>
        </w:rPr>
      </w:pPr>
    </w:p>
    <w:tbl>
      <w:tblPr>
        <w:tblW w:w="15876" w:type="dxa"/>
        <w:tblInd w:w="-459" w:type="dxa"/>
        <w:tblLayout w:type="fixed"/>
        <w:tblLook w:val="04A0" w:firstRow="1" w:lastRow="0" w:firstColumn="1" w:lastColumn="0" w:noHBand="0" w:noVBand="1"/>
      </w:tblPr>
      <w:tblGrid>
        <w:gridCol w:w="1701"/>
        <w:gridCol w:w="4378"/>
        <w:gridCol w:w="1151"/>
        <w:gridCol w:w="992"/>
        <w:gridCol w:w="1276"/>
        <w:gridCol w:w="1275"/>
        <w:gridCol w:w="1275"/>
        <w:gridCol w:w="1277"/>
        <w:gridCol w:w="1276"/>
        <w:gridCol w:w="1275"/>
      </w:tblGrid>
      <w:tr w:rsidR="00996507" w:rsidRPr="00996507" w14:paraId="111CCA09" w14:textId="77777777" w:rsidTr="00996507">
        <w:trPr>
          <w:trHeight w:val="31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E885D5"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Наименование раздела</w:t>
            </w:r>
          </w:p>
        </w:tc>
        <w:tc>
          <w:tcPr>
            <w:tcW w:w="437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631086"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Наименование показателей</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7DBDD8"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 xml:space="preserve">Единицы измерения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E8E726"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Номер в докладе</w:t>
            </w:r>
          </w:p>
        </w:tc>
        <w:tc>
          <w:tcPr>
            <w:tcW w:w="3826" w:type="dxa"/>
            <w:gridSpan w:val="3"/>
            <w:tcBorders>
              <w:top w:val="single" w:sz="4" w:space="0" w:color="auto"/>
              <w:left w:val="nil"/>
              <w:bottom w:val="single" w:sz="4" w:space="0" w:color="auto"/>
              <w:right w:val="single" w:sz="4" w:space="0" w:color="000000"/>
            </w:tcBorders>
            <w:shd w:val="clear" w:color="auto" w:fill="auto"/>
            <w:hideMark/>
          </w:tcPr>
          <w:p w14:paraId="76F89B48"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Отчет</w:t>
            </w:r>
          </w:p>
        </w:tc>
        <w:tc>
          <w:tcPr>
            <w:tcW w:w="3828" w:type="dxa"/>
            <w:gridSpan w:val="3"/>
            <w:tcBorders>
              <w:top w:val="single" w:sz="4" w:space="0" w:color="auto"/>
              <w:left w:val="nil"/>
              <w:bottom w:val="nil"/>
              <w:right w:val="nil"/>
            </w:tcBorders>
            <w:shd w:val="clear" w:color="auto" w:fill="auto"/>
            <w:hideMark/>
          </w:tcPr>
          <w:p w14:paraId="3A6A0A60"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Прогноз</w:t>
            </w:r>
          </w:p>
        </w:tc>
      </w:tr>
      <w:tr w:rsidR="00996507" w:rsidRPr="00996507" w14:paraId="75A07D3B" w14:textId="77777777" w:rsidTr="00996507">
        <w:trPr>
          <w:trHeight w:val="319"/>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87F87D9" w14:textId="77777777" w:rsidR="00996507" w:rsidRPr="00996507" w:rsidRDefault="00996507" w:rsidP="009824C1">
            <w:pPr>
              <w:spacing w:after="0" w:line="240" w:lineRule="auto"/>
              <w:rPr>
                <w:rFonts w:ascii="Times New Roman" w:eastAsia="Times New Roman" w:hAnsi="Times New Roman" w:cs="Times New Roman"/>
                <w:b/>
                <w:bCs/>
                <w:color w:val="000000"/>
                <w:sz w:val="20"/>
                <w:szCs w:val="20"/>
                <w:lang w:eastAsia="ru-RU"/>
              </w:rPr>
            </w:pPr>
          </w:p>
        </w:tc>
        <w:tc>
          <w:tcPr>
            <w:tcW w:w="4378" w:type="dxa"/>
            <w:vMerge/>
            <w:tcBorders>
              <w:top w:val="single" w:sz="4" w:space="0" w:color="auto"/>
              <w:left w:val="single" w:sz="4" w:space="0" w:color="auto"/>
              <w:bottom w:val="single" w:sz="4" w:space="0" w:color="000000"/>
              <w:right w:val="single" w:sz="4" w:space="0" w:color="auto"/>
            </w:tcBorders>
            <w:vAlign w:val="center"/>
            <w:hideMark/>
          </w:tcPr>
          <w:p w14:paraId="6F8B5BBB" w14:textId="77777777" w:rsidR="00996507" w:rsidRPr="00996507" w:rsidRDefault="00996507" w:rsidP="009824C1">
            <w:pPr>
              <w:spacing w:after="0" w:line="240" w:lineRule="auto"/>
              <w:rPr>
                <w:rFonts w:ascii="Times New Roman" w:eastAsia="Times New Roman" w:hAnsi="Times New Roman" w:cs="Times New Roman"/>
                <w:b/>
                <w:bCs/>
                <w:color w:val="000000"/>
                <w:sz w:val="20"/>
                <w:szCs w:val="20"/>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504B1536" w14:textId="77777777" w:rsidR="00996507" w:rsidRPr="00996507" w:rsidRDefault="00996507" w:rsidP="009824C1">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799141" w14:textId="77777777" w:rsidR="00996507" w:rsidRPr="00996507" w:rsidRDefault="00996507" w:rsidP="009824C1">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14:paraId="31C6663F" w14:textId="77777777" w:rsidR="00996507" w:rsidRPr="00996507" w:rsidRDefault="00996507" w:rsidP="00996507">
            <w:pPr>
              <w:spacing w:after="0" w:line="240" w:lineRule="auto"/>
              <w:ind w:left="-250" w:firstLine="250"/>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2014</w:t>
            </w:r>
          </w:p>
        </w:tc>
        <w:tc>
          <w:tcPr>
            <w:tcW w:w="1275" w:type="dxa"/>
            <w:tcBorders>
              <w:top w:val="nil"/>
              <w:left w:val="nil"/>
              <w:bottom w:val="single" w:sz="4" w:space="0" w:color="000000"/>
              <w:right w:val="single" w:sz="4" w:space="0" w:color="000000"/>
            </w:tcBorders>
            <w:shd w:val="clear" w:color="auto" w:fill="auto"/>
            <w:vAlign w:val="center"/>
            <w:hideMark/>
          </w:tcPr>
          <w:p w14:paraId="234D4D7D"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2015</w:t>
            </w:r>
          </w:p>
        </w:tc>
        <w:tc>
          <w:tcPr>
            <w:tcW w:w="1275" w:type="dxa"/>
            <w:tcBorders>
              <w:top w:val="nil"/>
              <w:left w:val="nil"/>
              <w:bottom w:val="single" w:sz="4" w:space="0" w:color="000000"/>
              <w:right w:val="single" w:sz="4" w:space="0" w:color="000000"/>
            </w:tcBorders>
            <w:shd w:val="clear" w:color="auto" w:fill="auto"/>
            <w:vAlign w:val="center"/>
            <w:hideMark/>
          </w:tcPr>
          <w:p w14:paraId="67A27CA4"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2016</w:t>
            </w:r>
          </w:p>
        </w:tc>
        <w:tc>
          <w:tcPr>
            <w:tcW w:w="1277" w:type="dxa"/>
            <w:tcBorders>
              <w:top w:val="single" w:sz="4" w:space="0" w:color="000000"/>
              <w:left w:val="nil"/>
              <w:bottom w:val="single" w:sz="4" w:space="0" w:color="000000"/>
              <w:right w:val="single" w:sz="4" w:space="0" w:color="000000"/>
            </w:tcBorders>
            <w:shd w:val="clear" w:color="auto" w:fill="auto"/>
            <w:vAlign w:val="center"/>
            <w:hideMark/>
          </w:tcPr>
          <w:p w14:paraId="5F947D50"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2017</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E9848D1"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2018</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132E6334" w14:textId="77777777" w:rsidR="00996507" w:rsidRPr="00996507" w:rsidRDefault="00996507" w:rsidP="009824C1">
            <w:pPr>
              <w:spacing w:after="0" w:line="240" w:lineRule="auto"/>
              <w:jc w:val="center"/>
              <w:rPr>
                <w:rFonts w:ascii="Times New Roman" w:eastAsia="Times New Roman" w:hAnsi="Times New Roman" w:cs="Times New Roman"/>
                <w:b/>
                <w:bCs/>
                <w:color w:val="000000"/>
                <w:sz w:val="20"/>
                <w:szCs w:val="20"/>
                <w:lang w:eastAsia="ru-RU"/>
              </w:rPr>
            </w:pPr>
            <w:r w:rsidRPr="00996507">
              <w:rPr>
                <w:rFonts w:ascii="Times New Roman" w:eastAsia="Times New Roman" w:hAnsi="Times New Roman" w:cs="Times New Roman"/>
                <w:b/>
                <w:bCs/>
                <w:color w:val="000000"/>
                <w:sz w:val="20"/>
                <w:szCs w:val="20"/>
                <w:lang w:eastAsia="ru-RU"/>
              </w:rPr>
              <w:t>2019</w:t>
            </w:r>
          </w:p>
        </w:tc>
      </w:tr>
      <w:tr w:rsidR="00996507" w:rsidRPr="00996507" w14:paraId="29855B16" w14:textId="77777777" w:rsidTr="0019186E">
        <w:trPr>
          <w:trHeight w:val="76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28F13B3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Экономическое развитие</w:t>
            </w:r>
          </w:p>
        </w:tc>
        <w:tc>
          <w:tcPr>
            <w:tcW w:w="4378" w:type="dxa"/>
            <w:tcBorders>
              <w:top w:val="nil"/>
              <w:left w:val="nil"/>
              <w:bottom w:val="single" w:sz="4" w:space="0" w:color="auto"/>
              <w:right w:val="single" w:sz="4" w:space="0" w:color="auto"/>
            </w:tcBorders>
            <w:shd w:val="clear" w:color="000000" w:fill="FFFFFF"/>
            <w:hideMark/>
          </w:tcPr>
          <w:p w14:paraId="497A8846" w14:textId="77777777" w:rsidR="00996507" w:rsidRPr="0019186E" w:rsidRDefault="00996507" w:rsidP="009824C1">
            <w:pPr>
              <w:spacing w:after="0" w:line="240" w:lineRule="auto"/>
              <w:rPr>
                <w:rFonts w:ascii="Times New Roman" w:eastAsia="Times New Roman" w:hAnsi="Times New Roman" w:cs="Times New Roman"/>
                <w:color w:val="000000"/>
                <w:sz w:val="20"/>
                <w:szCs w:val="20"/>
                <w:lang w:eastAsia="ru-RU"/>
              </w:rPr>
            </w:pPr>
            <w:r w:rsidRPr="0019186E">
              <w:rPr>
                <w:rFonts w:ascii="Times New Roman" w:eastAsia="Times New Roman" w:hAnsi="Times New Roman" w:cs="Times New Roman"/>
                <w:color w:val="000000"/>
                <w:sz w:val="20"/>
                <w:szCs w:val="20"/>
                <w:lang w:eastAsia="ru-RU"/>
              </w:rPr>
              <w:t>Число субъектов малого и среднего предпринимательства в расчете на 10 тыс. человек населения</w:t>
            </w:r>
          </w:p>
        </w:tc>
        <w:tc>
          <w:tcPr>
            <w:tcW w:w="1151" w:type="dxa"/>
            <w:tcBorders>
              <w:top w:val="nil"/>
              <w:left w:val="nil"/>
              <w:bottom w:val="single" w:sz="4" w:space="0" w:color="auto"/>
              <w:right w:val="single" w:sz="4" w:space="0" w:color="auto"/>
            </w:tcBorders>
            <w:shd w:val="clear" w:color="000000" w:fill="FFFFFF"/>
            <w:hideMark/>
          </w:tcPr>
          <w:p w14:paraId="7CCABB98" w14:textId="77777777" w:rsidR="00996507" w:rsidRPr="0019186E"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19186E">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088BB214" w14:textId="77777777" w:rsidR="00996507" w:rsidRPr="0019186E"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19186E">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000000"/>
              <w:right w:val="single" w:sz="4" w:space="0" w:color="000000"/>
            </w:tcBorders>
            <w:shd w:val="clear" w:color="auto" w:fill="auto"/>
            <w:noWrap/>
            <w:vAlign w:val="center"/>
            <w:hideMark/>
          </w:tcPr>
          <w:p w14:paraId="723B667B" w14:textId="77777777" w:rsidR="00996507" w:rsidRPr="0019186E" w:rsidRDefault="00996507" w:rsidP="009824C1">
            <w:pPr>
              <w:spacing w:after="0" w:line="240" w:lineRule="auto"/>
              <w:jc w:val="right"/>
              <w:rPr>
                <w:rFonts w:ascii="Times New Roman" w:eastAsia="Times New Roman" w:hAnsi="Times New Roman" w:cs="Times New Roman"/>
                <w:sz w:val="20"/>
                <w:szCs w:val="20"/>
                <w:lang w:eastAsia="ru-RU"/>
              </w:rPr>
            </w:pPr>
            <w:r w:rsidRPr="0019186E">
              <w:rPr>
                <w:rFonts w:ascii="Times New Roman" w:eastAsia="Times New Roman" w:hAnsi="Times New Roman" w:cs="Times New Roman"/>
                <w:sz w:val="20"/>
                <w:szCs w:val="20"/>
                <w:lang w:eastAsia="ru-RU"/>
              </w:rPr>
              <w:t xml:space="preserve"> 638,8</w:t>
            </w:r>
          </w:p>
        </w:tc>
        <w:tc>
          <w:tcPr>
            <w:tcW w:w="1275" w:type="dxa"/>
            <w:tcBorders>
              <w:top w:val="nil"/>
              <w:left w:val="nil"/>
              <w:bottom w:val="single" w:sz="4" w:space="0" w:color="000000"/>
              <w:right w:val="single" w:sz="4" w:space="0" w:color="000000"/>
            </w:tcBorders>
            <w:shd w:val="clear" w:color="auto" w:fill="auto"/>
            <w:noWrap/>
            <w:vAlign w:val="center"/>
          </w:tcPr>
          <w:p w14:paraId="6BD765E1" w14:textId="355A2CBC" w:rsidR="00996507" w:rsidRPr="0019186E" w:rsidRDefault="0019186E" w:rsidP="009824C1">
            <w:pPr>
              <w:spacing w:after="0" w:line="240" w:lineRule="auto"/>
              <w:jc w:val="right"/>
              <w:rPr>
                <w:rFonts w:ascii="Times New Roman" w:eastAsia="Times New Roman" w:hAnsi="Times New Roman" w:cs="Times New Roman"/>
                <w:sz w:val="20"/>
                <w:szCs w:val="20"/>
                <w:lang w:eastAsia="ru-RU"/>
              </w:rPr>
            </w:pPr>
            <w:r w:rsidRPr="0019186E">
              <w:rPr>
                <w:rFonts w:ascii="Times New Roman" w:eastAsia="Times New Roman" w:hAnsi="Times New Roman" w:cs="Times New Roman"/>
                <w:sz w:val="20"/>
                <w:szCs w:val="20"/>
                <w:lang w:eastAsia="ru-RU"/>
              </w:rPr>
              <w:t>346,0</w:t>
            </w:r>
          </w:p>
        </w:tc>
        <w:tc>
          <w:tcPr>
            <w:tcW w:w="1275" w:type="dxa"/>
            <w:tcBorders>
              <w:top w:val="nil"/>
              <w:left w:val="nil"/>
              <w:bottom w:val="single" w:sz="4" w:space="0" w:color="000000"/>
              <w:right w:val="single" w:sz="4" w:space="0" w:color="000000"/>
            </w:tcBorders>
            <w:shd w:val="clear" w:color="auto" w:fill="auto"/>
            <w:noWrap/>
            <w:vAlign w:val="center"/>
          </w:tcPr>
          <w:p w14:paraId="416C69D7" w14:textId="5F72E5E3" w:rsidR="00996507" w:rsidRPr="0019186E" w:rsidRDefault="0019186E" w:rsidP="009824C1">
            <w:pPr>
              <w:spacing w:after="0" w:line="240" w:lineRule="auto"/>
              <w:jc w:val="right"/>
              <w:rPr>
                <w:rFonts w:ascii="Times New Roman" w:eastAsia="Times New Roman" w:hAnsi="Times New Roman" w:cs="Times New Roman"/>
                <w:sz w:val="20"/>
                <w:szCs w:val="20"/>
                <w:lang w:eastAsia="ru-RU"/>
              </w:rPr>
            </w:pPr>
            <w:r w:rsidRPr="0019186E">
              <w:rPr>
                <w:rFonts w:ascii="Times New Roman" w:eastAsia="Times New Roman" w:hAnsi="Times New Roman" w:cs="Times New Roman"/>
                <w:sz w:val="20"/>
                <w:szCs w:val="20"/>
                <w:lang w:eastAsia="ru-RU"/>
              </w:rPr>
              <w:t>367,7</w:t>
            </w:r>
          </w:p>
        </w:tc>
        <w:tc>
          <w:tcPr>
            <w:tcW w:w="1277" w:type="dxa"/>
            <w:tcBorders>
              <w:top w:val="nil"/>
              <w:left w:val="nil"/>
              <w:bottom w:val="single" w:sz="4" w:space="0" w:color="000000"/>
              <w:right w:val="single" w:sz="4" w:space="0" w:color="000000"/>
            </w:tcBorders>
            <w:shd w:val="clear" w:color="auto" w:fill="auto"/>
            <w:noWrap/>
            <w:vAlign w:val="center"/>
            <w:hideMark/>
          </w:tcPr>
          <w:p w14:paraId="772535BE" w14:textId="57777ACC" w:rsidR="00996507" w:rsidRPr="00BB3DDD" w:rsidRDefault="00996507" w:rsidP="00BB3DDD">
            <w:pPr>
              <w:spacing w:after="0" w:line="240" w:lineRule="auto"/>
              <w:jc w:val="right"/>
              <w:rPr>
                <w:rFonts w:ascii="Times New Roman" w:eastAsia="Times New Roman" w:hAnsi="Times New Roman" w:cs="Times New Roman"/>
                <w:sz w:val="20"/>
                <w:szCs w:val="20"/>
                <w:lang w:eastAsia="ru-RU"/>
              </w:rPr>
            </w:pPr>
            <w:r w:rsidRPr="00BB3DDD">
              <w:rPr>
                <w:rFonts w:ascii="Times New Roman" w:eastAsia="Times New Roman" w:hAnsi="Times New Roman" w:cs="Times New Roman"/>
                <w:sz w:val="20"/>
                <w:szCs w:val="20"/>
                <w:lang w:eastAsia="ru-RU"/>
              </w:rPr>
              <w:t xml:space="preserve"> </w:t>
            </w:r>
            <w:r w:rsidR="00BB3DDD" w:rsidRPr="00BB3DDD">
              <w:rPr>
                <w:rFonts w:ascii="Times New Roman" w:eastAsia="Times New Roman" w:hAnsi="Times New Roman" w:cs="Times New Roman"/>
                <w:sz w:val="20"/>
                <w:szCs w:val="20"/>
                <w:lang w:eastAsia="ru-RU"/>
              </w:rPr>
              <w:t>369,6</w:t>
            </w:r>
          </w:p>
        </w:tc>
        <w:tc>
          <w:tcPr>
            <w:tcW w:w="1276" w:type="dxa"/>
            <w:tcBorders>
              <w:top w:val="nil"/>
              <w:left w:val="nil"/>
              <w:bottom w:val="single" w:sz="4" w:space="0" w:color="000000"/>
              <w:right w:val="single" w:sz="4" w:space="0" w:color="000000"/>
            </w:tcBorders>
            <w:shd w:val="clear" w:color="auto" w:fill="auto"/>
            <w:noWrap/>
            <w:vAlign w:val="center"/>
            <w:hideMark/>
          </w:tcPr>
          <w:p w14:paraId="698BB5A7" w14:textId="53712BF3" w:rsidR="00996507" w:rsidRPr="00BB3DDD" w:rsidRDefault="00996507" w:rsidP="00BB3DDD">
            <w:pPr>
              <w:spacing w:after="0" w:line="240" w:lineRule="auto"/>
              <w:jc w:val="right"/>
              <w:rPr>
                <w:rFonts w:ascii="Times New Roman" w:eastAsia="Times New Roman" w:hAnsi="Times New Roman" w:cs="Times New Roman"/>
                <w:sz w:val="20"/>
                <w:szCs w:val="20"/>
                <w:lang w:eastAsia="ru-RU"/>
              </w:rPr>
            </w:pPr>
            <w:r w:rsidRPr="00BB3DDD">
              <w:rPr>
                <w:rFonts w:ascii="Times New Roman" w:eastAsia="Times New Roman" w:hAnsi="Times New Roman" w:cs="Times New Roman"/>
                <w:sz w:val="20"/>
                <w:szCs w:val="20"/>
                <w:lang w:eastAsia="ru-RU"/>
              </w:rPr>
              <w:t xml:space="preserve"> </w:t>
            </w:r>
            <w:r w:rsidR="00BB3DDD" w:rsidRPr="00BB3DDD">
              <w:rPr>
                <w:rFonts w:ascii="Times New Roman" w:eastAsia="Times New Roman" w:hAnsi="Times New Roman" w:cs="Times New Roman"/>
                <w:sz w:val="20"/>
                <w:szCs w:val="20"/>
                <w:lang w:eastAsia="ru-RU"/>
              </w:rPr>
              <w:t>372,9</w:t>
            </w:r>
          </w:p>
        </w:tc>
        <w:tc>
          <w:tcPr>
            <w:tcW w:w="1275" w:type="dxa"/>
            <w:tcBorders>
              <w:top w:val="nil"/>
              <w:left w:val="nil"/>
              <w:bottom w:val="single" w:sz="4" w:space="0" w:color="000000"/>
              <w:right w:val="single" w:sz="4" w:space="0" w:color="000000"/>
            </w:tcBorders>
            <w:shd w:val="clear" w:color="auto" w:fill="auto"/>
            <w:noWrap/>
            <w:vAlign w:val="center"/>
            <w:hideMark/>
          </w:tcPr>
          <w:p w14:paraId="2FC4BCA2" w14:textId="561C0BE7" w:rsidR="00996507" w:rsidRPr="00BB3DDD" w:rsidRDefault="00996507" w:rsidP="00BB3DDD">
            <w:pPr>
              <w:spacing w:after="0" w:line="240" w:lineRule="auto"/>
              <w:jc w:val="right"/>
              <w:rPr>
                <w:rFonts w:ascii="Times New Roman" w:eastAsia="Times New Roman" w:hAnsi="Times New Roman" w:cs="Times New Roman"/>
                <w:sz w:val="20"/>
                <w:szCs w:val="20"/>
                <w:lang w:eastAsia="ru-RU"/>
              </w:rPr>
            </w:pPr>
            <w:r w:rsidRPr="00BB3DDD">
              <w:rPr>
                <w:rFonts w:ascii="Times New Roman" w:eastAsia="Times New Roman" w:hAnsi="Times New Roman" w:cs="Times New Roman"/>
                <w:sz w:val="20"/>
                <w:szCs w:val="20"/>
                <w:lang w:eastAsia="ru-RU"/>
              </w:rPr>
              <w:t xml:space="preserve"> </w:t>
            </w:r>
            <w:r w:rsidR="00BB3DDD" w:rsidRPr="00BB3DDD">
              <w:rPr>
                <w:rFonts w:ascii="Times New Roman" w:eastAsia="Times New Roman" w:hAnsi="Times New Roman" w:cs="Times New Roman"/>
                <w:sz w:val="20"/>
                <w:szCs w:val="20"/>
                <w:lang w:eastAsia="ru-RU"/>
              </w:rPr>
              <w:t>369,3</w:t>
            </w:r>
          </w:p>
        </w:tc>
      </w:tr>
      <w:tr w:rsidR="00996507" w:rsidRPr="00996507" w14:paraId="69BA163E"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7C04125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3415C8A" w14:textId="77777777" w:rsidR="00996507" w:rsidRPr="0019186E" w:rsidRDefault="00996507" w:rsidP="009824C1">
            <w:pPr>
              <w:spacing w:after="0" w:line="240" w:lineRule="auto"/>
              <w:rPr>
                <w:rFonts w:ascii="Times New Roman" w:eastAsia="Times New Roman" w:hAnsi="Times New Roman" w:cs="Times New Roman"/>
                <w:color w:val="000000"/>
                <w:sz w:val="20"/>
                <w:szCs w:val="20"/>
                <w:lang w:eastAsia="ru-RU"/>
              </w:rPr>
            </w:pPr>
            <w:r w:rsidRPr="0019186E">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(на конец года)</w:t>
            </w:r>
          </w:p>
        </w:tc>
        <w:tc>
          <w:tcPr>
            <w:tcW w:w="1151" w:type="dxa"/>
            <w:tcBorders>
              <w:top w:val="nil"/>
              <w:left w:val="nil"/>
              <w:bottom w:val="single" w:sz="4" w:space="0" w:color="auto"/>
              <w:right w:val="single" w:sz="4" w:space="0" w:color="auto"/>
            </w:tcBorders>
            <w:shd w:val="clear" w:color="000000" w:fill="FFFFFF"/>
            <w:hideMark/>
          </w:tcPr>
          <w:p w14:paraId="3D880368" w14:textId="77777777" w:rsidR="00996507" w:rsidRPr="0019186E"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19186E">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5F78E7D" w14:textId="77777777" w:rsidR="00996507" w:rsidRPr="0019186E"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19186E">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000000"/>
              <w:right w:val="single" w:sz="4" w:space="0" w:color="000000"/>
            </w:tcBorders>
            <w:shd w:val="clear" w:color="auto" w:fill="auto"/>
            <w:noWrap/>
            <w:vAlign w:val="center"/>
            <w:hideMark/>
          </w:tcPr>
          <w:p w14:paraId="252225DB" w14:textId="77777777" w:rsidR="00996507" w:rsidRPr="0019186E" w:rsidRDefault="00996507" w:rsidP="009824C1">
            <w:pPr>
              <w:spacing w:after="0" w:line="240" w:lineRule="auto"/>
              <w:jc w:val="right"/>
              <w:rPr>
                <w:rFonts w:ascii="Times New Roman" w:eastAsia="Times New Roman" w:hAnsi="Times New Roman" w:cs="Times New Roman"/>
                <w:sz w:val="20"/>
                <w:szCs w:val="20"/>
                <w:lang w:eastAsia="ru-RU"/>
              </w:rPr>
            </w:pPr>
            <w:r w:rsidRPr="0019186E">
              <w:rPr>
                <w:rFonts w:ascii="Times New Roman" w:eastAsia="Times New Roman" w:hAnsi="Times New Roman" w:cs="Times New Roman"/>
                <w:sz w:val="20"/>
                <w:szCs w:val="20"/>
                <w:lang w:eastAsia="ru-RU"/>
              </w:rPr>
              <w:t>6 032,0</w:t>
            </w:r>
          </w:p>
        </w:tc>
        <w:tc>
          <w:tcPr>
            <w:tcW w:w="1275" w:type="dxa"/>
            <w:tcBorders>
              <w:top w:val="nil"/>
              <w:left w:val="nil"/>
              <w:bottom w:val="single" w:sz="4" w:space="0" w:color="000000"/>
              <w:right w:val="single" w:sz="4" w:space="0" w:color="000000"/>
            </w:tcBorders>
            <w:shd w:val="clear" w:color="auto" w:fill="auto"/>
            <w:noWrap/>
            <w:vAlign w:val="center"/>
            <w:hideMark/>
          </w:tcPr>
          <w:p w14:paraId="2A13113C" w14:textId="502B8ACC" w:rsidR="00996507" w:rsidRPr="0019186E" w:rsidRDefault="0019186E" w:rsidP="009824C1">
            <w:pPr>
              <w:spacing w:after="0" w:line="240" w:lineRule="auto"/>
              <w:jc w:val="right"/>
              <w:rPr>
                <w:rFonts w:ascii="Times New Roman" w:eastAsia="Times New Roman" w:hAnsi="Times New Roman" w:cs="Times New Roman"/>
                <w:sz w:val="20"/>
                <w:szCs w:val="20"/>
                <w:lang w:eastAsia="ru-RU"/>
              </w:rPr>
            </w:pPr>
            <w:r w:rsidRPr="0019186E">
              <w:rPr>
                <w:rFonts w:ascii="Times New Roman" w:eastAsia="Times New Roman" w:hAnsi="Times New Roman" w:cs="Times New Roman"/>
                <w:sz w:val="20"/>
                <w:szCs w:val="20"/>
                <w:lang w:eastAsia="ru-RU"/>
              </w:rPr>
              <w:t>3 327,0</w:t>
            </w:r>
          </w:p>
        </w:tc>
        <w:tc>
          <w:tcPr>
            <w:tcW w:w="1275" w:type="dxa"/>
            <w:tcBorders>
              <w:top w:val="nil"/>
              <w:left w:val="nil"/>
              <w:bottom w:val="single" w:sz="4" w:space="0" w:color="000000"/>
              <w:right w:val="single" w:sz="4" w:space="0" w:color="000000"/>
            </w:tcBorders>
            <w:shd w:val="clear" w:color="auto" w:fill="auto"/>
            <w:noWrap/>
            <w:vAlign w:val="center"/>
            <w:hideMark/>
          </w:tcPr>
          <w:p w14:paraId="3888F9FF" w14:textId="2279594B" w:rsidR="00996507" w:rsidRPr="0019186E" w:rsidRDefault="0019186E" w:rsidP="009824C1">
            <w:pPr>
              <w:spacing w:after="0" w:line="240" w:lineRule="auto"/>
              <w:jc w:val="right"/>
              <w:rPr>
                <w:rFonts w:ascii="Times New Roman" w:eastAsia="Times New Roman" w:hAnsi="Times New Roman" w:cs="Times New Roman"/>
                <w:sz w:val="20"/>
                <w:szCs w:val="20"/>
                <w:lang w:eastAsia="ru-RU"/>
              </w:rPr>
            </w:pPr>
            <w:r w:rsidRPr="0019186E">
              <w:rPr>
                <w:rFonts w:ascii="Times New Roman" w:eastAsia="Times New Roman" w:hAnsi="Times New Roman" w:cs="Times New Roman"/>
                <w:sz w:val="20"/>
                <w:szCs w:val="20"/>
                <w:lang w:eastAsia="ru-RU"/>
              </w:rPr>
              <w:t>3 597,0</w:t>
            </w:r>
          </w:p>
        </w:tc>
        <w:tc>
          <w:tcPr>
            <w:tcW w:w="1277" w:type="dxa"/>
            <w:tcBorders>
              <w:top w:val="nil"/>
              <w:left w:val="nil"/>
              <w:bottom w:val="single" w:sz="4" w:space="0" w:color="000000"/>
              <w:right w:val="single" w:sz="4" w:space="0" w:color="000000"/>
            </w:tcBorders>
            <w:shd w:val="clear" w:color="auto" w:fill="auto"/>
            <w:noWrap/>
            <w:vAlign w:val="center"/>
            <w:hideMark/>
          </w:tcPr>
          <w:p w14:paraId="79EB853F" w14:textId="1B0F1818" w:rsidR="00996507" w:rsidRPr="00BB3DDD" w:rsidRDefault="00BB3DDD" w:rsidP="009824C1">
            <w:pPr>
              <w:spacing w:after="0" w:line="240" w:lineRule="auto"/>
              <w:jc w:val="right"/>
              <w:rPr>
                <w:rFonts w:ascii="Times New Roman" w:eastAsia="Times New Roman" w:hAnsi="Times New Roman" w:cs="Times New Roman"/>
                <w:sz w:val="20"/>
                <w:szCs w:val="20"/>
                <w:lang w:eastAsia="ru-RU"/>
              </w:rPr>
            </w:pPr>
            <w:r w:rsidRPr="00BB3DDD">
              <w:rPr>
                <w:rFonts w:ascii="Times New Roman" w:eastAsia="Times New Roman" w:hAnsi="Times New Roman" w:cs="Times New Roman"/>
                <w:sz w:val="20"/>
                <w:szCs w:val="20"/>
                <w:lang w:eastAsia="ru-RU"/>
              </w:rPr>
              <w:t>3 680</w:t>
            </w:r>
            <w:r w:rsidR="00996507" w:rsidRPr="00BB3DDD">
              <w:rPr>
                <w:rFonts w:ascii="Times New Roman" w:eastAsia="Times New Roman" w:hAnsi="Times New Roman" w:cs="Times New Roman"/>
                <w:sz w:val="20"/>
                <w:szCs w:val="20"/>
                <w:lang w:eastAsia="ru-RU"/>
              </w:rPr>
              <w:t>,0</w:t>
            </w:r>
          </w:p>
        </w:tc>
        <w:tc>
          <w:tcPr>
            <w:tcW w:w="1276" w:type="dxa"/>
            <w:tcBorders>
              <w:top w:val="nil"/>
              <w:left w:val="nil"/>
              <w:bottom w:val="single" w:sz="4" w:space="0" w:color="000000"/>
              <w:right w:val="single" w:sz="4" w:space="0" w:color="000000"/>
            </w:tcBorders>
            <w:shd w:val="clear" w:color="auto" w:fill="auto"/>
            <w:noWrap/>
            <w:vAlign w:val="center"/>
            <w:hideMark/>
          </w:tcPr>
          <w:p w14:paraId="5B63CB61" w14:textId="30914E81" w:rsidR="00996507" w:rsidRPr="00BB3DDD" w:rsidRDefault="00BB3DDD" w:rsidP="009824C1">
            <w:pPr>
              <w:spacing w:after="0" w:line="240" w:lineRule="auto"/>
              <w:jc w:val="right"/>
              <w:rPr>
                <w:rFonts w:ascii="Times New Roman" w:eastAsia="Times New Roman" w:hAnsi="Times New Roman" w:cs="Times New Roman"/>
                <w:sz w:val="20"/>
                <w:szCs w:val="20"/>
                <w:lang w:eastAsia="ru-RU"/>
              </w:rPr>
            </w:pPr>
            <w:r w:rsidRPr="00BB3DDD">
              <w:rPr>
                <w:rFonts w:ascii="Times New Roman" w:eastAsia="Times New Roman" w:hAnsi="Times New Roman" w:cs="Times New Roman"/>
                <w:sz w:val="20"/>
                <w:szCs w:val="20"/>
                <w:lang w:eastAsia="ru-RU"/>
              </w:rPr>
              <w:t>3 780</w:t>
            </w:r>
            <w:r w:rsidR="00996507" w:rsidRPr="00BB3DDD">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noWrap/>
            <w:vAlign w:val="center"/>
            <w:hideMark/>
          </w:tcPr>
          <w:p w14:paraId="1E7E2E11" w14:textId="3DA70BBD" w:rsidR="00996507" w:rsidRPr="00BB3DDD" w:rsidRDefault="00BB3DDD" w:rsidP="009824C1">
            <w:pPr>
              <w:spacing w:after="0" w:line="240" w:lineRule="auto"/>
              <w:jc w:val="right"/>
              <w:rPr>
                <w:rFonts w:ascii="Times New Roman" w:eastAsia="Times New Roman" w:hAnsi="Times New Roman" w:cs="Times New Roman"/>
                <w:sz w:val="20"/>
                <w:szCs w:val="20"/>
                <w:lang w:eastAsia="ru-RU"/>
              </w:rPr>
            </w:pPr>
            <w:r w:rsidRPr="00BB3DDD">
              <w:rPr>
                <w:rFonts w:ascii="Times New Roman" w:eastAsia="Times New Roman" w:hAnsi="Times New Roman" w:cs="Times New Roman"/>
                <w:sz w:val="20"/>
                <w:szCs w:val="20"/>
                <w:lang w:eastAsia="ru-RU"/>
              </w:rPr>
              <w:t>3 810</w:t>
            </w:r>
            <w:r w:rsidR="00996507" w:rsidRPr="00BB3DDD">
              <w:rPr>
                <w:rFonts w:ascii="Times New Roman" w:eastAsia="Times New Roman" w:hAnsi="Times New Roman" w:cs="Times New Roman"/>
                <w:sz w:val="20"/>
                <w:szCs w:val="20"/>
                <w:lang w:eastAsia="ru-RU"/>
              </w:rPr>
              <w:t>,0</w:t>
            </w:r>
          </w:p>
        </w:tc>
      </w:tr>
      <w:tr w:rsidR="00996507" w:rsidRPr="00996507" w14:paraId="1D2486B4"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2F4411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F71A67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Среднегодовая численность постоянного населения</w:t>
            </w:r>
          </w:p>
        </w:tc>
        <w:tc>
          <w:tcPr>
            <w:tcW w:w="1151" w:type="dxa"/>
            <w:tcBorders>
              <w:top w:val="nil"/>
              <w:left w:val="nil"/>
              <w:bottom w:val="single" w:sz="4" w:space="0" w:color="auto"/>
              <w:right w:val="single" w:sz="4" w:space="0" w:color="auto"/>
            </w:tcBorders>
            <w:shd w:val="clear" w:color="000000" w:fill="FFFFFF"/>
            <w:hideMark/>
          </w:tcPr>
          <w:p w14:paraId="160AC81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36AA028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000000"/>
              <w:right w:val="single" w:sz="4" w:space="0" w:color="000000"/>
            </w:tcBorders>
            <w:shd w:val="clear" w:color="auto" w:fill="auto"/>
            <w:noWrap/>
            <w:vAlign w:val="center"/>
            <w:hideMark/>
          </w:tcPr>
          <w:p w14:paraId="3330B4E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94 423</w:t>
            </w:r>
          </w:p>
        </w:tc>
        <w:tc>
          <w:tcPr>
            <w:tcW w:w="1275" w:type="dxa"/>
            <w:tcBorders>
              <w:top w:val="nil"/>
              <w:left w:val="nil"/>
              <w:bottom w:val="single" w:sz="4" w:space="0" w:color="000000"/>
              <w:right w:val="single" w:sz="4" w:space="0" w:color="000000"/>
            </w:tcBorders>
            <w:shd w:val="clear" w:color="auto" w:fill="auto"/>
            <w:noWrap/>
            <w:vAlign w:val="center"/>
            <w:hideMark/>
          </w:tcPr>
          <w:p w14:paraId="6E9938B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96 145</w:t>
            </w:r>
          </w:p>
        </w:tc>
        <w:tc>
          <w:tcPr>
            <w:tcW w:w="1275" w:type="dxa"/>
            <w:tcBorders>
              <w:top w:val="nil"/>
              <w:left w:val="nil"/>
              <w:bottom w:val="single" w:sz="4" w:space="0" w:color="000000"/>
              <w:right w:val="single" w:sz="4" w:space="0" w:color="000000"/>
            </w:tcBorders>
            <w:shd w:val="clear" w:color="auto" w:fill="auto"/>
            <w:noWrap/>
            <w:vAlign w:val="center"/>
            <w:hideMark/>
          </w:tcPr>
          <w:p w14:paraId="0722B2A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97 814</w:t>
            </w:r>
          </w:p>
        </w:tc>
        <w:tc>
          <w:tcPr>
            <w:tcW w:w="1277" w:type="dxa"/>
            <w:tcBorders>
              <w:top w:val="nil"/>
              <w:left w:val="nil"/>
              <w:bottom w:val="single" w:sz="4" w:space="0" w:color="000000"/>
              <w:right w:val="single" w:sz="4" w:space="0" w:color="000000"/>
            </w:tcBorders>
            <w:shd w:val="clear" w:color="auto" w:fill="auto"/>
            <w:noWrap/>
            <w:vAlign w:val="center"/>
            <w:hideMark/>
          </w:tcPr>
          <w:p w14:paraId="592CA49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99 576</w:t>
            </w:r>
          </w:p>
        </w:tc>
        <w:tc>
          <w:tcPr>
            <w:tcW w:w="1276" w:type="dxa"/>
            <w:tcBorders>
              <w:top w:val="nil"/>
              <w:left w:val="nil"/>
              <w:bottom w:val="single" w:sz="4" w:space="0" w:color="000000"/>
              <w:right w:val="single" w:sz="4" w:space="0" w:color="000000"/>
            </w:tcBorders>
            <w:shd w:val="clear" w:color="auto" w:fill="auto"/>
            <w:noWrap/>
            <w:vAlign w:val="center"/>
            <w:hideMark/>
          </w:tcPr>
          <w:p w14:paraId="20B2C1E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101 358</w:t>
            </w:r>
          </w:p>
        </w:tc>
        <w:tc>
          <w:tcPr>
            <w:tcW w:w="1275" w:type="dxa"/>
            <w:tcBorders>
              <w:top w:val="nil"/>
              <w:left w:val="nil"/>
              <w:bottom w:val="single" w:sz="4" w:space="0" w:color="000000"/>
              <w:right w:val="single" w:sz="4" w:space="0" w:color="000000"/>
            </w:tcBorders>
            <w:shd w:val="clear" w:color="auto" w:fill="auto"/>
            <w:noWrap/>
            <w:vAlign w:val="center"/>
            <w:hideMark/>
          </w:tcPr>
          <w:p w14:paraId="04C538E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103 172</w:t>
            </w:r>
          </w:p>
        </w:tc>
      </w:tr>
      <w:tr w:rsidR="00996507" w:rsidRPr="00996507" w14:paraId="3543AC0E"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1D50753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2AE9AC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51" w:type="dxa"/>
            <w:tcBorders>
              <w:top w:val="nil"/>
              <w:left w:val="nil"/>
              <w:bottom w:val="single" w:sz="4" w:space="0" w:color="auto"/>
              <w:right w:val="single" w:sz="4" w:space="0" w:color="auto"/>
            </w:tcBorders>
            <w:shd w:val="clear" w:color="000000" w:fill="FFFFFF"/>
            <w:hideMark/>
          </w:tcPr>
          <w:p w14:paraId="6F7564B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05A4B95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000000"/>
              <w:right w:val="single" w:sz="4" w:space="0" w:color="000000"/>
            </w:tcBorders>
            <w:shd w:val="clear" w:color="auto" w:fill="auto"/>
            <w:noWrap/>
            <w:vAlign w:val="center"/>
            <w:hideMark/>
          </w:tcPr>
          <w:p w14:paraId="1B65F1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15,3</w:t>
            </w:r>
          </w:p>
        </w:tc>
        <w:tc>
          <w:tcPr>
            <w:tcW w:w="1275" w:type="dxa"/>
            <w:tcBorders>
              <w:top w:val="nil"/>
              <w:left w:val="nil"/>
              <w:bottom w:val="single" w:sz="4" w:space="0" w:color="000000"/>
              <w:right w:val="single" w:sz="4" w:space="0" w:color="000000"/>
            </w:tcBorders>
            <w:shd w:val="clear" w:color="auto" w:fill="auto"/>
            <w:noWrap/>
            <w:vAlign w:val="center"/>
            <w:hideMark/>
          </w:tcPr>
          <w:p w14:paraId="30FB1B9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19,0</w:t>
            </w:r>
          </w:p>
        </w:tc>
        <w:tc>
          <w:tcPr>
            <w:tcW w:w="1275" w:type="dxa"/>
            <w:tcBorders>
              <w:top w:val="nil"/>
              <w:left w:val="nil"/>
              <w:bottom w:val="single" w:sz="4" w:space="0" w:color="000000"/>
              <w:right w:val="single" w:sz="4" w:space="0" w:color="000000"/>
            </w:tcBorders>
            <w:shd w:val="clear" w:color="auto" w:fill="auto"/>
            <w:noWrap/>
            <w:vAlign w:val="center"/>
            <w:hideMark/>
          </w:tcPr>
          <w:p w14:paraId="2C5E7E4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26,1</w:t>
            </w:r>
          </w:p>
        </w:tc>
        <w:tc>
          <w:tcPr>
            <w:tcW w:w="1277" w:type="dxa"/>
            <w:tcBorders>
              <w:top w:val="nil"/>
              <w:left w:val="nil"/>
              <w:bottom w:val="single" w:sz="4" w:space="0" w:color="000000"/>
              <w:right w:val="single" w:sz="4" w:space="0" w:color="000000"/>
            </w:tcBorders>
            <w:shd w:val="clear" w:color="auto" w:fill="auto"/>
            <w:noWrap/>
            <w:vAlign w:val="center"/>
            <w:hideMark/>
          </w:tcPr>
          <w:p w14:paraId="401FE8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26,1</w:t>
            </w:r>
          </w:p>
        </w:tc>
        <w:tc>
          <w:tcPr>
            <w:tcW w:w="1276" w:type="dxa"/>
            <w:tcBorders>
              <w:top w:val="nil"/>
              <w:left w:val="nil"/>
              <w:bottom w:val="single" w:sz="4" w:space="0" w:color="000000"/>
              <w:right w:val="single" w:sz="4" w:space="0" w:color="000000"/>
            </w:tcBorders>
            <w:shd w:val="clear" w:color="auto" w:fill="auto"/>
            <w:noWrap/>
            <w:vAlign w:val="center"/>
            <w:hideMark/>
          </w:tcPr>
          <w:p w14:paraId="232932E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26,1</w:t>
            </w:r>
          </w:p>
        </w:tc>
        <w:tc>
          <w:tcPr>
            <w:tcW w:w="1275" w:type="dxa"/>
            <w:tcBorders>
              <w:top w:val="nil"/>
              <w:left w:val="nil"/>
              <w:bottom w:val="single" w:sz="4" w:space="0" w:color="000000"/>
              <w:right w:val="single" w:sz="4" w:space="0" w:color="000000"/>
            </w:tcBorders>
            <w:shd w:val="clear" w:color="auto" w:fill="auto"/>
            <w:noWrap/>
            <w:vAlign w:val="center"/>
            <w:hideMark/>
          </w:tcPr>
          <w:p w14:paraId="7E91AA6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26,1</w:t>
            </w:r>
          </w:p>
        </w:tc>
      </w:tr>
      <w:tr w:rsidR="00996507" w:rsidRPr="00996507" w14:paraId="07826EF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002C5F3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14CA6E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Среднесписочная численность работников (без внешних совместителей) малых и средних предприятий</w:t>
            </w:r>
          </w:p>
        </w:tc>
        <w:tc>
          <w:tcPr>
            <w:tcW w:w="1151" w:type="dxa"/>
            <w:tcBorders>
              <w:top w:val="nil"/>
              <w:left w:val="nil"/>
              <w:bottom w:val="single" w:sz="4" w:space="0" w:color="auto"/>
              <w:right w:val="single" w:sz="4" w:space="0" w:color="auto"/>
            </w:tcBorders>
            <w:shd w:val="clear" w:color="000000" w:fill="FFFFFF"/>
            <w:hideMark/>
          </w:tcPr>
          <w:p w14:paraId="34ACC0E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271D20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2.1</w:t>
            </w:r>
          </w:p>
        </w:tc>
        <w:tc>
          <w:tcPr>
            <w:tcW w:w="1276" w:type="dxa"/>
            <w:tcBorders>
              <w:top w:val="nil"/>
              <w:left w:val="nil"/>
              <w:bottom w:val="single" w:sz="4" w:space="0" w:color="000000"/>
              <w:right w:val="single" w:sz="4" w:space="0" w:color="000000"/>
            </w:tcBorders>
            <w:shd w:val="clear" w:color="auto" w:fill="auto"/>
            <w:noWrap/>
            <w:vAlign w:val="center"/>
            <w:hideMark/>
          </w:tcPr>
          <w:p w14:paraId="439374D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8 550,0</w:t>
            </w:r>
          </w:p>
        </w:tc>
        <w:tc>
          <w:tcPr>
            <w:tcW w:w="1275" w:type="dxa"/>
            <w:tcBorders>
              <w:top w:val="nil"/>
              <w:left w:val="nil"/>
              <w:bottom w:val="single" w:sz="4" w:space="0" w:color="000000"/>
              <w:right w:val="single" w:sz="4" w:space="0" w:color="000000"/>
            </w:tcBorders>
            <w:shd w:val="clear" w:color="auto" w:fill="auto"/>
            <w:noWrap/>
            <w:vAlign w:val="center"/>
            <w:hideMark/>
          </w:tcPr>
          <w:p w14:paraId="0AF73B1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10 851,0</w:t>
            </w:r>
          </w:p>
        </w:tc>
        <w:tc>
          <w:tcPr>
            <w:tcW w:w="1275" w:type="dxa"/>
            <w:tcBorders>
              <w:top w:val="nil"/>
              <w:left w:val="nil"/>
              <w:bottom w:val="single" w:sz="4" w:space="0" w:color="000000"/>
              <w:right w:val="single" w:sz="4" w:space="0" w:color="000000"/>
            </w:tcBorders>
            <w:shd w:val="clear" w:color="auto" w:fill="auto"/>
            <w:noWrap/>
            <w:vAlign w:val="center"/>
            <w:hideMark/>
          </w:tcPr>
          <w:p w14:paraId="49A1F3E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15 266,0</w:t>
            </w:r>
          </w:p>
        </w:tc>
        <w:tc>
          <w:tcPr>
            <w:tcW w:w="1277" w:type="dxa"/>
            <w:tcBorders>
              <w:top w:val="nil"/>
              <w:left w:val="nil"/>
              <w:bottom w:val="single" w:sz="4" w:space="0" w:color="000000"/>
              <w:right w:val="single" w:sz="4" w:space="0" w:color="000000"/>
            </w:tcBorders>
            <w:shd w:val="clear" w:color="auto" w:fill="auto"/>
            <w:noWrap/>
            <w:vAlign w:val="center"/>
            <w:hideMark/>
          </w:tcPr>
          <w:p w14:paraId="651616D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15 266,0</w:t>
            </w:r>
          </w:p>
        </w:tc>
        <w:tc>
          <w:tcPr>
            <w:tcW w:w="1276" w:type="dxa"/>
            <w:tcBorders>
              <w:top w:val="nil"/>
              <w:left w:val="nil"/>
              <w:bottom w:val="single" w:sz="4" w:space="0" w:color="000000"/>
              <w:right w:val="single" w:sz="4" w:space="0" w:color="000000"/>
            </w:tcBorders>
            <w:shd w:val="clear" w:color="auto" w:fill="auto"/>
            <w:noWrap/>
            <w:vAlign w:val="center"/>
            <w:hideMark/>
          </w:tcPr>
          <w:p w14:paraId="1B772BF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15 266,0</w:t>
            </w:r>
          </w:p>
        </w:tc>
        <w:tc>
          <w:tcPr>
            <w:tcW w:w="1275" w:type="dxa"/>
            <w:tcBorders>
              <w:top w:val="nil"/>
              <w:left w:val="nil"/>
              <w:bottom w:val="single" w:sz="4" w:space="0" w:color="000000"/>
              <w:right w:val="single" w:sz="4" w:space="0" w:color="000000"/>
            </w:tcBorders>
            <w:shd w:val="clear" w:color="auto" w:fill="auto"/>
            <w:noWrap/>
            <w:vAlign w:val="center"/>
            <w:hideMark/>
          </w:tcPr>
          <w:p w14:paraId="45DE98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15 266,0</w:t>
            </w:r>
          </w:p>
        </w:tc>
      </w:tr>
      <w:tr w:rsidR="00996507" w:rsidRPr="00996507" w14:paraId="304FF6B0"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31E8C72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A2D554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Среднесписочная численность работников (без внешних совместителей) всех предприятий и организаций</w:t>
            </w:r>
          </w:p>
        </w:tc>
        <w:tc>
          <w:tcPr>
            <w:tcW w:w="1151" w:type="dxa"/>
            <w:tcBorders>
              <w:top w:val="nil"/>
              <w:left w:val="nil"/>
              <w:bottom w:val="single" w:sz="4" w:space="0" w:color="auto"/>
              <w:right w:val="single" w:sz="4" w:space="0" w:color="auto"/>
            </w:tcBorders>
            <w:shd w:val="clear" w:color="000000" w:fill="FFFFFF"/>
            <w:hideMark/>
          </w:tcPr>
          <w:p w14:paraId="482D2F0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872F0A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2.2</w:t>
            </w:r>
          </w:p>
        </w:tc>
        <w:tc>
          <w:tcPr>
            <w:tcW w:w="1276" w:type="dxa"/>
            <w:tcBorders>
              <w:top w:val="nil"/>
              <w:left w:val="nil"/>
              <w:bottom w:val="single" w:sz="4" w:space="0" w:color="000000"/>
              <w:right w:val="single" w:sz="4" w:space="0" w:color="000000"/>
            </w:tcBorders>
            <w:shd w:val="clear" w:color="auto" w:fill="auto"/>
            <w:noWrap/>
            <w:vAlign w:val="center"/>
            <w:hideMark/>
          </w:tcPr>
          <w:p w14:paraId="3C86CB8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56 031,0</w:t>
            </w:r>
          </w:p>
        </w:tc>
        <w:tc>
          <w:tcPr>
            <w:tcW w:w="1275" w:type="dxa"/>
            <w:tcBorders>
              <w:top w:val="nil"/>
              <w:left w:val="nil"/>
              <w:bottom w:val="single" w:sz="4" w:space="0" w:color="000000"/>
              <w:right w:val="single" w:sz="4" w:space="0" w:color="000000"/>
            </w:tcBorders>
            <w:shd w:val="clear" w:color="auto" w:fill="auto"/>
            <w:noWrap/>
            <w:vAlign w:val="center"/>
            <w:hideMark/>
          </w:tcPr>
          <w:p w14:paraId="1A39B40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56 999,0</w:t>
            </w:r>
          </w:p>
        </w:tc>
        <w:tc>
          <w:tcPr>
            <w:tcW w:w="1275" w:type="dxa"/>
            <w:tcBorders>
              <w:top w:val="nil"/>
              <w:left w:val="nil"/>
              <w:bottom w:val="single" w:sz="4" w:space="0" w:color="000000"/>
              <w:right w:val="single" w:sz="4" w:space="0" w:color="000000"/>
            </w:tcBorders>
            <w:shd w:val="clear" w:color="auto" w:fill="auto"/>
            <w:noWrap/>
            <w:vAlign w:val="center"/>
            <w:hideMark/>
          </w:tcPr>
          <w:p w14:paraId="32BB87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58 423,0</w:t>
            </w:r>
          </w:p>
        </w:tc>
        <w:tc>
          <w:tcPr>
            <w:tcW w:w="1277" w:type="dxa"/>
            <w:tcBorders>
              <w:top w:val="nil"/>
              <w:left w:val="nil"/>
              <w:bottom w:val="single" w:sz="4" w:space="0" w:color="000000"/>
              <w:right w:val="single" w:sz="4" w:space="0" w:color="000000"/>
            </w:tcBorders>
            <w:shd w:val="clear" w:color="auto" w:fill="auto"/>
            <w:noWrap/>
            <w:vAlign w:val="center"/>
            <w:hideMark/>
          </w:tcPr>
          <w:p w14:paraId="5F4F936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58 423,0</w:t>
            </w:r>
          </w:p>
        </w:tc>
        <w:tc>
          <w:tcPr>
            <w:tcW w:w="1276" w:type="dxa"/>
            <w:tcBorders>
              <w:top w:val="nil"/>
              <w:left w:val="nil"/>
              <w:bottom w:val="single" w:sz="4" w:space="0" w:color="000000"/>
              <w:right w:val="single" w:sz="4" w:space="0" w:color="000000"/>
            </w:tcBorders>
            <w:shd w:val="clear" w:color="auto" w:fill="auto"/>
            <w:noWrap/>
            <w:vAlign w:val="center"/>
            <w:hideMark/>
          </w:tcPr>
          <w:p w14:paraId="0AD643F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58 423,0</w:t>
            </w:r>
          </w:p>
        </w:tc>
        <w:tc>
          <w:tcPr>
            <w:tcW w:w="1275" w:type="dxa"/>
            <w:tcBorders>
              <w:top w:val="nil"/>
              <w:left w:val="nil"/>
              <w:bottom w:val="single" w:sz="4" w:space="0" w:color="000000"/>
              <w:right w:val="single" w:sz="4" w:space="0" w:color="000000"/>
            </w:tcBorders>
            <w:shd w:val="clear" w:color="auto" w:fill="auto"/>
            <w:noWrap/>
            <w:vAlign w:val="center"/>
            <w:hideMark/>
          </w:tcPr>
          <w:p w14:paraId="58FB008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58 423,0</w:t>
            </w:r>
          </w:p>
        </w:tc>
      </w:tr>
      <w:tr w:rsidR="00996507" w:rsidRPr="00996507" w14:paraId="080EB97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06B787E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9E51A62" w14:textId="77777777" w:rsidR="00996507" w:rsidRPr="004923CD" w:rsidRDefault="00996507" w:rsidP="009824C1">
            <w:pPr>
              <w:spacing w:after="0" w:line="240" w:lineRule="auto"/>
              <w:rPr>
                <w:rFonts w:ascii="Times New Roman" w:eastAsia="Times New Roman" w:hAnsi="Times New Roman" w:cs="Times New Roman"/>
                <w:color w:val="000000"/>
                <w:sz w:val="20"/>
                <w:szCs w:val="20"/>
                <w:lang w:eastAsia="ru-RU"/>
              </w:rPr>
            </w:pPr>
            <w:r w:rsidRPr="004923CD">
              <w:rPr>
                <w:rFonts w:ascii="Times New Roman" w:eastAsia="Times New Roman" w:hAnsi="Times New Roman" w:cs="Times New Roman"/>
                <w:color w:val="000000"/>
                <w:sz w:val="20"/>
                <w:szCs w:val="20"/>
                <w:lang w:eastAsia="ru-RU"/>
              </w:rPr>
              <w:t>Объем инвестиций в основной капитал (за исключением бюджетных средств) в расчете на 1 жителя</w:t>
            </w:r>
          </w:p>
        </w:tc>
        <w:tc>
          <w:tcPr>
            <w:tcW w:w="1151" w:type="dxa"/>
            <w:tcBorders>
              <w:top w:val="nil"/>
              <w:left w:val="nil"/>
              <w:bottom w:val="single" w:sz="4" w:space="0" w:color="auto"/>
              <w:right w:val="single" w:sz="4" w:space="0" w:color="auto"/>
            </w:tcBorders>
            <w:shd w:val="clear" w:color="000000" w:fill="FFFFFF"/>
            <w:hideMark/>
          </w:tcPr>
          <w:p w14:paraId="7531F24C" w14:textId="77777777" w:rsidR="00996507" w:rsidRPr="004923CD"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4923CD">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18293F81" w14:textId="77777777" w:rsidR="00996507" w:rsidRPr="004923CD"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4923CD">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000000"/>
              <w:right w:val="single" w:sz="4" w:space="0" w:color="000000"/>
            </w:tcBorders>
            <w:shd w:val="clear" w:color="auto" w:fill="auto"/>
            <w:noWrap/>
            <w:vAlign w:val="center"/>
            <w:hideMark/>
          </w:tcPr>
          <w:p w14:paraId="0175EEF1" w14:textId="77777777" w:rsidR="00996507" w:rsidRPr="004923CD" w:rsidRDefault="00996507" w:rsidP="009824C1">
            <w:pPr>
              <w:spacing w:after="0" w:line="240" w:lineRule="auto"/>
              <w:jc w:val="right"/>
              <w:rPr>
                <w:rFonts w:ascii="Times New Roman" w:eastAsia="Times New Roman" w:hAnsi="Times New Roman" w:cs="Times New Roman"/>
                <w:sz w:val="20"/>
                <w:szCs w:val="20"/>
                <w:lang w:eastAsia="ru-RU"/>
              </w:rPr>
            </w:pPr>
            <w:r w:rsidRPr="004923CD">
              <w:rPr>
                <w:rFonts w:ascii="Times New Roman" w:eastAsia="Times New Roman" w:hAnsi="Times New Roman" w:cs="Times New Roman"/>
                <w:sz w:val="20"/>
                <w:szCs w:val="20"/>
                <w:lang w:eastAsia="ru-RU"/>
              </w:rPr>
              <w:t>183 556,0</w:t>
            </w:r>
          </w:p>
        </w:tc>
        <w:tc>
          <w:tcPr>
            <w:tcW w:w="1275" w:type="dxa"/>
            <w:tcBorders>
              <w:top w:val="nil"/>
              <w:left w:val="nil"/>
              <w:bottom w:val="single" w:sz="4" w:space="0" w:color="000000"/>
              <w:right w:val="single" w:sz="4" w:space="0" w:color="000000"/>
            </w:tcBorders>
            <w:shd w:val="clear" w:color="auto" w:fill="auto"/>
            <w:noWrap/>
            <w:vAlign w:val="center"/>
            <w:hideMark/>
          </w:tcPr>
          <w:p w14:paraId="245C3412" w14:textId="31E5BAD3" w:rsidR="00996507" w:rsidRPr="004923CD" w:rsidRDefault="004923CD" w:rsidP="009824C1">
            <w:pPr>
              <w:spacing w:after="0" w:line="240" w:lineRule="auto"/>
              <w:jc w:val="right"/>
              <w:rPr>
                <w:rFonts w:ascii="Times New Roman" w:eastAsia="Times New Roman" w:hAnsi="Times New Roman" w:cs="Times New Roman"/>
                <w:sz w:val="20"/>
                <w:szCs w:val="20"/>
                <w:lang w:eastAsia="ru-RU"/>
              </w:rPr>
            </w:pPr>
            <w:r w:rsidRPr="004923CD">
              <w:rPr>
                <w:rFonts w:ascii="Times New Roman" w:eastAsia="Times New Roman" w:hAnsi="Times New Roman" w:cs="Times New Roman"/>
                <w:sz w:val="20"/>
                <w:szCs w:val="20"/>
                <w:lang w:eastAsia="ru-RU"/>
              </w:rPr>
              <w:t>93 975,6</w:t>
            </w:r>
          </w:p>
        </w:tc>
        <w:tc>
          <w:tcPr>
            <w:tcW w:w="1275" w:type="dxa"/>
            <w:tcBorders>
              <w:top w:val="nil"/>
              <w:left w:val="nil"/>
              <w:bottom w:val="single" w:sz="4" w:space="0" w:color="000000"/>
              <w:right w:val="single" w:sz="4" w:space="0" w:color="000000"/>
            </w:tcBorders>
            <w:shd w:val="clear" w:color="auto" w:fill="auto"/>
            <w:noWrap/>
            <w:vAlign w:val="center"/>
            <w:hideMark/>
          </w:tcPr>
          <w:p w14:paraId="004669F1" w14:textId="7D27F3F4" w:rsidR="00996507" w:rsidRPr="004923CD" w:rsidRDefault="004923CD" w:rsidP="009824C1">
            <w:pPr>
              <w:spacing w:after="0" w:line="240" w:lineRule="auto"/>
              <w:jc w:val="right"/>
              <w:rPr>
                <w:rFonts w:ascii="Times New Roman" w:eastAsia="Times New Roman" w:hAnsi="Times New Roman" w:cs="Times New Roman"/>
                <w:sz w:val="20"/>
                <w:szCs w:val="20"/>
                <w:lang w:eastAsia="ru-RU"/>
              </w:rPr>
            </w:pPr>
            <w:r w:rsidRPr="004923CD">
              <w:rPr>
                <w:rFonts w:ascii="Times New Roman" w:eastAsia="Times New Roman" w:hAnsi="Times New Roman" w:cs="Times New Roman"/>
                <w:sz w:val="20"/>
                <w:szCs w:val="20"/>
                <w:lang w:eastAsia="ru-RU"/>
              </w:rPr>
              <w:t>92 825,0</w:t>
            </w:r>
          </w:p>
        </w:tc>
        <w:tc>
          <w:tcPr>
            <w:tcW w:w="1277" w:type="dxa"/>
            <w:tcBorders>
              <w:top w:val="nil"/>
              <w:left w:val="nil"/>
              <w:bottom w:val="single" w:sz="4" w:space="0" w:color="000000"/>
              <w:right w:val="single" w:sz="4" w:space="0" w:color="000000"/>
            </w:tcBorders>
            <w:shd w:val="clear" w:color="auto" w:fill="auto"/>
            <w:noWrap/>
            <w:vAlign w:val="center"/>
            <w:hideMark/>
          </w:tcPr>
          <w:p w14:paraId="285AE189" w14:textId="77777777" w:rsidR="00996507" w:rsidRPr="004923CD" w:rsidRDefault="00996507" w:rsidP="009824C1">
            <w:pPr>
              <w:spacing w:after="0" w:line="240" w:lineRule="auto"/>
              <w:jc w:val="right"/>
              <w:rPr>
                <w:rFonts w:ascii="Times New Roman" w:eastAsia="Times New Roman" w:hAnsi="Times New Roman" w:cs="Times New Roman"/>
                <w:sz w:val="20"/>
                <w:szCs w:val="20"/>
                <w:lang w:eastAsia="ru-RU"/>
              </w:rPr>
            </w:pPr>
            <w:r w:rsidRPr="004923CD">
              <w:rPr>
                <w:rFonts w:ascii="Times New Roman" w:eastAsia="Times New Roman" w:hAnsi="Times New Roman" w:cs="Times New Roman"/>
                <w:sz w:val="20"/>
                <w:szCs w:val="20"/>
                <w:lang w:eastAsia="ru-RU"/>
              </w:rPr>
              <w:t>129 088,0</w:t>
            </w:r>
          </w:p>
        </w:tc>
        <w:tc>
          <w:tcPr>
            <w:tcW w:w="1276" w:type="dxa"/>
            <w:tcBorders>
              <w:top w:val="nil"/>
              <w:left w:val="nil"/>
              <w:bottom w:val="single" w:sz="4" w:space="0" w:color="000000"/>
              <w:right w:val="single" w:sz="4" w:space="0" w:color="000000"/>
            </w:tcBorders>
            <w:shd w:val="clear" w:color="auto" w:fill="auto"/>
            <w:noWrap/>
            <w:vAlign w:val="center"/>
            <w:hideMark/>
          </w:tcPr>
          <w:p w14:paraId="418B0F96" w14:textId="77777777" w:rsidR="00996507" w:rsidRPr="004923CD" w:rsidRDefault="00996507" w:rsidP="009824C1">
            <w:pPr>
              <w:spacing w:after="0" w:line="240" w:lineRule="auto"/>
              <w:jc w:val="right"/>
              <w:rPr>
                <w:rFonts w:ascii="Times New Roman" w:eastAsia="Times New Roman" w:hAnsi="Times New Roman" w:cs="Times New Roman"/>
                <w:sz w:val="20"/>
                <w:szCs w:val="20"/>
                <w:lang w:eastAsia="ru-RU"/>
              </w:rPr>
            </w:pPr>
            <w:r w:rsidRPr="004923CD">
              <w:rPr>
                <w:rFonts w:ascii="Times New Roman" w:eastAsia="Times New Roman" w:hAnsi="Times New Roman" w:cs="Times New Roman"/>
                <w:sz w:val="20"/>
                <w:szCs w:val="20"/>
                <w:lang w:eastAsia="ru-RU"/>
              </w:rPr>
              <w:t>131 502,0</w:t>
            </w:r>
          </w:p>
        </w:tc>
        <w:tc>
          <w:tcPr>
            <w:tcW w:w="1275" w:type="dxa"/>
            <w:tcBorders>
              <w:top w:val="nil"/>
              <w:left w:val="nil"/>
              <w:bottom w:val="single" w:sz="4" w:space="0" w:color="000000"/>
              <w:right w:val="single" w:sz="4" w:space="0" w:color="000000"/>
            </w:tcBorders>
            <w:shd w:val="clear" w:color="auto" w:fill="auto"/>
            <w:noWrap/>
            <w:vAlign w:val="center"/>
            <w:hideMark/>
          </w:tcPr>
          <w:p w14:paraId="0EE1D0AA" w14:textId="77777777" w:rsidR="00996507" w:rsidRPr="004923CD" w:rsidRDefault="00996507" w:rsidP="009824C1">
            <w:pPr>
              <w:spacing w:after="0" w:line="240" w:lineRule="auto"/>
              <w:jc w:val="right"/>
              <w:rPr>
                <w:rFonts w:ascii="Times New Roman" w:eastAsia="Times New Roman" w:hAnsi="Times New Roman" w:cs="Times New Roman"/>
                <w:sz w:val="20"/>
                <w:szCs w:val="20"/>
                <w:lang w:eastAsia="ru-RU"/>
              </w:rPr>
            </w:pPr>
            <w:r w:rsidRPr="004923CD">
              <w:rPr>
                <w:rFonts w:ascii="Times New Roman" w:eastAsia="Times New Roman" w:hAnsi="Times New Roman" w:cs="Times New Roman"/>
                <w:sz w:val="20"/>
                <w:szCs w:val="20"/>
                <w:lang w:eastAsia="ru-RU"/>
              </w:rPr>
              <w:t>131 502,0</w:t>
            </w:r>
          </w:p>
        </w:tc>
      </w:tr>
      <w:tr w:rsidR="00996507" w:rsidRPr="00996507" w14:paraId="2E457F29"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37EEBEF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D1FBE7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25DA23A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3C95E03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000000"/>
              <w:right w:val="single" w:sz="4" w:space="0" w:color="000000"/>
            </w:tcBorders>
            <w:shd w:val="clear" w:color="000000" w:fill="C0C0C0"/>
            <w:noWrap/>
            <w:vAlign w:val="center"/>
            <w:hideMark/>
          </w:tcPr>
          <w:p w14:paraId="5CC824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93,52</w:t>
            </w:r>
          </w:p>
        </w:tc>
        <w:tc>
          <w:tcPr>
            <w:tcW w:w="1275" w:type="dxa"/>
            <w:tcBorders>
              <w:top w:val="nil"/>
              <w:left w:val="nil"/>
              <w:bottom w:val="single" w:sz="4" w:space="0" w:color="000000"/>
              <w:right w:val="single" w:sz="4" w:space="0" w:color="000000"/>
            </w:tcBorders>
            <w:shd w:val="clear" w:color="000000" w:fill="C0C0C0"/>
            <w:noWrap/>
            <w:vAlign w:val="center"/>
            <w:hideMark/>
          </w:tcPr>
          <w:p w14:paraId="0522BB6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93,52</w:t>
            </w:r>
          </w:p>
        </w:tc>
        <w:tc>
          <w:tcPr>
            <w:tcW w:w="1275" w:type="dxa"/>
            <w:tcBorders>
              <w:top w:val="nil"/>
              <w:left w:val="nil"/>
              <w:bottom w:val="single" w:sz="4" w:space="0" w:color="000000"/>
              <w:right w:val="single" w:sz="4" w:space="0" w:color="000000"/>
            </w:tcBorders>
            <w:shd w:val="clear" w:color="000000" w:fill="C0C0C0"/>
            <w:noWrap/>
            <w:vAlign w:val="center"/>
            <w:hideMark/>
          </w:tcPr>
          <w:p w14:paraId="207B712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94,16</w:t>
            </w:r>
          </w:p>
        </w:tc>
        <w:tc>
          <w:tcPr>
            <w:tcW w:w="1277" w:type="dxa"/>
            <w:tcBorders>
              <w:top w:val="nil"/>
              <w:left w:val="nil"/>
              <w:bottom w:val="single" w:sz="4" w:space="0" w:color="000000"/>
              <w:right w:val="single" w:sz="4" w:space="0" w:color="000000"/>
            </w:tcBorders>
            <w:shd w:val="clear" w:color="000000" w:fill="C0C0C0"/>
            <w:noWrap/>
            <w:vAlign w:val="center"/>
            <w:hideMark/>
          </w:tcPr>
          <w:p w14:paraId="3AB1854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94,30</w:t>
            </w:r>
          </w:p>
        </w:tc>
        <w:tc>
          <w:tcPr>
            <w:tcW w:w="1276" w:type="dxa"/>
            <w:tcBorders>
              <w:top w:val="nil"/>
              <w:left w:val="nil"/>
              <w:bottom w:val="single" w:sz="4" w:space="0" w:color="000000"/>
              <w:right w:val="single" w:sz="4" w:space="0" w:color="000000"/>
            </w:tcBorders>
            <w:shd w:val="clear" w:color="000000" w:fill="C0C0C0"/>
            <w:noWrap/>
            <w:vAlign w:val="center"/>
            <w:hideMark/>
          </w:tcPr>
          <w:p w14:paraId="47526B3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94,40</w:t>
            </w:r>
          </w:p>
        </w:tc>
        <w:tc>
          <w:tcPr>
            <w:tcW w:w="1275" w:type="dxa"/>
            <w:tcBorders>
              <w:top w:val="nil"/>
              <w:left w:val="nil"/>
              <w:bottom w:val="single" w:sz="4" w:space="0" w:color="000000"/>
              <w:right w:val="single" w:sz="4" w:space="0" w:color="000000"/>
            </w:tcBorders>
            <w:shd w:val="clear" w:color="000000" w:fill="C0C0C0"/>
            <w:noWrap/>
            <w:vAlign w:val="center"/>
            <w:hideMark/>
          </w:tcPr>
          <w:p w14:paraId="3FE77A2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94,50</w:t>
            </w:r>
          </w:p>
        </w:tc>
      </w:tr>
      <w:tr w:rsidR="00996507" w:rsidRPr="00996507" w14:paraId="6C821520" w14:textId="77777777" w:rsidTr="00996507">
        <w:trPr>
          <w:trHeight w:val="570"/>
        </w:trPr>
        <w:tc>
          <w:tcPr>
            <w:tcW w:w="1701" w:type="dxa"/>
            <w:vMerge/>
            <w:tcBorders>
              <w:top w:val="nil"/>
              <w:left w:val="single" w:sz="4" w:space="0" w:color="auto"/>
              <w:bottom w:val="single" w:sz="4" w:space="0" w:color="auto"/>
              <w:right w:val="single" w:sz="4" w:space="0" w:color="auto"/>
            </w:tcBorders>
            <w:vAlign w:val="center"/>
            <w:hideMark/>
          </w:tcPr>
          <w:p w14:paraId="3B2C17B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595CC4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являющихся объектами налогообложения земельным налогом</w:t>
            </w:r>
          </w:p>
        </w:tc>
        <w:tc>
          <w:tcPr>
            <w:tcW w:w="1151" w:type="dxa"/>
            <w:tcBorders>
              <w:top w:val="nil"/>
              <w:left w:val="nil"/>
              <w:bottom w:val="single" w:sz="4" w:space="0" w:color="auto"/>
              <w:right w:val="single" w:sz="4" w:space="0" w:color="auto"/>
            </w:tcBorders>
            <w:shd w:val="clear" w:color="000000" w:fill="FFFFFF"/>
            <w:hideMark/>
          </w:tcPr>
          <w:p w14:paraId="7ECB682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5C66C91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4.1</w:t>
            </w:r>
          </w:p>
        </w:tc>
        <w:tc>
          <w:tcPr>
            <w:tcW w:w="1276" w:type="dxa"/>
            <w:tcBorders>
              <w:top w:val="nil"/>
              <w:left w:val="nil"/>
              <w:bottom w:val="single" w:sz="4" w:space="0" w:color="000000"/>
              <w:right w:val="single" w:sz="4" w:space="0" w:color="000000"/>
            </w:tcBorders>
            <w:shd w:val="clear" w:color="auto" w:fill="auto"/>
            <w:noWrap/>
            <w:vAlign w:val="center"/>
            <w:hideMark/>
          </w:tcPr>
          <w:p w14:paraId="6E3DC1B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3 203,6</w:t>
            </w:r>
          </w:p>
        </w:tc>
        <w:tc>
          <w:tcPr>
            <w:tcW w:w="1275" w:type="dxa"/>
            <w:tcBorders>
              <w:top w:val="nil"/>
              <w:left w:val="nil"/>
              <w:bottom w:val="single" w:sz="4" w:space="0" w:color="000000"/>
              <w:right w:val="single" w:sz="4" w:space="0" w:color="000000"/>
            </w:tcBorders>
            <w:shd w:val="clear" w:color="auto" w:fill="auto"/>
            <w:noWrap/>
            <w:vAlign w:val="center"/>
            <w:hideMark/>
          </w:tcPr>
          <w:p w14:paraId="523E3A9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3 203,6</w:t>
            </w:r>
          </w:p>
        </w:tc>
        <w:tc>
          <w:tcPr>
            <w:tcW w:w="1275" w:type="dxa"/>
            <w:tcBorders>
              <w:top w:val="nil"/>
              <w:left w:val="nil"/>
              <w:bottom w:val="single" w:sz="4" w:space="0" w:color="000000"/>
              <w:right w:val="single" w:sz="4" w:space="0" w:color="000000"/>
            </w:tcBorders>
            <w:shd w:val="clear" w:color="auto" w:fill="auto"/>
            <w:noWrap/>
            <w:vAlign w:val="center"/>
            <w:hideMark/>
          </w:tcPr>
          <w:p w14:paraId="385A7EE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3 225,6</w:t>
            </w:r>
          </w:p>
        </w:tc>
        <w:tc>
          <w:tcPr>
            <w:tcW w:w="1277" w:type="dxa"/>
            <w:tcBorders>
              <w:top w:val="nil"/>
              <w:left w:val="nil"/>
              <w:bottom w:val="single" w:sz="4" w:space="0" w:color="000000"/>
              <w:right w:val="single" w:sz="4" w:space="0" w:color="000000"/>
            </w:tcBorders>
            <w:shd w:val="clear" w:color="auto" w:fill="auto"/>
            <w:noWrap/>
            <w:vAlign w:val="center"/>
            <w:hideMark/>
          </w:tcPr>
          <w:p w14:paraId="02C3722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3 230,3</w:t>
            </w:r>
          </w:p>
        </w:tc>
        <w:tc>
          <w:tcPr>
            <w:tcW w:w="1276" w:type="dxa"/>
            <w:tcBorders>
              <w:top w:val="nil"/>
              <w:left w:val="nil"/>
              <w:bottom w:val="single" w:sz="4" w:space="0" w:color="000000"/>
              <w:right w:val="single" w:sz="4" w:space="0" w:color="000000"/>
            </w:tcBorders>
            <w:shd w:val="clear" w:color="auto" w:fill="auto"/>
            <w:noWrap/>
            <w:vAlign w:val="center"/>
            <w:hideMark/>
          </w:tcPr>
          <w:p w14:paraId="1EFE52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3 233,8</w:t>
            </w:r>
          </w:p>
        </w:tc>
        <w:tc>
          <w:tcPr>
            <w:tcW w:w="1275" w:type="dxa"/>
            <w:tcBorders>
              <w:top w:val="nil"/>
              <w:left w:val="nil"/>
              <w:bottom w:val="single" w:sz="4" w:space="0" w:color="000000"/>
              <w:right w:val="single" w:sz="4" w:space="0" w:color="000000"/>
            </w:tcBorders>
            <w:shd w:val="clear" w:color="auto" w:fill="auto"/>
            <w:noWrap/>
            <w:vAlign w:val="center"/>
            <w:hideMark/>
          </w:tcPr>
          <w:p w14:paraId="1DB965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3 237,2</w:t>
            </w:r>
          </w:p>
        </w:tc>
      </w:tr>
      <w:tr w:rsidR="00996507" w:rsidRPr="00996507" w14:paraId="0CE435FF"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55714F4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6FC45B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площадь территории городского округа (муниципального района), подлежащая налогообложению в соответствии с действующим законодательством</w:t>
            </w:r>
          </w:p>
        </w:tc>
        <w:tc>
          <w:tcPr>
            <w:tcW w:w="1151" w:type="dxa"/>
            <w:tcBorders>
              <w:top w:val="nil"/>
              <w:left w:val="nil"/>
              <w:bottom w:val="single" w:sz="4" w:space="0" w:color="auto"/>
              <w:right w:val="single" w:sz="4" w:space="0" w:color="auto"/>
            </w:tcBorders>
            <w:shd w:val="clear" w:color="000000" w:fill="FFFFFF"/>
            <w:hideMark/>
          </w:tcPr>
          <w:p w14:paraId="470B6A4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1BF8F5B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4.2</w:t>
            </w:r>
          </w:p>
        </w:tc>
        <w:tc>
          <w:tcPr>
            <w:tcW w:w="1276" w:type="dxa"/>
            <w:tcBorders>
              <w:top w:val="nil"/>
              <w:left w:val="nil"/>
              <w:bottom w:val="single" w:sz="4" w:space="0" w:color="000000"/>
              <w:right w:val="single" w:sz="4" w:space="0" w:color="000000"/>
            </w:tcBorders>
            <w:shd w:val="clear" w:color="auto" w:fill="auto"/>
            <w:noWrap/>
            <w:vAlign w:val="center"/>
            <w:hideMark/>
          </w:tcPr>
          <w:p w14:paraId="38F84C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c>
          <w:tcPr>
            <w:tcW w:w="1275" w:type="dxa"/>
            <w:tcBorders>
              <w:top w:val="nil"/>
              <w:left w:val="nil"/>
              <w:bottom w:val="single" w:sz="4" w:space="0" w:color="000000"/>
              <w:right w:val="single" w:sz="4" w:space="0" w:color="000000"/>
            </w:tcBorders>
            <w:shd w:val="clear" w:color="auto" w:fill="auto"/>
            <w:noWrap/>
            <w:vAlign w:val="center"/>
            <w:hideMark/>
          </w:tcPr>
          <w:p w14:paraId="289F43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c>
          <w:tcPr>
            <w:tcW w:w="1275" w:type="dxa"/>
            <w:tcBorders>
              <w:top w:val="nil"/>
              <w:left w:val="nil"/>
              <w:bottom w:val="single" w:sz="4" w:space="0" w:color="000000"/>
              <w:right w:val="single" w:sz="4" w:space="0" w:color="000000"/>
            </w:tcBorders>
            <w:shd w:val="clear" w:color="auto" w:fill="auto"/>
            <w:noWrap/>
            <w:vAlign w:val="center"/>
            <w:hideMark/>
          </w:tcPr>
          <w:p w14:paraId="00ED6F0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c>
          <w:tcPr>
            <w:tcW w:w="1277" w:type="dxa"/>
            <w:tcBorders>
              <w:top w:val="nil"/>
              <w:left w:val="nil"/>
              <w:bottom w:val="single" w:sz="4" w:space="0" w:color="000000"/>
              <w:right w:val="single" w:sz="4" w:space="0" w:color="000000"/>
            </w:tcBorders>
            <w:shd w:val="clear" w:color="auto" w:fill="auto"/>
            <w:noWrap/>
            <w:vAlign w:val="center"/>
            <w:hideMark/>
          </w:tcPr>
          <w:p w14:paraId="2FC8234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c>
          <w:tcPr>
            <w:tcW w:w="1276" w:type="dxa"/>
            <w:tcBorders>
              <w:top w:val="nil"/>
              <w:left w:val="nil"/>
              <w:bottom w:val="single" w:sz="4" w:space="0" w:color="000000"/>
              <w:right w:val="single" w:sz="4" w:space="0" w:color="000000"/>
            </w:tcBorders>
            <w:shd w:val="clear" w:color="auto" w:fill="auto"/>
            <w:noWrap/>
            <w:vAlign w:val="center"/>
            <w:hideMark/>
          </w:tcPr>
          <w:p w14:paraId="2BFD16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c>
          <w:tcPr>
            <w:tcW w:w="1275" w:type="dxa"/>
            <w:tcBorders>
              <w:top w:val="nil"/>
              <w:left w:val="nil"/>
              <w:bottom w:val="single" w:sz="4" w:space="0" w:color="000000"/>
              <w:right w:val="single" w:sz="4" w:space="0" w:color="000000"/>
            </w:tcBorders>
            <w:shd w:val="clear" w:color="auto" w:fill="auto"/>
            <w:noWrap/>
            <w:vAlign w:val="center"/>
            <w:hideMark/>
          </w:tcPr>
          <w:p w14:paraId="274E96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3 425,6</w:t>
            </w:r>
          </w:p>
        </w:tc>
      </w:tr>
      <w:tr w:rsidR="00996507" w:rsidRPr="00996507" w14:paraId="77AF30EB"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9F83A3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2DDFF2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прибыльных сельскохозяйственных организаций в общем их числе</w:t>
            </w:r>
          </w:p>
        </w:tc>
        <w:tc>
          <w:tcPr>
            <w:tcW w:w="1151" w:type="dxa"/>
            <w:tcBorders>
              <w:top w:val="nil"/>
              <w:left w:val="nil"/>
              <w:bottom w:val="single" w:sz="4" w:space="0" w:color="auto"/>
              <w:right w:val="single" w:sz="4" w:space="0" w:color="auto"/>
            </w:tcBorders>
            <w:shd w:val="clear" w:color="000000" w:fill="FFFFFF"/>
            <w:hideMark/>
          </w:tcPr>
          <w:p w14:paraId="0992289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72CDC0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000000"/>
              <w:right w:val="single" w:sz="4" w:space="0" w:color="000000"/>
            </w:tcBorders>
            <w:shd w:val="clear" w:color="000000" w:fill="C0C0C0"/>
            <w:noWrap/>
            <w:vAlign w:val="center"/>
            <w:hideMark/>
          </w:tcPr>
          <w:p w14:paraId="1F01B1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EF8D48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AFE7D2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20137A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2658620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7B5775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03ED3718"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16F4A70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2B964F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прибыльных единиц сельскохозяйственных организаций</w:t>
            </w:r>
          </w:p>
        </w:tc>
        <w:tc>
          <w:tcPr>
            <w:tcW w:w="1151" w:type="dxa"/>
            <w:tcBorders>
              <w:top w:val="nil"/>
              <w:left w:val="nil"/>
              <w:bottom w:val="single" w:sz="4" w:space="0" w:color="auto"/>
              <w:right w:val="single" w:sz="4" w:space="0" w:color="auto"/>
            </w:tcBorders>
            <w:shd w:val="clear" w:color="000000" w:fill="FFFFFF"/>
            <w:hideMark/>
          </w:tcPr>
          <w:p w14:paraId="5D63C10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56F2280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5.1</w:t>
            </w:r>
          </w:p>
        </w:tc>
        <w:tc>
          <w:tcPr>
            <w:tcW w:w="1276" w:type="dxa"/>
            <w:tcBorders>
              <w:top w:val="nil"/>
              <w:left w:val="nil"/>
              <w:bottom w:val="single" w:sz="4" w:space="0" w:color="000000"/>
              <w:right w:val="single" w:sz="4" w:space="0" w:color="000000"/>
            </w:tcBorders>
            <w:shd w:val="clear" w:color="auto" w:fill="auto"/>
            <w:noWrap/>
            <w:vAlign w:val="center"/>
            <w:hideMark/>
          </w:tcPr>
          <w:p w14:paraId="22F75F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070937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07AC948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02CA8F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2FDCE74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8A1D8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49EB5D36" w14:textId="77777777" w:rsidTr="00996507">
        <w:trPr>
          <w:trHeight w:val="345"/>
        </w:trPr>
        <w:tc>
          <w:tcPr>
            <w:tcW w:w="1701" w:type="dxa"/>
            <w:vMerge/>
            <w:tcBorders>
              <w:top w:val="nil"/>
              <w:left w:val="single" w:sz="4" w:space="0" w:color="auto"/>
              <w:bottom w:val="single" w:sz="4" w:space="0" w:color="auto"/>
              <w:right w:val="single" w:sz="4" w:space="0" w:color="auto"/>
            </w:tcBorders>
            <w:vAlign w:val="center"/>
            <w:hideMark/>
          </w:tcPr>
          <w:p w14:paraId="3E6743A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A9C00E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число сельскохозяйственных организаций</w:t>
            </w:r>
          </w:p>
        </w:tc>
        <w:tc>
          <w:tcPr>
            <w:tcW w:w="1151" w:type="dxa"/>
            <w:tcBorders>
              <w:top w:val="nil"/>
              <w:left w:val="nil"/>
              <w:bottom w:val="single" w:sz="4" w:space="0" w:color="auto"/>
              <w:right w:val="single" w:sz="4" w:space="0" w:color="auto"/>
            </w:tcBorders>
            <w:shd w:val="clear" w:color="000000" w:fill="FFFFFF"/>
            <w:hideMark/>
          </w:tcPr>
          <w:p w14:paraId="6DDBEC4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903F60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5.2</w:t>
            </w:r>
          </w:p>
        </w:tc>
        <w:tc>
          <w:tcPr>
            <w:tcW w:w="1276" w:type="dxa"/>
            <w:tcBorders>
              <w:top w:val="nil"/>
              <w:left w:val="nil"/>
              <w:bottom w:val="single" w:sz="4" w:space="0" w:color="000000"/>
              <w:right w:val="single" w:sz="4" w:space="0" w:color="000000"/>
            </w:tcBorders>
            <w:shd w:val="clear" w:color="auto" w:fill="auto"/>
            <w:noWrap/>
            <w:vAlign w:val="center"/>
            <w:hideMark/>
          </w:tcPr>
          <w:p w14:paraId="1803024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67A2D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832BEC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2DCD035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2D0561B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28380A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0F0522E"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6563B29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CC719C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51" w:type="dxa"/>
            <w:tcBorders>
              <w:top w:val="nil"/>
              <w:left w:val="nil"/>
              <w:bottom w:val="single" w:sz="4" w:space="0" w:color="auto"/>
              <w:right w:val="single" w:sz="4" w:space="0" w:color="auto"/>
            </w:tcBorders>
            <w:shd w:val="clear" w:color="000000" w:fill="FFFFFF"/>
            <w:hideMark/>
          </w:tcPr>
          <w:p w14:paraId="3D33E53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0AED629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000000"/>
              <w:right w:val="single" w:sz="4" w:space="0" w:color="000000"/>
            </w:tcBorders>
            <w:shd w:val="clear" w:color="000000" w:fill="C0C0C0"/>
            <w:noWrap/>
            <w:vAlign w:val="center"/>
            <w:hideMark/>
          </w:tcPr>
          <w:p w14:paraId="4FEC45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6320E2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9557D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1FBAA71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56A87F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925F9E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2AD786C6"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7E8D8AF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71856C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Протяженность автомобильных дорог общего пользования местного значения, не отвечающих нормативным требованиям</w:t>
            </w:r>
          </w:p>
        </w:tc>
        <w:tc>
          <w:tcPr>
            <w:tcW w:w="1151" w:type="dxa"/>
            <w:tcBorders>
              <w:top w:val="nil"/>
              <w:left w:val="nil"/>
              <w:bottom w:val="single" w:sz="4" w:space="0" w:color="auto"/>
              <w:right w:val="single" w:sz="4" w:space="0" w:color="auto"/>
            </w:tcBorders>
            <w:shd w:val="clear" w:color="000000" w:fill="FFFFFF"/>
            <w:hideMark/>
          </w:tcPr>
          <w:p w14:paraId="1BC5191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Километр</w:t>
            </w:r>
          </w:p>
        </w:tc>
        <w:tc>
          <w:tcPr>
            <w:tcW w:w="992" w:type="dxa"/>
            <w:tcBorders>
              <w:top w:val="nil"/>
              <w:left w:val="nil"/>
              <w:bottom w:val="single" w:sz="4" w:space="0" w:color="auto"/>
              <w:right w:val="single" w:sz="4" w:space="0" w:color="auto"/>
            </w:tcBorders>
            <w:shd w:val="clear" w:color="000000" w:fill="FFFFFF"/>
            <w:hideMark/>
          </w:tcPr>
          <w:p w14:paraId="736014D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6.1</w:t>
            </w:r>
          </w:p>
        </w:tc>
        <w:tc>
          <w:tcPr>
            <w:tcW w:w="1276" w:type="dxa"/>
            <w:tcBorders>
              <w:top w:val="nil"/>
              <w:left w:val="nil"/>
              <w:bottom w:val="single" w:sz="4" w:space="0" w:color="000000"/>
              <w:right w:val="single" w:sz="4" w:space="0" w:color="000000"/>
            </w:tcBorders>
            <w:shd w:val="clear" w:color="auto" w:fill="auto"/>
            <w:noWrap/>
            <w:vAlign w:val="center"/>
            <w:hideMark/>
          </w:tcPr>
          <w:p w14:paraId="480C709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204948A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3673D2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146BEB6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0B32A6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3137201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41C27369"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95A210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1B23E9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Протяженность автомобильных дорог общего пользования местного значения</w:t>
            </w:r>
          </w:p>
        </w:tc>
        <w:tc>
          <w:tcPr>
            <w:tcW w:w="1151" w:type="dxa"/>
            <w:tcBorders>
              <w:top w:val="nil"/>
              <w:left w:val="nil"/>
              <w:bottom w:val="single" w:sz="4" w:space="0" w:color="auto"/>
              <w:right w:val="single" w:sz="4" w:space="0" w:color="auto"/>
            </w:tcBorders>
            <w:shd w:val="clear" w:color="000000" w:fill="FFFFFF"/>
            <w:hideMark/>
          </w:tcPr>
          <w:p w14:paraId="2E173AE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Километр</w:t>
            </w:r>
          </w:p>
        </w:tc>
        <w:tc>
          <w:tcPr>
            <w:tcW w:w="992" w:type="dxa"/>
            <w:tcBorders>
              <w:top w:val="nil"/>
              <w:left w:val="nil"/>
              <w:bottom w:val="single" w:sz="4" w:space="0" w:color="auto"/>
              <w:right w:val="single" w:sz="4" w:space="0" w:color="auto"/>
            </w:tcBorders>
            <w:shd w:val="clear" w:color="000000" w:fill="FFFFFF"/>
            <w:hideMark/>
          </w:tcPr>
          <w:p w14:paraId="4C3AD3C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6.2</w:t>
            </w:r>
          </w:p>
        </w:tc>
        <w:tc>
          <w:tcPr>
            <w:tcW w:w="1276" w:type="dxa"/>
            <w:tcBorders>
              <w:top w:val="nil"/>
              <w:left w:val="nil"/>
              <w:bottom w:val="single" w:sz="4" w:space="0" w:color="000000"/>
              <w:right w:val="single" w:sz="4" w:space="0" w:color="000000"/>
            </w:tcBorders>
            <w:shd w:val="clear" w:color="auto" w:fill="auto"/>
            <w:noWrap/>
            <w:vAlign w:val="center"/>
            <w:hideMark/>
          </w:tcPr>
          <w:p w14:paraId="07DA9A4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685DB0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151,6</w:t>
            </w:r>
          </w:p>
        </w:tc>
        <w:tc>
          <w:tcPr>
            <w:tcW w:w="1275" w:type="dxa"/>
            <w:tcBorders>
              <w:top w:val="nil"/>
              <w:left w:val="nil"/>
              <w:bottom w:val="single" w:sz="4" w:space="0" w:color="000000"/>
              <w:right w:val="single" w:sz="4" w:space="0" w:color="000000"/>
            </w:tcBorders>
            <w:shd w:val="clear" w:color="auto" w:fill="auto"/>
            <w:noWrap/>
            <w:vAlign w:val="center"/>
            <w:hideMark/>
          </w:tcPr>
          <w:p w14:paraId="6D387C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162,2</w:t>
            </w:r>
          </w:p>
        </w:tc>
        <w:tc>
          <w:tcPr>
            <w:tcW w:w="1277" w:type="dxa"/>
            <w:tcBorders>
              <w:top w:val="nil"/>
              <w:left w:val="nil"/>
              <w:bottom w:val="single" w:sz="4" w:space="0" w:color="000000"/>
              <w:right w:val="single" w:sz="4" w:space="0" w:color="000000"/>
            </w:tcBorders>
            <w:shd w:val="clear" w:color="auto" w:fill="auto"/>
            <w:noWrap/>
            <w:vAlign w:val="center"/>
            <w:hideMark/>
          </w:tcPr>
          <w:p w14:paraId="2B05870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171,0</w:t>
            </w:r>
          </w:p>
        </w:tc>
        <w:tc>
          <w:tcPr>
            <w:tcW w:w="1276" w:type="dxa"/>
            <w:tcBorders>
              <w:top w:val="nil"/>
              <w:left w:val="nil"/>
              <w:bottom w:val="single" w:sz="4" w:space="0" w:color="000000"/>
              <w:right w:val="single" w:sz="4" w:space="0" w:color="000000"/>
            </w:tcBorders>
            <w:shd w:val="clear" w:color="auto" w:fill="auto"/>
            <w:noWrap/>
            <w:vAlign w:val="center"/>
            <w:hideMark/>
          </w:tcPr>
          <w:p w14:paraId="0E1A68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179,0</w:t>
            </w:r>
          </w:p>
        </w:tc>
        <w:tc>
          <w:tcPr>
            <w:tcW w:w="1275" w:type="dxa"/>
            <w:tcBorders>
              <w:top w:val="nil"/>
              <w:left w:val="nil"/>
              <w:bottom w:val="single" w:sz="4" w:space="0" w:color="000000"/>
              <w:right w:val="single" w:sz="4" w:space="0" w:color="000000"/>
            </w:tcBorders>
            <w:shd w:val="clear" w:color="auto" w:fill="auto"/>
            <w:noWrap/>
            <w:vAlign w:val="center"/>
            <w:hideMark/>
          </w:tcPr>
          <w:p w14:paraId="261D01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182,0</w:t>
            </w:r>
          </w:p>
        </w:tc>
      </w:tr>
      <w:tr w:rsidR="00996507" w:rsidRPr="00996507" w14:paraId="14F169F0" w14:textId="77777777" w:rsidTr="00996507">
        <w:trPr>
          <w:trHeight w:val="1785"/>
        </w:trPr>
        <w:tc>
          <w:tcPr>
            <w:tcW w:w="1701" w:type="dxa"/>
            <w:vMerge/>
            <w:tcBorders>
              <w:top w:val="nil"/>
              <w:left w:val="single" w:sz="4" w:space="0" w:color="auto"/>
              <w:bottom w:val="single" w:sz="4" w:space="0" w:color="auto"/>
              <w:right w:val="single" w:sz="4" w:space="0" w:color="auto"/>
            </w:tcBorders>
            <w:vAlign w:val="center"/>
            <w:hideMark/>
          </w:tcPr>
          <w:p w14:paraId="5BD2641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15714E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74CAE65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6F3AFC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000000"/>
              <w:right w:val="single" w:sz="4" w:space="0" w:color="000000"/>
            </w:tcBorders>
            <w:shd w:val="clear" w:color="000000" w:fill="C0C0C0"/>
            <w:noWrap/>
            <w:vAlign w:val="center"/>
            <w:hideMark/>
          </w:tcPr>
          <w:p w14:paraId="6DAB888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8A2CE4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8D095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05010DF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1481FD1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9D67FC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5E78EABD"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0C79D1D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873DAA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Среднегодовая численность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4F991A2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3F8E2FC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7.1</w:t>
            </w:r>
          </w:p>
        </w:tc>
        <w:tc>
          <w:tcPr>
            <w:tcW w:w="1276" w:type="dxa"/>
            <w:tcBorders>
              <w:top w:val="nil"/>
              <w:left w:val="nil"/>
              <w:bottom w:val="single" w:sz="4" w:space="0" w:color="000000"/>
              <w:right w:val="single" w:sz="4" w:space="0" w:color="000000"/>
            </w:tcBorders>
            <w:shd w:val="clear" w:color="auto" w:fill="auto"/>
            <w:noWrap/>
            <w:vAlign w:val="center"/>
            <w:hideMark/>
          </w:tcPr>
          <w:p w14:paraId="4CCCA43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61C3A1A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291E345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06CA43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187DD67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2E99D4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469AADAF"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5FD24B1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198C4C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w:t>
            </w:r>
          </w:p>
        </w:tc>
        <w:tc>
          <w:tcPr>
            <w:tcW w:w="1151" w:type="dxa"/>
            <w:tcBorders>
              <w:top w:val="nil"/>
              <w:left w:val="nil"/>
              <w:bottom w:val="single" w:sz="4" w:space="0" w:color="auto"/>
              <w:right w:val="single" w:sz="4" w:space="0" w:color="auto"/>
            </w:tcBorders>
            <w:shd w:val="clear" w:color="000000" w:fill="FFFFFF"/>
            <w:hideMark/>
          </w:tcPr>
          <w:p w14:paraId="7CC1919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28FBD18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000000"/>
              <w:right w:val="single" w:sz="4" w:space="0" w:color="000000"/>
            </w:tcBorders>
            <w:shd w:val="clear" w:color="000000" w:fill="C0C0C0"/>
            <w:noWrap/>
            <w:vAlign w:val="center"/>
            <w:hideMark/>
          </w:tcPr>
          <w:p w14:paraId="5FA3242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10AED7C5"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1E984DC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7" w:type="dxa"/>
            <w:tcBorders>
              <w:top w:val="nil"/>
              <w:left w:val="nil"/>
              <w:bottom w:val="single" w:sz="4" w:space="0" w:color="000000"/>
              <w:right w:val="single" w:sz="4" w:space="0" w:color="000000"/>
            </w:tcBorders>
            <w:shd w:val="clear" w:color="000000" w:fill="C0C0C0"/>
            <w:noWrap/>
            <w:vAlign w:val="center"/>
            <w:hideMark/>
          </w:tcPr>
          <w:p w14:paraId="53EB8688"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000000" w:fill="C0C0C0"/>
            <w:noWrap/>
            <w:vAlign w:val="center"/>
            <w:hideMark/>
          </w:tcPr>
          <w:p w14:paraId="0D94E9B3"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24D626C9"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0E576A8C" w14:textId="77777777" w:rsidTr="00996507">
        <w:trPr>
          <w:trHeight w:val="780"/>
        </w:trPr>
        <w:tc>
          <w:tcPr>
            <w:tcW w:w="1701" w:type="dxa"/>
            <w:vMerge/>
            <w:tcBorders>
              <w:top w:val="nil"/>
              <w:left w:val="single" w:sz="4" w:space="0" w:color="auto"/>
              <w:bottom w:val="single" w:sz="4" w:space="0" w:color="auto"/>
              <w:right w:val="single" w:sz="4" w:space="0" w:color="auto"/>
            </w:tcBorders>
            <w:vAlign w:val="center"/>
            <w:hideMark/>
          </w:tcPr>
          <w:p w14:paraId="3705E30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7E4205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w:t>
            </w:r>
          </w:p>
        </w:tc>
        <w:tc>
          <w:tcPr>
            <w:tcW w:w="1151" w:type="dxa"/>
            <w:tcBorders>
              <w:top w:val="nil"/>
              <w:left w:val="nil"/>
              <w:bottom w:val="single" w:sz="4" w:space="0" w:color="auto"/>
              <w:right w:val="single" w:sz="4" w:space="0" w:color="auto"/>
            </w:tcBorders>
            <w:shd w:val="clear" w:color="000000" w:fill="FFFFFF"/>
            <w:hideMark/>
          </w:tcPr>
          <w:p w14:paraId="05B9B9C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4118805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8.1</w:t>
            </w:r>
          </w:p>
        </w:tc>
        <w:tc>
          <w:tcPr>
            <w:tcW w:w="1276" w:type="dxa"/>
            <w:tcBorders>
              <w:top w:val="nil"/>
              <w:left w:val="nil"/>
              <w:bottom w:val="single" w:sz="4" w:space="0" w:color="000000"/>
              <w:right w:val="single" w:sz="4" w:space="0" w:color="000000"/>
            </w:tcBorders>
            <w:shd w:val="clear" w:color="auto" w:fill="auto"/>
            <w:noWrap/>
            <w:vAlign w:val="center"/>
            <w:hideMark/>
          </w:tcPr>
          <w:p w14:paraId="63FFCE1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67 021,3</w:t>
            </w:r>
          </w:p>
        </w:tc>
        <w:tc>
          <w:tcPr>
            <w:tcW w:w="1275" w:type="dxa"/>
            <w:tcBorders>
              <w:top w:val="nil"/>
              <w:left w:val="nil"/>
              <w:bottom w:val="single" w:sz="4" w:space="0" w:color="000000"/>
              <w:right w:val="single" w:sz="4" w:space="0" w:color="000000"/>
            </w:tcBorders>
            <w:shd w:val="clear" w:color="auto" w:fill="auto"/>
            <w:noWrap/>
            <w:vAlign w:val="center"/>
            <w:hideMark/>
          </w:tcPr>
          <w:p w14:paraId="6792FFD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67 549,2</w:t>
            </w:r>
          </w:p>
        </w:tc>
        <w:tc>
          <w:tcPr>
            <w:tcW w:w="1275" w:type="dxa"/>
            <w:tcBorders>
              <w:top w:val="nil"/>
              <w:left w:val="nil"/>
              <w:bottom w:val="single" w:sz="4" w:space="0" w:color="000000"/>
              <w:right w:val="single" w:sz="4" w:space="0" w:color="000000"/>
            </w:tcBorders>
            <w:shd w:val="clear" w:color="auto" w:fill="auto"/>
            <w:noWrap/>
            <w:vAlign w:val="center"/>
            <w:hideMark/>
          </w:tcPr>
          <w:p w14:paraId="0D6D6B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69 294,1</w:t>
            </w:r>
          </w:p>
        </w:tc>
        <w:tc>
          <w:tcPr>
            <w:tcW w:w="1277" w:type="dxa"/>
            <w:tcBorders>
              <w:top w:val="nil"/>
              <w:left w:val="nil"/>
              <w:bottom w:val="single" w:sz="4" w:space="0" w:color="000000"/>
              <w:right w:val="single" w:sz="4" w:space="0" w:color="000000"/>
            </w:tcBorders>
            <w:shd w:val="clear" w:color="auto" w:fill="auto"/>
            <w:noWrap/>
            <w:vAlign w:val="center"/>
            <w:hideMark/>
          </w:tcPr>
          <w:p w14:paraId="39B9D8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69 796,6</w:t>
            </w:r>
          </w:p>
        </w:tc>
        <w:tc>
          <w:tcPr>
            <w:tcW w:w="1276" w:type="dxa"/>
            <w:tcBorders>
              <w:top w:val="nil"/>
              <w:left w:val="nil"/>
              <w:bottom w:val="single" w:sz="4" w:space="0" w:color="000000"/>
              <w:right w:val="single" w:sz="4" w:space="0" w:color="000000"/>
            </w:tcBorders>
            <w:shd w:val="clear" w:color="auto" w:fill="auto"/>
            <w:noWrap/>
            <w:vAlign w:val="center"/>
            <w:hideMark/>
          </w:tcPr>
          <w:p w14:paraId="29BBAE5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70 704,0</w:t>
            </w:r>
          </w:p>
        </w:tc>
        <w:tc>
          <w:tcPr>
            <w:tcW w:w="1275" w:type="dxa"/>
            <w:tcBorders>
              <w:top w:val="nil"/>
              <w:left w:val="nil"/>
              <w:bottom w:val="single" w:sz="4" w:space="0" w:color="000000"/>
              <w:right w:val="single" w:sz="4" w:space="0" w:color="000000"/>
            </w:tcBorders>
            <w:shd w:val="clear" w:color="auto" w:fill="auto"/>
            <w:noWrap/>
            <w:vAlign w:val="center"/>
            <w:hideMark/>
          </w:tcPr>
          <w:p w14:paraId="201CDD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71 198,0</w:t>
            </w:r>
          </w:p>
        </w:tc>
      </w:tr>
      <w:tr w:rsidR="00996507" w:rsidRPr="00996507" w14:paraId="23419E0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A9F480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B9A7C0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5095B3D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1A215D5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8.2</w:t>
            </w:r>
          </w:p>
        </w:tc>
        <w:tc>
          <w:tcPr>
            <w:tcW w:w="1276" w:type="dxa"/>
            <w:tcBorders>
              <w:top w:val="nil"/>
              <w:left w:val="nil"/>
              <w:bottom w:val="single" w:sz="4" w:space="0" w:color="000000"/>
              <w:right w:val="single" w:sz="4" w:space="0" w:color="000000"/>
            </w:tcBorders>
            <w:shd w:val="clear" w:color="auto" w:fill="auto"/>
            <w:noWrap/>
            <w:vAlign w:val="center"/>
            <w:hideMark/>
          </w:tcPr>
          <w:p w14:paraId="0D07378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38 309,8</w:t>
            </w:r>
          </w:p>
        </w:tc>
        <w:tc>
          <w:tcPr>
            <w:tcW w:w="1275" w:type="dxa"/>
            <w:tcBorders>
              <w:top w:val="nil"/>
              <w:left w:val="nil"/>
              <w:bottom w:val="single" w:sz="4" w:space="0" w:color="000000"/>
              <w:right w:val="single" w:sz="4" w:space="0" w:color="000000"/>
            </w:tcBorders>
            <w:shd w:val="clear" w:color="auto" w:fill="auto"/>
            <w:noWrap/>
            <w:vAlign w:val="center"/>
            <w:hideMark/>
          </w:tcPr>
          <w:p w14:paraId="68E9730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36 701,4</w:t>
            </w:r>
          </w:p>
        </w:tc>
        <w:tc>
          <w:tcPr>
            <w:tcW w:w="1275" w:type="dxa"/>
            <w:tcBorders>
              <w:top w:val="nil"/>
              <w:left w:val="nil"/>
              <w:bottom w:val="single" w:sz="4" w:space="0" w:color="000000"/>
              <w:right w:val="single" w:sz="4" w:space="0" w:color="000000"/>
            </w:tcBorders>
            <w:shd w:val="clear" w:color="auto" w:fill="auto"/>
            <w:noWrap/>
            <w:vAlign w:val="center"/>
            <w:hideMark/>
          </w:tcPr>
          <w:p w14:paraId="5EEFD17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42 403,6</w:t>
            </w:r>
          </w:p>
        </w:tc>
        <w:tc>
          <w:tcPr>
            <w:tcW w:w="1277" w:type="dxa"/>
            <w:tcBorders>
              <w:top w:val="nil"/>
              <w:left w:val="nil"/>
              <w:bottom w:val="single" w:sz="4" w:space="0" w:color="000000"/>
              <w:right w:val="single" w:sz="4" w:space="0" w:color="000000"/>
            </w:tcBorders>
            <w:shd w:val="clear" w:color="auto" w:fill="auto"/>
            <w:noWrap/>
            <w:vAlign w:val="center"/>
            <w:hideMark/>
          </w:tcPr>
          <w:p w14:paraId="314322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42 403,6</w:t>
            </w:r>
          </w:p>
        </w:tc>
        <w:tc>
          <w:tcPr>
            <w:tcW w:w="1276" w:type="dxa"/>
            <w:tcBorders>
              <w:top w:val="nil"/>
              <w:left w:val="nil"/>
              <w:bottom w:val="single" w:sz="4" w:space="0" w:color="000000"/>
              <w:right w:val="single" w:sz="4" w:space="0" w:color="000000"/>
            </w:tcBorders>
            <w:shd w:val="clear" w:color="auto" w:fill="auto"/>
            <w:noWrap/>
            <w:vAlign w:val="center"/>
            <w:hideMark/>
          </w:tcPr>
          <w:p w14:paraId="7782629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42 403,6</w:t>
            </w:r>
          </w:p>
        </w:tc>
        <w:tc>
          <w:tcPr>
            <w:tcW w:w="1275" w:type="dxa"/>
            <w:tcBorders>
              <w:top w:val="nil"/>
              <w:left w:val="nil"/>
              <w:bottom w:val="single" w:sz="4" w:space="0" w:color="000000"/>
              <w:right w:val="single" w:sz="4" w:space="0" w:color="000000"/>
            </w:tcBorders>
            <w:shd w:val="clear" w:color="auto" w:fill="auto"/>
            <w:noWrap/>
            <w:vAlign w:val="center"/>
            <w:hideMark/>
          </w:tcPr>
          <w:p w14:paraId="600E64E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42 403,6</w:t>
            </w:r>
          </w:p>
        </w:tc>
      </w:tr>
      <w:tr w:rsidR="00996507" w:rsidRPr="00996507" w14:paraId="0E5048DC"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759320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3E170E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1AB4AAB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200586F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8.3</w:t>
            </w:r>
          </w:p>
        </w:tc>
        <w:tc>
          <w:tcPr>
            <w:tcW w:w="1276" w:type="dxa"/>
            <w:tcBorders>
              <w:top w:val="nil"/>
              <w:left w:val="nil"/>
              <w:bottom w:val="single" w:sz="4" w:space="0" w:color="000000"/>
              <w:right w:val="single" w:sz="4" w:space="0" w:color="000000"/>
            </w:tcBorders>
            <w:shd w:val="clear" w:color="auto" w:fill="auto"/>
            <w:noWrap/>
            <w:vAlign w:val="center"/>
            <w:hideMark/>
          </w:tcPr>
          <w:p w14:paraId="0F18A2A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55 269,6</w:t>
            </w:r>
          </w:p>
        </w:tc>
        <w:tc>
          <w:tcPr>
            <w:tcW w:w="1275" w:type="dxa"/>
            <w:tcBorders>
              <w:top w:val="nil"/>
              <w:left w:val="nil"/>
              <w:bottom w:val="single" w:sz="4" w:space="0" w:color="000000"/>
              <w:right w:val="single" w:sz="4" w:space="0" w:color="000000"/>
            </w:tcBorders>
            <w:shd w:val="clear" w:color="auto" w:fill="auto"/>
            <w:noWrap/>
            <w:vAlign w:val="center"/>
            <w:hideMark/>
          </w:tcPr>
          <w:p w14:paraId="3F25AF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56 707,1</w:t>
            </w:r>
          </w:p>
        </w:tc>
        <w:tc>
          <w:tcPr>
            <w:tcW w:w="1275" w:type="dxa"/>
            <w:tcBorders>
              <w:top w:val="nil"/>
              <w:left w:val="nil"/>
              <w:bottom w:val="single" w:sz="4" w:space="0" w:color="000000"/>
              <w:right w:val="single" w:sz="4" w:space="0" w:color="000000"/>
            </w:tcBorders>
            <w:shd w:val="clear" w:color="auto" w:fill="auto"/>
            <w:noWrap/>
            <w:vAlign w:val="center"/>
            <w:hideMark/>
          </w:tcPr>
          <w:p w14:paraId="23DCB7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58 025,2</w:t>
            </w:r>
          </w:p>
        </w:tc>
        <w:tc>
          <w:tcPr>
            <w:tcW w:w="1277" w:type="dxa"/>
            <w:tcBorders>
              <w:top w:val="nil"/>
              <w:left w:val="nil"/>
              <w:bottom w:val="single" w:sz="4" w:space="0" w:color="000000"/>
              <w:right w:val="single" w:sz="4" w:space="0" w:color="000000"/>
            </w:tcBorders>
            <w:shd w:val="clear" w:color="auto" w:fill="auto"/>
            <w:noWrap/>
            <w:vAlign w:val="center"/>
            <w:hideMark/>
          </w:tcPr>
          <w:p w14:paraId="656E08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55 424,0</w:t>
            </w:r>
          </w:p>
        </w:tc>
        <w:tc>
          <w:tcPr>
            <w:tcW w:w="1276" w:type="dxa"/>
            <w:tcBorders>
              <w:top w:val="nil"/>
              <w:left w:val="nil"/>
              <w:bottom w:val="single" w:sz="4" w:space="0" w:color="000000"/>
              <w:right w:val="single" w:sz="4" w:space="0" w:color="000000"/>
            </w:tcBorders>
            <w:shd w:val="clear" w:color="auto" w:fill="auto"/>
            <w:noWrap/>
            <w:vAlign w:val="center"/>
            <w:hideMark/>
          </w:tcPr>
          <w:p w14:paraId="4952C86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55 424,0</w:t>
            </w:r>
          </w:p>
        </w:tc>
        <w:tc>
          <w:tcPr>
            <w:tcW w:w="1275" w:type="dxa"/>
            <w:tcBorders>
              <w:top w:val="nil"/>
              <w:left w:val="nil"/>
              <w:bottom w:val="single" w:sz="4" w:space="0" w:color="000000"/>
              <w:right w:val="single" w:sz="4" w:space="0" w:color="000000"/>
            </w:tcBorders>
            <w:shd w:val="clear" w:color="auto" w:fill="auto"/>
            <w:noWrap/>
            <w:vAlign w:val="center"/>
            <w:hideMark/>
          </w:tcPr>
          <w:p w14:paraId="07DEEDA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55 424,0</w:t>
            </w:r>
          </w:p>
        </w:tc>
      </w:tr>
      <w:tr w:rsidR="00996507" w:rsidRPr="00996507" w14:paraId="380EF935"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3907D8F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D1A782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учителей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7B8071D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099D3BA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w:t>
            </w:r>
          </w:p>
        </w:tc>
        <w:tc>
          <w:tcPr>
            <w:tcW w:w="1276" w:type="dxa"/>
            <w:tcBorders>
              <w:top w:val="nil"/>
              <w:left w:val="nil"/>
              <w:bottom w:val="single" w:sz="4" w:space="0" w:color="000000"/>
              <w:right w:val="single" w:sz="4" w:space="0" w:color="000000"/>
            </w:tcBorders>
            <w:shd w:val="clear" w:color="000000" w:fill="C0C0C0"/>
            <w:noWrap/>
            <w:vAlign w:val="center"/>
            <w:hideMark/>
          </w:tcPr>
          <w:p w14:paraId="700710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60 411,1</w:t>
            </w:r>
          </w:p>
        </w:tc>
        <w:tc>
          <w:tcPr>
            <w:tcW w:w="1275" w:type="dxa"/>
            <w:tcBorders>
              <w:top w:val="nil"/>
              <w:left w:val="nil"/>
              <w:bottom w:val="single" w:sz="4" w:space="0" w:color="000000"/>
              <w:right w:val="single" w:sz="4" w:space="0" w:color="000000"/>
            </w:tcBorders>
            <w:shd w:val="clear" w:color="000000" w:fill="C0C0C0"/>
            <w:noWrap/>
            <w:vAlign w:val="center"/>
            <w:hideMark/>
          </w:tcPr>
          <w:p w14:paraId="5A06334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61 207,6</w:t>
            </w:r>
          </w:p>
        </w:tc>
        <w:tc>
          <w:tcPr>
            <w:tcW w:w="1275" w:type="dxa"/>
            <w:tcBorders>
              <w:top w:val="nil"/>
              <w:left w:val="nil"/>
              <w:bottom w:val="single" w:sz="4" w:space="0" w:color="000000"/>
              <w:right w:val="single" w:sz="4" w:space="0" w:color="000000"/>
            </w:tcBorders>
            <w:shd w:val="clear" w:color="000000" w:fill="C0C0C0"/>
            <w:noWrap/>
            <w:vAlign w:val="center"/>
            <w:hideMark/>
          </w:tcPr>
          <w:p w14:paraId="3AE9D2B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60 875,0</w:t>
            </w:r>
          </w:p>
        </w:tc>
        <w:tc>
          <w:tcPr>
            <w:tcW w:w="1277" w:type="dxa"/>
            <w:tcBorders>
              <w:top w:val="nil"/>
              <w:left w:val="nil"/>
              <w:bottom w:val="single" w:sz="4" w:space="0" w:color="000000"/>
              <w:right w:val="single" w:sz="4" w:space="0" w:color="000000"/>
            </w:tcBorders>
            <w:shd w:val="clear" w:color="000000" w:fill="C0C0C0"/>
            <w:noWrap/>
            <w:vAlign w:val="center"/>
            <w:hideMark/>
          </w:tcPr>
          <w:p w14:paraId="374622A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60 989,1</w:t>
            </w:r>
          </w:p>
        </w:tc>
        <w:tc>
          <w:tcPr>
            <w:tcW w:w="1276" w:type="dxa"/>
            <w:tcBorders>
              <w:top w:val="nil"/>
              <w:left w:val="nil"/>
              <w:bottom w:val="single" w:sz="4" w:space="0" w:color="000000"/>
              <w:right w:val="single" w:sz="4" w:space="0" w:color="000000"/>
            </w:tcBorders>
            <w:shd w:val="clear" w:color="000000" w:fill="C0C0C0"/>
            <w:noWrap/>
            <w:vAlign w:val="center"/>
            <w:hideMark/>
          </w:tcPr>
          <w:p w14:paraId="18AC4EE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60 989,1</w:t>
            </w:r>
          </w:p>
        </w:tc>
        <w:tc>
          <w:tcPr>
            <w:tcW w:w="1275" w:type="dxa"/>
            <w:tcBorders>
              <w:top w:val="nil"/>
              <w:left w:val="nil"/>
              <w:bottom w:val="single" w:sz="4" w:space="0" w:color="000000"/>
              <w:right w:val="single" w:sz="4" w:space="0" w:color="000000"/>
            </w:tcBorders>
            <w:shd w:val="clear" w:color="000000" w:fill="C0C0C0"/>
            <w:noWrap/>
            <w:vAlign w:val="center"/>
            <w:hideMark/>
          </w:tcPr>
          <w:p w14:paraId="255B3BB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60 989,1</w:t>
            </w:r>
          </w:p>
        </w:tc>
      </w:tr>
      <w:tr w:rsidR="00996507" w:rsidRPr="00996507" w14:paraId="1B29B18A"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317B274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C9F353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Фонд начисленной заработной платы учителей образовательных учреждений для детей дошкольного и младшего школьного возраста, начисленная из бюджетных источников финансирования</w:t>
            </w:r>
          </w:p>
        </w:tc>
        <w:tc>
          <w:tcPr>
            <w:tcW w:w="1151" w:type="dxa"/>
            <w:tcBorders>
              <w:top w:val="nil"/>
              <w:left w:val="nil"/>
              <w:bottom w:val="single" w:sz="4" w:space="0" w:color="auto"/>
              <w:right w:val="single" w:sz="4" w:space="0" w:color="auto"/>
            </w:tcBorders>
            <w:shd w:val="clear" w:color="000000" w:fill="FFFFFF"/>
            <w:hideMark/>
          </w:tcPr>
          <w:p w14:paraId="62C8ADE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47C488F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8.4.1</w:t>
            </w:r>
          </w:p>
        </w:tc>
        <w:tc>
          <w:tcPr>
            <w:tcW w:w="1276" w:type="dxa"/>
            <w:tcBorders>
              <w:top w:val="nil"/>
              <w:left w:val="nil"/>
              <w:bottom w:val="single" w:sz="4" w:space="0" w:color="000000"/>
              <w:right w:val="single" w:sz="4" w:space="0" w:color="000000"/>
            </w:tcBorders>
            <w:shd w:val="clear" w:color="auto" w:fill="auto"/>
            <w:noWrap/>
            <w:vAlign w:val="center"/>
            <w:hideMark/>
          </w:tcPr>
          <w:p w14:paraId="59C6D3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B9F693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D93577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488F41D4"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ADD3483"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53345EE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2AB9C23A"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298CCB0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954D75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Фонд начисленной заработной платы учителей образовательных учреждений для детей дошкольного и младшего школьного возраста, начисленная из внебюджетных источников финансирования</w:t>
            </w:r>
          </w:p>
        </w:tc>
        <w:tc>
          <w:tcPr>
            <w:tcW w:w="1151" w:type="dxa"/>
            <w:tcBorders>
              <w:top w:val="nil"/>
              <w:left w:val="nil"/>
              <w:bottom w:val="single" w:sz="4" w:space="0" w:color="auto"/>
              <w:right w:val="single" w:sz="4" w:space="0" w:color="auto"/>
            </w:tcBorders>
            <w:shd w:val="clear" w:color="000000" w:fill="FFFFFF"/>
            <w:hideMark/>
          </w:tcPr>
          <w:p w14:paraId="66D595E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2AE5417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8.4.2</w:t>
            </w:r>
          </w:p>
        </w:tc>
        <w:tc>
          <w:tcPr>
            <w:tcW w:w="1276" w:type="dxa"/>
            <w:tcBorders>
              <w:top w:val="nil"/>
              <w:left w:val="nil"/>
              <w:bottom w:val="single" w:sz="4" w:space="0" w:color="000000"/>
              <w:right w:val="single" w:sz="4" w:space="0" w:color="000000"/>
            </w:tcBorders>
            <w:shd w:val="clear" w:color="auto" w:fill="auto"/>
            <w:noWrap/>
            <w:vAlign w:val="center"/>
            <w:hideMark/>
          </w:tcPr>
          <w:p w14:paraId="380E78E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E4138F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73350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1691A61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6C9C69E9"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4797EF0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19C3BFF4" w14:textId="77777777" w:rsidTr="00996507">
        <w:trPr>
          <w:trHeight w:val="840"/>
        </w:trPr>
        <w:tc>
          <w:tcPr>
            <w:tcW w:w="1701" w:type="dxa"/>
            <w:vMerge/>
            <w:tcBorders>
              <w:top w:val="nil"/>
              <w:left w:val="single" w:sz="4" w:space="0" w:color="auto"/>
              <w:bottom w:val="single" w:sz="4" w:space="0" w:color="auto"/>
              <w:right w:val="single" w:sz="4" w:space="0" w:color="auto"/>
            </w:tcBorders>
            <w:vAlign w:val="center"/>
            <w:hideMark/>
          </w:tcPr>
          <w:p w14:paraId="335CE70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E1743E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Фонд начисленной заработной платы учителей общеобразовательных учреждений, начисленная из бюджетных источников финансирования</w:t>
            </w:r>
          </w:p>
        </w:tc>
        <w:tc>
          <w:tcPr>
            <w:tcW w:w="1151" w:type="dxa"/>
            <w:tcBorders>
              <w:top w:val="nil"/>
              <w:left w:val="nil"/>
              <w:bottom w:val="single" w:sz="4" w:space="0" w:color="auto"/>
              <w:right w:val="single" w:sz="4" w:space="0" w:color="auto"/>
            </w:tcBorders>
            <w:shd w:val="clear" w:color="000000" w:fill="FFFFFF"/>
            <w:hideMark/>
          </w:tcPr>
          <w:p w14:paraId="2D95627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56EE5B3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8.4.3</w:t>
            </w:r>
          </w:p>
        </w:tc>
        <w:tc>
          <w:tcPr>
            <w:tcW w:w="1276" w:type="dxa"/>
            <w:tcBorders>
              <w:top w:val="nil"/>
              <w:left w:val="nil"/>
              <w:bottom w:val="single" w:sz="4" w:space="0" w:color="000000"/>
              <w:right w:val="single" w:sz="4" w:space="0" w:color="000000"/>
            </w:tcBorders>
            <w:shd w:val="clear" w:color="auto" w:fill="auto"/>
            <w:noWrap/>
            <w:vAlign w:val="center"/>
            <w:hideMark/>
          </w:tcPr>
          <w:p w14:paraId="112F63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420 461</w:t>
            </w:r>
          </w:p>
        </w:tc>
        <w:tc>
          <w:tcPr>
            <w:tcW w:w="1275" w:type="dxa"/>
            <w:tcBorders>
              <w:top w:val="nil"/>
              <w:left w:val="nil"/>
              <w:bottom w:val="single" w:sz="4" w:space="0" w:color="000000"/>
              <w:right w:val="single" w:sz="4" w:space="0" w:color="000000"/>
            </w:tcBorders>
            <w:shd w:val="clear" w:color="auto" w:fill="auto"/>
            <w:noWrap/>
            <w:vAlign w:val="center"/>
            <w:hideMark/>
          </w:tcPr>
          <w:p w14:paraId="6210550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401 032</w:t>
            </w:r>
          </w:p>
        </w:tc>
        <w:tc>
          <w:tcPr>
            <w:tcW w:w="1275" w:type="dxa"/>
            <w:tcBorders>
              <w:top w:val="nil"/>
              <w:left w:val="nil"/>
              <w:bottom w:val="single" w:sz="4" w:space="0" w:color="000000"/>
              <w:right w:val="single" w:sz="4" w:space="0" w:color="000000"/>
            </w:tcBorders>
            <w:shd w:val="clear" w:color="auto" w:fill="auto"/>
            <w:noWrap/>
            <w:vAlign w:val="center"/>
            <w:hideMark/>
          </w:tcPr>
          <w:p w14:paraId="279B555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439 834</w:t>
            </w:r>
          </w:p>
        </w:tc>
        <w:tc>
          <w:tcPr>
            <w:tcW w:w="1277" w:type="dxa"/>
            <w:tcBorders>
              <w:top w:val="nil"/>
              <w:left w:val="nil"/>
              <w:bottom w:val="single" w:sz="4" w:space="0" w:color="000000"/>
              <w:right w:val="single" w:sz="4" w:space="0" w:color="000000"/>
            </w:tcBorders>
            <w:shd w:val="clear" w:color="auto" w:fill="auto"/>
            <w:noWrap/>
            <w:vAlign w:val="center"/>
            <w:hideMark/>
          </w:tcPr>
          <w:p w14:paraId="0D26F734"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AE649A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5FA360C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4815E7B1" w14:textId="77777777" w:rsidTr="00996507">
        <w:trPr>
          <w:trHeight w:val="840"/>
        </w:trPr>
        <w:tc>
          <w:tcPr>
            <w:tcW w:w="1701" w:type="dxa"/>
            <w:vMerge/>
            <w:tcBorders>
              <w:top w:val="nil"/>
              <w:left w:val="single" w:sz="4" w:space="0" w:color="auto"/>
              <w:bottom w:val="single" w:sz="4" w:space="0" w:color="auto"/>
              <w:right w:val="single" w:sz="4" w:space="0" w:color="auto"/>
            </w:tcBorders>
            <w:vAlign w:val="center"/>
            <w:hideMark/>
          </w:tcPr>
          <w:p w14:paraId="05A7C67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074858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Фонд начисленной заработной платы учителей общеобразовательных учреждений, начисленная из внебюджетных источников финансирования</w:t>
            </w:r>
          </w:p>
        </w:tc>
        <w:tc>
          <w:tcPr>
            <w:tcW w:w="1151" w:type="dxa"/>
            <w:tcBorders>
              <w:top w:val="nil"/>
              <w:left w:val="nil"/>
              <w:bottom w:val="single" w:sz="4" w:space="0" w:color="auto"/>
              <w:right w:val="single" w:sz="4" w:space="0" w:color="auto"/>
            </w:tcBorders>
            <w:shd w:val="clear" w:color="000000" w:fill="FFFFFF"/>
            <w:hideMark/>
          </w:tcPr>
          <w:p w14:paraId="6132CFB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7557E3F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8.4.4</w:t>
            </w:r>
          </w:p>
        </w:tc>
        <w:tc>
          <w:tcPr>
            <w:tcW w:w="1276" w:type="dxa"/>
            <w:tcBorders>
              <w:top w:val="nil"/>
              <w:left w:val="nil"/>
              <w:bottom w:val="single" w:sz="4" w:space="0" w:color="000000"/>
              <w:right w:val="single" w:sz="4" w:space="0" w:color="000000"/>
            </w:tcBorders>
            <w:shd w:val="clear" w:color="auto" w:fill="auto"/>
            <w:noWrap/>
            <w:vAlign w:val="center"/>
            <w:hideMark/>
          </w:tcPr>
          <w:p w14:paraId="47D078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3A8F2B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3755A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6821E89D"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7E5B5FC"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4283746A"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3399C3AD"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0B663B5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BFEF10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roofErr w:type="spellStart"/>
            <w:r w:rsidRPr="00996507">
              <w:rPr>
                <w:rFonts w:ascii="Times New Roman" w:eastAsia="Times New Roman" w:hAnsi="Times New Roman" w:cs="Times New Roman"/>
                <w:color w:val="000000"/>
                <w:sz w:val="20"/>
                <w:szCs w:val="20"/>
                <w:lang w:eastAsia="ru-RU"/>
              </w:rPr>
              <w:t>Cреднегодовая</w:t>
            </w:r>
            <w:proofErr w:type="spellEnd"/>
            <w:r w:rsidRPr="00996507">
              <w:rPr>
                <w:rFonts w:ascii="Times New Roman" w:eastAsia="Times New Roman" w:hAnsi="Times New Roman" w:cs="Times New Roman"/>
                <w:color w:val="000000"/>
                <w:sz w:val="20"/>
                <w:szCs w:val="20"/>
                <w:lang w:eastAsia="ru-RU"/>
              </w:rPr>
              <w:t xml:space="preserve"> численность учителей образовательных учреждений для детей дошкольного и младшего школьного возраста</w:t>
            </w:r>
          </w:p>
        </w:tc>
        <w:tc>
          <w:tcPr>
            <w:tcW w:w="1151" w:type="dxa"/>
            <w:tcBorders>
              <w:top w:val="nil"/>
              <w:left w:val="nil"/>
              <w:bottom w:val="single" w:sz="4" w:space="0" w:color="auto"/>
              <w:right w:val="single" w:sz="4" w:space="0" w:color="auto"/>
            </w:tcBorders>
            <w:shd w:val="clear" w:color="000000" w:fill="FFFFFF"/>
            <w:hideMark/>
          </w:tcPr>
          <w:p w14:paraId="2E71D93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0A6B88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8.4.5</w:t>
            </w:r>
          </w:p>
        </w:tc>
        <w:tc>
          <w:tcPr>
            <w:tcW w:w="1276" w:type="dxa"/>
            <w:tcBorders>
              <w:top w:val="nil"/>
              <w:left w:val="nil"/>
              <w:bottom w:val="single" w:sz="4" w:space="0" w:color="000000"/>
              <w:right w:val="single" w:sz="4" w:space="0" w:color="000000"/>
            </w:tcBorders>
            <w:shd w:val="clear" w:color="auto" w:fill="auto"/>
            <w:noWrap/>
            <w:vAlign w:val="center"/>
            <w:hideMark/>
          </w:tcPr>
          <w:p w14:paraId="7701A0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46CD01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D773E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529BCC74"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DFF689D"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0A5D2D26"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5E4F0A99"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CF4988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E8BE38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Среднегодовая численность учителей общеобразовательных учреждений (городская и сельская местность)</w:t>
            </w:r>
          </w:p>
        </w:tc>
        <w:tc>
          <w:tcPr>
            <w:tcW w:w="1151" w:type="dxa"/>
            <w:tcBorders>
              <w:top w:val="nil"/>
              <w:left w:val="nil"/>
              <w:bottom w:val="single" w:sz="4" w:space="0" w:color="auto"/>
              <w:right w:val="single" w:sz="4" w:space="0" w:color="auto"/>
            </w:tcBorders>
            <w:shd w:val="clear" w:color="000000" w:fill="FFFFFF"/>
            <w:hideMark/>
          </w:tcPr>
          <w:p w14:paraId="17A4C19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6A4320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8.4.6</w:t>
            </w:r>
          </w:p>
        </w:tc>
        <w:tc>
          <w:tcPr>
            <w:tcW w:w="1276" w:type="dxa"/>
            <w:tcBorders>
              <w:top w:val="nil"/>
              <w:left w:val="nil"/>
              <w:bottom w:val="single" w:sz="4" w:space="0" w:color="000000"/>
              <w:right w:val="single" w:sz="4" w:space="0" w:color="000000"/>
            </w:tcBorders>
            <w:shd w:val="clear" w:color="auto" w:fill="auto"/>
            <w:noWrap/>
            <w:vAlign w:val="center"/>
            <w:hideMark/>
          </w:tcPr>
          <w:p w14:paraId="0420CEE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580</w:t>
            </w:r>
          </w:p>
        </w:tc>
        <w:tc>
          <w:tcPr>
            <w:tcW w:w="1275" w:type="dxa"/>
            <w:tcBorders>
              <w:top w:val="nil"/>
              <w:left w:val="nil"/>
              <w:bottom w:val="single" w:sz="4" w:space="0" w:color="000000"/>
              <w:right w:val="single" w:sz="4" w:space="0" w:color="000000"/>
            </w:tcBorders>
            <w:shd w:val="clear" w:color="auto" w:fill="auto"/>
            <w:noWrap/>
            <w:vAlign w:val="center"/>
            <w:hideMark/>
          </w:tcPr>
          <w:p w14:paraId="79AF286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546</w:t>
            </w:r>
          </w:p>
        </w:tc>
        <w:tc>
          <w:tcPr>
            <w:tcW w:w="1275" w:type="dxa"/>
            <w:tcBorders>
              <w:top w:val="nil"/>
              <w:left w:val="nil"/>
              <w:bottom w:val="single" w:sz="4" w:space="0" w:color="000000"/>
              <w:right w:val="single" w:sz="4" w:space="0" w:color="000000"/>
            </w:tcBorders>
            <w:shd w:val="clear" w:color="auto" w:fill="auto"/>
            <w:noWrap/>
            <w:vAlign w:val="center"/>
            <w:hideMark/>
          </w:tcPr>
          <w:p w14:paraId="4FADA3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602</w:t>
            </w:r>
          </w:p>
        </w:tc>
        <w:tc>
          <w:tcPr>
            <w:tcW w:w="1277" w:type="dxa"/>
            <w:tcBorders>
              <w:top w:val="nil"/>
              <w:left w:val="nil"/>
              <w:bottom w:val="single" w:sz="4" w:space="0" w:color="000000"/>
              <w:right w:val="single" w:sz="4" w:space="0" w:color="000000"/>
            </w:tcBorders>
            <w:shd w:val="clear" w:color="auto" w:fill="auto"/>
            <w:noWrap/>
            <w:vAlign w:val="center"/>
            <w:hideMark/>
          </w:tcPr>
          <w:p w14:paraId="5370D126"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A14801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6F81B6CF"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61E93EA7"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195682E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6E879F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151" w:type="dxa"/>
            <w:tcBorders>
              <w:top w:val="nil"/>
              <w:left w:val="nil"/>
              <w:bottom w:val="single" w:sz="4" w:space="0" w:color="auto"/>
              <w:right w:val="single" w:sz="4" w:space="0" w:color="auto"/>
            </w:tcBorders>
            <w:shd w:val="clear" w:color="000000" w:fill="FFFFFF"/>
            <w:hideMark/>
          </w:tcPr>
          <w:p w14:paraId="3F9AB17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2C982FA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8.5</w:t>
            </w:r>
          </w:p>
        </w:tc>
        <w:tc>
          <w:tcPr>
            <w:tcW w:w="1276" w:type="dxa"/>
            <w:tcBorders>
              <w:top w:val="nil"/>
              <w:left w:val="nil"/>
              <w:bottom w:val="single" w:sz="4" w:space="0" w:color="000000"/>
              <w:right w:val="single" w:sz="4" w:space="0" w:color="000000"/>
            </w:tcBorders>
            <w:shd w:val="clear" w:color="auto" w:fill="auto"/>
            <w:noWrap/>
            <w:vAlign w:val="center"/>
            <w:hideMark/>
          </w:tcPr>
          <w:p w14:paraId="6568DD5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45 538,7</w:t>
            </w:r>
          </w:p>
        </w:tc>
        <w:tc>
          <w:tcPr>
            <w:tcW w:w="1275" w:type="dxa"/>
            <w:tcBorders>
              <w:top w:val="nil"/>
              <w:left w:val="nil"/>
              <w:bottom w:val="single" w:sz="4" w:space="0" w:color="000000"/>
              <w:right w:val="single" w:sz="4" w:space="0" w:color="000000"/>
            </w:tcBorders>
            <w:shd w:val="clear" w:color="auto" w:fill="auto"/>
            <w:noWrap/>
            <w:vAlign w:val="center"/>
            <w:hideMark/>
          </w:tcPr>
          <w:p w14:paraId="02FFBA2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48 022,8</w:t>
            </w:r>
          </w:p>
        </w:tc>
        <w:tc>
          <w:tcPr>
            <w:tcW w:w="1275" w:type="dxa"/>
            <w:tcBorders>
              <w:top w:val="nil"/>
              <w:left w:val="nil"/>
              <w:bottom w:val="single" w:sz="4" w:space="0" w:color="000000"/>
              <w:right w:val="single" w:sz="4" w:space="0" w:color="000000"/>
            </w:tcBorders>
            <w:shd w:val="clear" w:color="auto" w:fill="auto"/>
            <w:noWrap/>
            <w:vAlign w:val="center"/>
            <w:hideMark/>
          </w:tcPr>
          <w:p w14:paraId="2796484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50 662,9</w:t>
            </w:r>
          </w:p>
        </w:tc>
        <w:tc>
          <w:tcPr>
            <w:tcW w:w="1277" w:type="dxa"/>
            <w:tcBorders>
              <w:top w:val="nil"/>
              <w:left w:val="nil"/>
              <w:bottom w:val="single" w:sz="4" w:space="0" w:color="000000"/>
              <w:right w:val="single" w:sz="4" w:space="0" w:color="000000"/>
            </w:tcBorders>
            <w:shd w:val="clear" w:color="auto" w:fill="auto"/>
            <w:noWrap/>
            <w:vAlign w:val="center"/>
            <w:hideMark/>
          </w:tcPr>
          <w:p w14:paraId="4B60D11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53 195,0</w:t>
            </w:r>
          </w:p>
        </w:tc>
        <w:tc>
          <w:tcPr>
            <w:tcW w:w="1276" w:type="dxa"/>
            <w:tcBorders>
              <w:top w:val="nil"/>
              <w:left w:val="nil"/>
              <w:bottom w:val="single" w:sz="4" w:space="0" w:color="000000"/>
              <w:right w:val="single" w:sz="4" w:space="0" w:color="000000"/>
            </w:tcBorders>
            <w:shd w:val="clear" w:color="auto" w:fill="auto"/>
            <w:noWrap/>
            <w:vAlign w:val="center"/>
            <w:hideMark/>
          </w:tcPr>
          <w:p w14:paraId="5C437B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55 854,0</w:t>
            </w:r>
          </w:p>
        </w:tc>
        <w:tc>
          <w:tcPr>
            <w:tcW w:w="1275" w:type="dxa"/>
            <w:tcBorders>
              <w:top w:val="nil"/>
              <w:left w:val="nil"/>
              <w:bottom w:val="single" w:sz="4" w:space="0" w:color="000000"/>
              <w:right w:val="single" w:sz="4" w:space="0" w:color="000000"/>
            </w:tcBorders>
            <w:shd w:val="clear" w:color="auto" w:fill="auto"/>
            <w:noWrap/>
            <w:vAlign w:val="center"/>
            <w:hideMark/>
          </w:tcPr>
          <w:p w14:paraId="23E9F85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58 646,0</w:t>
            </w:r>
          </w:p>
        </w:tc>
      </w:tr>
      <w:tr w:rsidR="00996507" w:rsidRPr="00996507" w14:paraId="51C75B57"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C15821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02C2B4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151" w:type="dxa"/>
            <w:tcBorders>
              <w:top w:val="nil"/>
              <w:left w:val="nil"/>
              <w:bottom w:val="single" w:sz="4" w:space="0" w:color="auto"/>
              <w:right w:val="single" w:sz="4" w:space="0" w:color="auto"/>
            </w:tcBorders>
            <w:shd w:val="clear" w:color="000000" w:fill="FFFFFF"/>
            <w:hideMark/>
          </w:tcPr>
          <w:p w14:paraId="69863AB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5D8716D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8.6</w:t>
            </w:r>
          </w:p>
        </w:tc>
        <w:tc>
          <w:tcPr>
            <w:tcW w:w="1276" w:type="dxa"/>
            <w:tcBorders>
              <w:top w:val="nil"/>
              <w:left w:val="nil"/>
              <w:bottom w:val="single" w:sz="4" w:space="0" w:color="000000"/>
              <w:right w:val="single" w:sz="4" w:space="0" w:color="000000"/>
            </w:tcBorders>
            <w:shd w:val="clear" w:color="auto" w:fill="auto"/>
            <w:noWrap/>
            <w:vAlign w:val="center"/>
            <w:hideMark/>
          </w:tcPr>
          <w:p w14:paraId="2283C47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39 711,0</w:t>
            </w:r>
          </w:p>
        </w:tc>
        <w:tc>
          <w:tcPr>
            <w:tcW w:w="1275" w:type="dxa"/>
            <w:tcBorders>
              <w:top w:val="nil"/>
              <w:left w:val="nil"/>
              <w:bottom w:val="single" w:sz="4" w:space="0" w:color="000000"/>
              <w:right w:val="single" w:sz="4" w:space="0" w:color="000000"/>
            </w:tcBorders>
            <w:shd w:val="clear" w:color="auto" w:fill="auto"/>
            <w:noWrap/>
            <w:vAlign w:val="center"/>
            <w:hideMark/>
          </w:tcPr>
          <w:p w14:paraId="3415EAD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40 765,2</w:t>
            </w:r>
          </w:p>
        </w:tc>
        <w:tc>
          <w:tcPr>
            <w:tcW w:w="1275" w:type="dxa"/>
            <w:tcBorders>
              <w:top w:val="nil"/>
              <w:left w:val="nil"/>
              <w:bottom w:val="single" w:sz="4" w:space="0" w:color="000000"/>
              <w:right w:val="single" w:sz="4" w:space="0" w:color="000000"/>
            </w:tcBorders>
            <w:shd w:val="clear" w:color="auto" w:fill="auto"/>
            <w:noWrap/>
            <w:vAlign w:val="center"/>
            <w:hideMark/>
          </w:tcPr>
          <w:p w14:paraId="47DE33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39 367,8</w:t>
            </w:r>
          </w:p>
        </w:tc>
        <w:tc>
          <w:tcPr>
            <w:tcW w:w="1277" w:type="dxa"/>
            <w:tcBorders>
              <w:top w:val="nil"/>
              <w:left w:val="nil"/>
              <w:bottom w:val="single" w:sz="4" w:space="0" w:color="000000"/>
              <w:right w:val="single" w:sz="4" w:space="0" w:color="000000"/>
            </w:tcBorders>
            <w:shd w:val="clear" w:color="auto" w:fill="auto"/>
            <w:noWrap/>
            <w:vAlign w:val="center"/>
            <w:hideMark/>
          </w:tcPr>
          <w:p w14:paraId="327D1F2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40 352,0</w:t>
            </w:r>
          </w:p>
        </w:tc>
        <w:tc>
          <w:tcPr>
            <w:tcW w:w="1276" w:type="dxa"/>
            <w:tcBorders>
              <w:top w:val="nil"/>
              <w:left w:val="nil"/>
              <w:bottom w:val="single" w:sz="4" w:space="0" w:color="000000"/>
              <w:right w:val="single" w:sz="4" w:space="0" w:color="000000"/>
            </w:tcBorders>
            <w:shd w:val="clear" w:color="auto" w:fill="auto"/>
            <w:noWrap/>
            <w:vAlign w:val="center"/>
            <w:hideMark/>
          </w:tcPr>
          <w:p w14:paraId="052084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41 360,8</w:t>
            </w:r>
          </w:p>
        </w:tc>
        <w:tc>
          <w:tcPr>
            <w:tcW w:w="1275" w:type="dxa"/>
            <w:tcBorders>
              <w:top w:val="nil"/>
              <w:left w:val="nil"/>
              <w:bottom w:val="single" w:sz="4" w:space="0" w:color="000000"/>
              <w:right w:val="single" w:sz="4" w:space="0" w:color="000000"/>
            </w:tcBorders>
            <w:shd w:val="clear" w:color="auto" w:fill="auto"/>
            <w:noWrap/>
            <w:vAlign w:val="center"/>
            <w:hideMark/>
          </w:tcPr>
          <w:p w14:paraId="4B8F414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42 395,0</w:t>
            </w:r>
          </w:p>
        </w:tc>
      </w:tr>
      <w:tr w:rsidR="00996507" w:rsidRPr="00996507" w14:paraId="202ED815" w14:textId="77777777" w:rsidTr="00996507">
        <w:trPr>
          <w:trHeight w:val="127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6807F4B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Дошкольное образование</w:t>
            </w:r>
          </w:p>
        </w:tc>
        <w:tc>
          <w:tcPr>
            <w:tcW w:w="4378" w:type="dxa"/>
            <w:tcBorders>
              <w:top w:val="nil"/>
              <w:left w:val="nil"/>
              <w:bottom w:val="single" w:sz="4" w:space="0" w:color="auto"/>
              <w:right w:val="single" w:sz="4" w:space="0" w:color="auto"/>
            </w:tcBorders>
            <w:shd w:val="clear" w:color="000000" w:fill="FFFFFF"/>
            <w:hideMark/>
          </w:tcPr>
          <w:p w14:paraId="14430D3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151" w:type="dxa"/>
            <w:tcBorders>
              <w:top w:val="nil"/>
              <w:left w:val="nil"/>
              <w:bottom w:val="single" w:sz="4" w:space="0" w:color="auto"/>
              <w:right w:val="single" w:sz="4" w:space="0" w:color="auto"/>
            </w:tcBorders>
            <w:shd w:val="clear" w:color="000000" w:fill="FFFFFF"/>
            <w:hideMark/>
          </w:tcPr>
          <w:p w14:paraId="6B5E7B1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2A56DE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000000"/>
              <w:right w:val="single" w:sz="4" w:space="0" w:color="000000"/>
            </w:tcBorders>
            <w:shd w:val="clear" w:color="000000" w:fill="C0C0C0"/>
            <w:noWrap/>
            <w:vAlign w:val="center"/>
            <w:hideMark/>
          </w:tcPr>
          <w:p w14:paraId="3F7658D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61,3</w:t>
            </w:r>
          </w:p>
        </w:tc>
        <w:tc>
          <w:tcPr>
            <w:tcW w:w="1275" w:type="dxa"/>
            <w:tcBorders>
              <w:top w:val="nil"/>
              <w:left w:val="nil"/>
              <w:bottom w:val="single" w:sz="4" w:space="0" w:color="000000"/>
              <w:right w:val="single" w:sz="4" w:space="0" w:color="000000"/>
            </w:tcBorders>
            <w:shd w:val="clear" w:color="000000" w:fill="C0C0C0"/>
            <w:noWrap/>
            <w:vAlign w:val="center"/>
            <w:hideMark/>
          </w:tcPr>
          <w:p w14:paraId="3A3AF7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66,4</w:t>
            </w:r>
          </w:p>
        </w:tc>
        <w:tc>
          <w:tcPr>
            <w:tcW w:w="1275" w:type="dxa"/>
            <w:tcBorders>
              <w:top w:val="nil"/>
              <w:left w:val="nil"/>
              <w:bottom w:val="single" w:sz="4" w:space="0" w:color="000000"/>
              <w:right w:val="single" w:sz="4" w:space="0" w:color="000000"/>
            </w:tcBorders>
            <w:shd w:val="clear" w:color="000000" w:fill="C0C0C0"/>
            <w:noWrap/>
            <w:vAlign w:val="center"/>
            <w:hideMark/>
          </w:tcPr>
          <w:p w14:paraId="033EDA0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75,2</w:t>
            </w:r>
          </w:p>
        </w:tc>
        <w:tc>
          <w:tcPr>
            <w:tcW w:w="1277" w:type="dxa"/>
            <w:tcBorders>
              <w:top w:val="nil"/>
              <w:left w:val="nil"/>
              <w:bottom w:val="single" w:sz="4" w:space="0" w:color="000000"/>
              <w:right w:val="single" w:sz="4" w:space="0" w:color="000000"/>
            </w:tcBorders>
            <w:shd w:val="clear" w:color="000000" w:fill="C0C0C0"/>
            <w:noWrap/>
            <w:vAlign w:val="center"/>
            <w:hideMark/>
          </w:tcPr>
          <w:p w14:paraId="1D3E82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75,3</w:t>
            </w:r>
          </w:p>
        </w:tc>
        <w:tc>
          <w:tcPr>
            <w:tcW w:w="1276" w:type="dxa"/>
            <w:tcBorders>
              <w:top w:val="nil"/>
              <w:left w:val="nil"/>
              <w:bottom w:val="single" w:sz="4" w:space="0" w:color="000000"/>
              <w:right w:val="single" w:sz="4" w:space="0" w:color="000000"/>
            </w:tcBorders>
            <w:shd w:val="clear" w:color="000000" w:fill="C0C0C0"/>
            <w:noWrap/>
            <w:vAlign w:val="center"/>
            <w:hideMark/>
          </w:tcPr>
          <w:p w14:paraId="021F5C1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75,3</w:t>
            </w:r>
          </w:p>
        </w:tc>
        <w:tc>
          <w:tcPr>
            <w:tcW w:w="1275" w:type="dxa"/>
            <w:tcBorders>
              <w:top w:val="nil"/>
              <w:left w:val="nil"/>
              <w:bottom w:val="single" w:sz="4" w:space="0" w:color="000000"/>
              <w:right w:val="single" w:sz="4" w:space="0" w:color="000000"/>
            </w:tcBorders>
            <w:shd w:val="clear" w:color="000000" w:fill="C0C0C0"/>
            <w:noWrap/>
            <w:vAlign w:val="center"/>
            <w:hideMark/>
          </w:tcPr>
          <w:p w14:paraId="081B73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75,3</w:t>
            </w:r>
          </w:p>
        </w:tc>
      </w:tr>
      <w:tr w:rsidR="00996507" w:rsidRPr="00996507" w14:paraId="3618EA0E"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40244EC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BEED28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детей в возрасте 1 - 6 лет, получающих дошкольную образовательную услугу и (или) услугу по их содержанию в муниципальных 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240EE64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AA3E5F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9.1</w:t>
            </w:r>
          </w:p>
        </w:tc>
        <w:tc>
          <w:tcPr>
            <w:tcW w:w="1276" w:type="dxa"/>
            <w:tcBorders>
              <w:top w:val="nil"/>
              <w:left w:val="nil"/>
              <w:bottom w:val="single" w:sz="4" w:space="0" w:color="000000"/>
              <w:right w:val="single" w:sz="4" w:space="0" w:color="000000"/>
            </w:tcBorders>
            <w:shd w:val="clear" w:color="auto" w:fill="auto"/>
            <w:noWrap/>
            <w:vAlign w:val="center"/>
            <w:hideMark/>
          </w:tcPr>
          <w:p w14:paraId="2CBAF25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5 082</w:t>
            </w:r>
          </w:p>
        </w:tc>
        <w:tc>
          <w:tcPr>
            <w:tcW w:w="1275" w:type="dxa"/>
            <w:tcBorders>
              <w:top w:val="nil"/>
              <w:left w:val="nil"/>
              <w:bottom w:val="single" w:sz="4" w:space="0" w:color="000000"/>
              <w:right w:val="single" w:sz="4" w:space="0" w:color="000000"/>
            </w:tcBorders>
            <w:shd w:val="clear" w:color="auto" w:fill="auto"/>
            <w:noWrap/>
            <w:vAlign w:val="center"/>
            <w:hideMark/>
          </w:tcPr>
          <w:p w14:paraId="1AF03F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5 855</w:t>
            </w:r>
          </w:p>
        </w:tc>
        <w:tc>
          <w:tcPr>
            <w:tcW w:w="1275" w:type="dxa"/>
            <w:tcBorders>
              <w:top w:val="nil"/>
              <w:left w:val="nil"/>
              <w:bottom w:val="single" w:sz="4" w:space="0" w:color="000000"/>
              <w:right w:val="single" w:sz="4" w:space="0" w:color="000000"/>
            </w:tcBorders>
            <w:shd w:val="clear" w:color="auto" w:fill="auto"/>
            <w:noWrap/>
            <w:vAlign w:val="center"/>
            <w:hideMark/>
          </w:tcPr>
          <w:p w14:paraId="0DC33B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7 078</w:t>
            </w:r>
          </w:p>
        </w:tc>
        <w:tc>
          <w:tcPr>
            <w:tcW w:w="1277" w:type="dxa"/>
            <w:tcBorders>
              <w:top w:val="nil"/>
              <w:left w:val="nil"/>
              <w:bottom w:val="single" w:sz="4" w:space="0" w:color="000000"/>
              <w:right w:val="single" w:sz="4" w:space="0" w:color="000000"/>
            </w:tcBorders>
            <w:shd w:val="clear" w:color="auto" w:fill="auto"/>
            <w:noWrap/>
            <w:vAlign w:val="center"/>
            <w:hideMark/>
          </w:tcPr>
          <w:p w14:paraId="15BFFC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7 445</w:t>
            </w:r>
          </w:p>
        </w:tc>
        <w:tc>
          <w:tcPr>
            <w:tcW w:w="1276" w:type="dxa"/>
            <w:tcBorders>
              <w:top w:val="nil"/>
              <w:left w:val="nil"/>
              <w:bottom w:val="single" w:sz="4" w:space="0" w:color="000000"/>
              <w:right w:val="single" w:sz="4" w:space="0" w:color="000000"/>
            </w:tcBorders>
            <w:shd w:val="clear" w:color="auto" w:fill="auto"/>
            <w:noWrap/>
            <w:vAlign w:val="center"/>
            <w:hideMark/>
          </w:tcPr>
          <w:p w14:paraId="015473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7 945</w:t>
            </w:r>
          </w:p>
        </w:tc>
        <w:tc>
          <w:tcPr>
            <w:tcW w:w="1275" w:type="dxa"/>
            <w:tcBorders>
              <w:top w:val="nil"/>
              <w:left w:val="nil"/>
              <w:bottom w:val="single" w:sz="4" w:space="0" w:color="000000"/>
              <w:right w:val="single" w:sz="4" w:space="0" w:color="000000"/>
            </w:tcBorders>
            <w:shd w:val="clear" w:color="auto" w:fill="auto"/>
            <w:noWrap/>
            <w:vAlign w:val="center"/>
            <w:hideMark/>
          </w:tcPr>
          <w:p w14:paraId="1FE52D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8 445</w:t>
            </w:r>
          </w:p>
        </w:tc>
      </w:tr>
      <w:tr w:rsidR="00996507" w:rsidRPr="00996507" w14:paraId="2AAB111B" w14:textId="77777777" w:rsidTr="00996507">
        <w:trPr>
          <w:trHeight w:val="300"/>
        </w:trPr>
        <w:tc>
          <w:tcPr>
            <w:tcW w:w="1701" w:type="dxa"/>
            <w:vMerge/>
            <w:tcBorders>
              <w:top w:val="nil"/>
              <w:left w:val="single" w:sz="4" w:space="0" w:color="auto"/>
              <w:bottom w:val="single" w:sz="4" w:space="0" w:color="auto"/>
              <w:right w:val="single" w:sz="4" w:space="0" w:color="auto"/>
            </w:tcBorders>
            <w:vAlign w:val="center"/>
            <w:hideMark/>
          </w:tcPr>
          <w:p w14:paraId="74D7EF1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AFD33D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численность детей в возрасте 1-6 лет</w:t>
            </w:r>
          </w:p>
        </w:tc>
        <w:tc>
          <w:tcPr>
            <w:tcW w:w="1151" w:type="dxa"/>
            <w:tcBorders>
              <w:top w:val="nil"/>
              <w:left w:val="nil"/>
              <w:bottom w:val="single" w:sz="4" w:space="0" w:color="auto"/>
              <w:right w:val="single" w:sz="4" w:space="0" w:color="auto"/>
            </w:tcBorders>
            <w:shd w:val="clear" w:color="000000" w:fill="FFFFFF"/>
            <w:hideMark/>
          </w:tcPr>
          <w:p w14:paraId="7EBA357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8A0F95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9.2</w:t>
            </w:r>
          </w:p>
        </w:tc>
        <w:tc>
          <w:tcPr>
            <w:tcW w:w="1276" w:type="dxa"/>
            <w:tcBorders>
              <w:top w:val="nil"/>
              <w:left w:val="nil"/>
              <w:bottom w:val="single" w:sz="4" w:space="0" w:color="000000"/>
              <w:right w:val="single" w:sz="4" w:space="0" w:color="000000"/>
            </w:tcBorders>
            <w:shd w:val="clear" w:color="auto" w:fill="auto"/>
            <w:noWrap/>
            <w:vAlign w:val="center"/>
            <w:hideMark/>
          </w:tcPr>
          <w:p w14:paraId="6289FE1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8 289</w:t>
            </w:r>
          </w:p>
        </w:tc>
        <w:tc>
          <w:tcPr>
            <w:tcW w:w="1275" w:type="dxa"/>
            <w:tcBorders>
              <w:top w:val="nil"/>
              <w:left w:val="nil"/>
              <w:bottom w:val="single" w:sz="4" w:space="0" w:color="000000"/>
              <w:right w:val="single" w:sz="4" w:space="0" w:color="000000"/>
            </w:tcBorders>
            <w:shd w:val="clear" w:color="auto" w:fill="auto"/>
            <w:noWrap/>
            <w:vAlign w:val="center"/>
            <w:hideMark/>
          </w:tcPr>
          <w:p w14:paraId="62E53B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8 813</w:t>
            </w:r>
          </w:p>
        </w:tc>
        <w:tc>
          <w:tcPr>
            <w:tcW w:w="1275" w:type="dxa"/>
            <w:tcBorders>
              <w:top w:val="nil"/>
              <w:left w:val="nil"/>
              <w:bottom w:val="single" w:sz="4" w:space="0" w:color="000000"/>
              <w:right w:val="single" w:sz="4" w:space="0" w:color="000000"/>
            </w:tcBorders>
            <w:shd w:val="clear" w:color="auto" w:fill="auto"/>
            <w:noWrap/>
            <w:vAlign w:val="center"/>
            <w:hideMark/>
          </w:tcPr>
          <w:p w14:paraId="0F1750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9 412</w:t>
            </w:r>
          </w:p>
        </w:tc>
        <w:tc>
          <w:tcPr>
            <w:tcW w:w="1277" w:type="dxa"/>
            <w:tcBorders>
              <w:top w:val="nil"/>
              <w:left w:val="nil"/>
              <w:bottom w:val="single" w:sz="4" w:space="0" w:color="000000"/>
              <w:right w:val="single" w:sz="4" w:space="0" w:color="000000"/>
            </w:tcBorders>
            <w:shd w:val="clear" w:color="auto" w:fill="auto"/>
            <w:noWrap/>
            <w:vAlign w:val="center"/>
            <w:hideMark/>
          </w:tcPr>
          <w:p w14:paraId="0C6E31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9 890</w:t>
            </w:r>
          </w:p>
        </w:tc>
        <w:tc>
          <w:tcPr>
            <w:tcW w:w="1276" w:type="dxa"/>
            <w:tcBorders>
              <w:top w:val="nil"/>
              <w:left w:val="nil"/>
              <w:bottom w:val="single" w:sz="4" w:space="0" w:color="000000"/>
              <w:right w:val="single" w:sz="4" w:space="0" w:color="000000"/>
            </w:tcBorders>
            <w:shd w:val="clear" w:color="auto" w:fill="auto"/>
            <w:noWrap/>
            <w:vAlign w:val="center"/>
            <w:hideMark/>
          </w:tcPr>
          <w:p w14:paraId="7A65CAC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10 550</w:t>
            </w:r>
          </w:p>
        </w:tc>
        <w:tc>
          <w:tcPr>
            <w:tcW w:w="1275" w:type="dxa"/>
            <w:tcBorders>
              <w:top w:val="nil"/>
              <w:left w:val="nil"/>
              <w:bottom w:val="single" w:sz="4" w:space="0" w:color="000000"/>
              <w:right w:val="single" w:sz="4" w:space="0" w:color="000000"/>
            </w:tcBorders>
            <w:shd w:val="clear" w:color="auto" w:fill="auto"/>
            <w:noWrap/>
            <w:vAlign w:val="center"/>
            <w:hideMark/>
          </w:tcPr>
          <w:p w14:paraId="2E205D6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11 219</w:t>
            </w:r>
          </w:p>
        </w:tc>
      </w:tr>
      <w:tr w:rsidR="00996507" w:rsidRPr="00996507" w14:paraId="12D33CBB"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FBBFB7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9AC03F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151" w:type="dxa"/>
            <w:tcBorders>
              <w:top w:val="nil"/>
              <w:left w:val="nil"/>
              <w:bottom w:val="single" w:sz="4" w:space="0" w:color="auto"/>
              <w:right w:val="single" w:sz="4" w:space="0" w:color="auto"/>
            </w:tcBorders>
            <w:shd w:val="clear" w:color="000000" w:fill="FFFFFF"/>
            <w:hideMark/>
          </w:tcPr>
          <w:p w14:paraId="071FEF1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6F235A0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000000"/>
              <w:right w:val="single" w:sz="4" w:space="0" w:color="000000"/>
            </w:tcBorders>
            <w:shd w:val="clear" w:color="000000" w:fill="C0C0C0"/>
            <w:noWrap/>
            <w:vAlign w:val="center"/>
            <w:hideMark/>
          </w:tcPr>
          <w:p w14:paraId="3A42C71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57,4</w:t>
            </w:r>
          </w:p>
        </w:tc>
        <w:tc>
          <w:tcPr>
            <w:tcW w:w="1275" w:type="dxa"/>
            <w:tcBorders>
              <w:top w:val="nil"/>
              <w:left w:val="nil"/>
              <w:bottom w:val="single" w:sz="4" w:space="0" w:color="000000"/>
              <w:right w:val="single" w:sz="4" w:space="0" w:color="000000"/>
            </w:tcBorders>
            <w:shd w:val="clear" w:color="000000" w:fill="C0C0C0"/>
            <w:noWrap/>
            <w:vAlign w:val="center"/>
            <w:hideMark/>
          </w:tcPr>
          <w:p w14:paraId="2EDCAEE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39,9</w:t>
            </w:r>
          </w:p>
        </w:tc>
        <w:tc>
          <w:tcPr>
            <w:tcW w:w="1275" w:type="dxa"/>
            <w:tcBorders>
              <w:top w:val="nil"/>
              <w:left w:val="nil"/>
              <w:bottom w:val="single" w:sz="4" w:space="0" w:color="000000"/>
              <w:right w:val="single" w:sz="4" w:space="0" w:color="000000"/>
            </w:tcBorders>
            <w:shd w:val="clear" w:color="000000" w:fill="C0C0C0"/>
            <w:noWrap/>
            <w:vAlign w:val="center"/>
            <w:hideMark/>
          </w:tcPr>
          <w:p w14:paraId="632D81F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13,0</w:t>
            </w:r>
          </w:p>
        </w:tc>
        <w:tc>
          <w:tcPr>
            <w:tcW w:w="1277" w:type="dxa"/>
            <w:tcBorders>
              <w:top w:val="nil"/>
              <w:left w:val="nil"/>
              <w:bottom w:val="single" w:sz="4" w:space="0" w:color="000000"/>
              <w:right w:val="single" w:sz="4" w:space="0" w:color="000000"/>
            </w:tcBorders>
            <w:shd w:val="clear" w:color="000000" w:fill="C0C0C0"/>
            <w:noWrap/>
            <w:vAlign w:val="center"/>
            <w:hideMark/>
          </w:tcPr>
          <w:p w14:paraId="63DFE2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12,4</w:t>
            </w:r>
          </w:p>
        </w:tc>
        <w:tc>
          <w:tcPr>
            <w:tcW w:w="1276" w:type="dxa"/>
            <w:tcBorders>
              <w:top w:val="nil"/>
              <w:left w:val="nil"/>
              <w:bottom w:val="single" w:sz="4" w:space="0" w:color="000000"/>
              <w:right w:val="single" w:sz="4" w:space="0" w:color="000000"/>
            </w:tcBorders>
            <w:shd w:val="clear" w:color="000000" w:fill="C0C0C0"/>
            <w:noWrap/>
            <w:vAlign w:val="center"/>
            <w:hideMark/>
          </w:tcPr>
          <w:p w14:paraId="1F043FA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11,5</w:t>
            </w:r>
          </w:p>
        </w:tc>
        <w:tc>
          <w:tcPr>
            <w:tcW w:w="1275" w:type="dxa"/>
            <w:tcBorders>
              <w:top w:val="nil"/>
              <w:left w:val="nil"/>
              <w:bottom w:val="single" w:sz="4" w:space="0" w:color="000000"/>
              <w:right w:val="single" w:sz="4" w:space="0" w:color="000000"/>
            </w:tcBorders>
            <w:shd w:val="clear" w:color="000000" w:fill="C0C0C0"/>
            <w:noWrap/>
            <w:vAlign w:val="center"/>
            <w:hideMark/>
          </w:tcPr>
          <w:p w14:paraId="010AB5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9,9</w:t>
            </w:r>
          </w:p>
        </w:tc>
      </w:tr>
      <w:tr w:rsidR="00996507" w:rsidRPr="00996507" w14:paraId="61C4AA9C"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CCD9CF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70A81B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детей в возрасте 1-6 лет, состоящих на учете для определения в муниципальные дошкольные образовательные учреждения</w:t>
            </w:r>
          </w:p>
        </w:tc>
        <w:tc>
          <w:tcPr>
            <w:tcW w:w="1151" w:type="dxa"/>
            <w:tcBorders>
              <w:top w:val="nil"/>
              <w:left w:val="nil"/>
              <w:bottom w:val="single" w:sz="4" w:space="0" w:color="auto"/>
              <w:right w:val="single" w:sz="4" w:space="0" w:color="auto"/>
            </w:tcBorders>
            <w:shd w:val="clear" w:color="000000" w:fill="FFFFFF"/>
            <w:hideMark/>
          </w:tcPr>
          <w:p w14:paraId="391EEF2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72CA2C7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10.1</w:t>
            </w:r>
          </w:p>
        </w:tc>
        <w:tc>
          <w:tcPr>
            <w:tcW w:w="1276" w:type="dxa"/>
            <w:tcBorders>
              <w:top w:val="nil"/>
              <w:left w:val="nil"/>
              <w:bottom w:val="single" w:sz="4" w:space="0" w:color="000000"/>
              <w:right w:val="single" w:sz="4" w:space="0" w:color="000000"/>
            </w:tcBorders>
            <w:shd w:val="clear" w:color="auto" w:fill="auto"/>
            <w:noWrap/>
            <w:vAlign w:val="center"/>
            <w:hideMark/>
          </w:tcPr>
          <w:p w14:paraId="5118EE5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4 761</w:t>
            </w:r>
          </w:p>
        </w:tc>
        <w:tc>
          <w:tcPr>
            <w:tcW w:w="1275" w:type="dxa"/>
            <w:tcBorders>
              <w:top w:val="nil"/>
              <w:left w:val="nil"/>
              <w:bottom w:val="single" w:sz="4" w:space="0" w:color="000000"/>
              <w:right w:val="single" w:sz="4" w:space="0" w:color="000000"/>
            </w:tcBorders>
            <w:shd w:val="clear" w:color="auto" w:fill="auto"/>
            <w:noWrap/>
            <w:vAlign w:val="center"/>
            <w:hideMark/>
          </w:tcPr>
          <w:p w14:paraId="447CEF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3 519</w:t>
            </w:r>
          </w:p>
        </w:tc>
        <w:tc>
          <w:tcPr>
            <w:tcW w:w="1275" w:type="dxa"/>
            <w:tcBorders>
              <w:top w:val="nil"/>
              <w:left w:val="nil"/>
              <w:bottom w:val="single" w:sz="4" w:space="0" w:color="000000"/>
              <w:right w:val="single" w:sz="4" w:space="0" w:color="000000"/>
            </w:tcBorders>
            <w:shd w:val="clear" w:color="auto" w:fill="auto"/>
            <w:noWrap/>
            <w:vAlign w:val="center"/>
            <w:hideMark/>
          </w:tcPr>
          <w:p w14:paraId="07EF79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1 224</w:t>
            </w:r>
          </w:p>
        </w:tc>
        <w:tc>
          <w:tcPr>
            <w:tcW w:w="1277" w:type="dxa"/>
            <w:tcBorders>
              <w:top w:val="nil"/>
              <w:left w:val="nil"/>
              <w:bottom w:val="single" w:sz="4" w:space="0" w:color="000000"/>
              <w:right w:val="single" w:sz="4" w:space="0" w:color="000000"/>
            </w:tcBorders>
            <w:shd w:val="clear" w:color="auto" w:fill="auto"/>
            <w:noWrap/>
            <w:vAlign w:val="center"/>
            <w:hideMark/>
          </w:tcPr>
          <w:p w14:paraId="091C62E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1 224</w:t>
            </w:r>
          </w:p>
        </w:tc>
        <w:tc>
          <w:tcPr>
            <w:tcW w:w="1276" w:type="dxa"/>
            <w:tcBorders>
              <w:top w:val="nil"/>
              <w:left w:val="nil"/>
              <w:bottom w:val="single" w:sz="4" w:space="0" w:color="000000"/>
              <w:right w:val="single" w:sz="4" w:space="0" w:color="000000"/>
            </w:tcBorders>
            <w:shd w:val="clear" w:color="auto" w:fill="auto"/>
            <w:noWrap/>
            <w:vAlign w:val="center"/>
            <w:hideMark/>
          </w:tcPr>
          <w:p w14:paraId="210BFFF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1 215</w:t>
            </w:r>
          </w:p>
        </w:tc>
        <w:tc>
          <w:tcPr>
            <w:tcW w:w="1275" w:type="dxa"/>
            <w:tcBorders>
              <w:top w:val="nil"/>
              <w:left w:val="nil"/>
              <w:bottom w:val="single" w:sz="4" w:space="0" w:color="000000"/>
              <w:right w:val="single" w:sz="4" w:space="0" w:color="000000"/>
            </w:tcBorders>
            <w:shd w:val="clear" w:color="auto" w:fill="auto"/>
            <w:noWrap/>
            <w:vAlign w:val="center"/>
            <w:hideMark/>
          </w:tcPr>
          <w:p w14:paraId="646716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1 115</w:t>
            </w:r>
          </w:p>
        </w:tc>
      </w:tr>
      <w:tr w:rsidR="00996507" w:rsidRPr="00996507" w14:paraId="187733C6"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50D218F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7154E1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7762B52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0CD8F3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000000"/>
              <w:right w:val="single" w:sz="4" w:space="0" w:color="000000"/>
            </w:tcBorders>
            <w:shd w:val="clear" w:color="000000" w:fill="C0C0C0"/>
            <w:noWrap/>
            <w:vAlign w:val="center"/>
            <w:hideMark/>
          </w:tcPr>
          <w:p w14:paraId="08FBDAD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1083EB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5,6</w:t>
            </w:r>
          </w:p>
        </w:tc>
        <w:tc>
          <w:tcPr>
            <w:tcW w:w="1275" w:type="dxa"/>
            <w:tcBorders>
              <w:top w:val="nil"/>
              <w:left w:val="nil"/>
              <w:bottom w:val="single" w:sz="4" w:space="0" w:color="000000"/>
              <w:right w:val="single" w:sz="4" w:space="0" w:color="000000"/>
            </w:tcBorders>
            <w:shd w:val="clear" w:color="000000" w:fill="C0C0C0"/>
            <w:noWrap/>
            <w:vAlign w:val="center"/>
            <w:hideMark/>
          </w:tcPr>
          <w:p w14:paraId="745B5BB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6FDAFFE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3F9935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73B8ED5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1DE73714"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3009F9B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9BE941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муниципальных дошкольных 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6F43F45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D00CFF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11.1</w:t>
            </w:r>
          </w:p>
        </w:tc>
        <w:tc>
          <w:tcPr>
            <w:tcW w:w="1276" w:type="dxa"/>
            <w:tcBorders>
              <w:top w:val="nil"/>
              <w:left w:val="nil"/>
              <w:bottom w:val="single" w:sz="4" w:space="0" w:color="000000"/>
              <w:right w:val="single" w:sz="4" w:space="0" w:color="000000"/>
            </w:tcBorders>
            <w:shd w:val="clear" w:color="auto" w:fill="auto"/>
            <w:noWrap/>
            <w:vAlign w:val="center"/>
            <w:hideMark/>
          </w:tcPr>
          <w:p w14:paraId="43364EC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21</w:t>
            </w:r>
          </w:p>
        </w:tc>
        <w:tc>
          <w:tcPr>
            <w:tcW w:w="1275" w:type="dxa"/>
            <w:tcBorders>
              <w:top w:val="nil"/>
              <w:left w:val="nil"/>
              <w:bottom w:val="single" w:sz="4" w:space="0" w:color="000000"/>
              <w:right w:val="single" w:sz="4" w:space="0" w:color="000000"/>
            </w:tcBorders>
            <w:shd w:val="clear" w:color="auto" w:fill="auto"/>
            <w:noWrap/>
            <w:vAlign w:val="center"/>
            <w:hideMark/>
          </w:tcPr>
          <w:p w14:paraId="157A11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18</w:t>
            </w:r>
          </w:p>
        </w:tc>
        <w:tc>
          <w:tcPr>
            <w:tcW w:w="1275" w:type="dxa"/>
            <w:tcBorders>
              <w:top w:val="nil"/>
              <w:left w:val="nil"/>
              <w:bottom w:val="single" w:sz="4" w:space="0" w:color="000000"/>
              <w:right w:val="single" w:sz="4" w:space="0" w:color="000000"/>
            </w:tcBorders>
            <w:shd w:val="clear" w:color="auto" w:fill="auto"/>
            <w:noWrap/>
            <w:vAlign w:val="center"/>
            <w:hideMark/>
          </w:tcPr>
          <w:p w14:paraId="06F0B04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w:t>
            </w:r>
          </w:p>
        </w:tc>
        <w:tc>
          <w:tcPr>
            <w:tcW w:w="1277" w:type="dxa"/>
            <w:tcBorders>
              <w:top w:val="nil"/>
              <w:left w:val="nil"/>
              <w:bottom w:val="single" w:sz="4" w:space="0" w:color="000000"/>
              <w:right w:val="single" w:sz="4" w:space="0" w:color="000000"/>
            </w:tcBorders>
            <w:shd w:val="clear" w:color="auto" w:fill="auto"/>
            <w:noWrap/>
            <w:vAlign w:val="center"/>
            <w:hideMark/>
          </w:tcPr>
          <w:p w14:paraId="5AA672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17</w:t>
            </w:r>
          </w:p>
        </w:tc>
        <w:tc>
          <w:tcPr>
            <w:tcW w:w="1276" w:type="dxa"/>
            <w:tcBorders>
              <w:top w:val="nil"/>
              <w:left w:val="nil"/>
              <w:bottom w:val="single" w:sz="4" w:space="0" w:color="000000"/>
              <w:right w:val="single" w:sz="4" w:space="0" w:color="000000"/>
            </w:tcBorders>
            <w:shd w:val="clear" w:color="auto" w:fill="auto"/>
            <w:noWrap/>
            <w:vAlign w:val="center"/>
            <w:hideMark/>
          </w:tcPr>
          <w:p w14:paraId="3E7403A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18</w:t>
            </w:r>
          </w:p>
        </w:tc>
        <w:tc>
          <w:tcPr>
            <w:tcW w:w="1275" w:type="dxa"/>
            <w:tcBorders>
              <w:top w:val="nil"/>
              <w:left w:val="nil"/>
              <w:bottom w:val="single" w:sz="4" w:space="0" w:color="000000"/>
              <w:right w:val="single" w:sz="4" w:space="0" w:color="000000"/>
            </w:tcBorders>
            <w:shd w:val="clear" w:color="auto" w:fill="auto"/>
            <w:noWrap/>
            <w:vAlign w:val="center"/>
            <w:hideMark/>
          </w:tcPr>
          <w:p w14:paraId="03BDA81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18</w:t>
            </w:r>
          </w:p>
        </w:tc>
      </w:tr>
      <w:tr w:rsidR="00996507" w:rsidRPr="00996507" w14:paraId="65CE3CEC"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4A38CC3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0000F1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1151" w:type="dxa"/>
            <w:tcBorders>
              <w:top w:val="nil"/>
              <w:left w:val="nil"/>
              <w:bottom w:val="single" w:sz="4" w:space="0" w:color="auto"/>
              <w:right w:val="single" w:sz="4" w:space="0" w:color="auto"/>
            </w:tcBorders>
            <w:shd w:val="clear" w:color="000000" w:fill="FFFFFF"/>
            <w:hideMark/>
          </w:tcPr>
          <w:p w14:paraId="1D4E968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AF292D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11.2</w:t>
            </w:r>
          </w:p>
        </w:tc>
        <w:tc>
          <w:tcPr>
            <w:tcW w:w="1276" w:type="dxa"/>
            <w:tcBorders>
              <w:top w:val="nil"/>
              <w:left w:val="nil"/>
              <w:bottom w:val="single" w:sz="4" w:space="0" w:color="000000"/>
              <w:right w:val="single" w:sz="4" w:space="0" w:color="000000"/>
            </w:tcBorders>
            <w:shd w:val="clear" w:color="auto" w:fill="auto"/>
            <w:noWrap/>
            <w:vAlign w:val="center"/>
            <w:hideMark/>
          </w:tcPr>
          <w:p w14:paraId="76F80D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5359D0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14D5FAA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6FFC80D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44E8E6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5DC770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4F8F3A6A" w14:textId="77777777" w:rsidTr="00996507">
        <w:trPr>
          <w:trHeight w:val="1530"/>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3404289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и дополнительное образование</w:t>
            </w:r>
          </w:p>
        </w:tc>
        <w:tc>
          <w:tcPr>
            <w:tcW w:w="4378" w:type="dxa"/>
            <w:tcBorders>
              <w:top w:val="nil"/>
              <w:left w:val="nil"/>
              <w:bottom w:val="single" w:sz="4" w:space="0" w:color="auto"/>
              <w:right w:val="single" w:sz="4" w:space="0" w:color="auto"/>
            </w:tcBorders>
            <w:shd w:val="clear" w:color="000000" w:fill="FFFFFF"/>
            <w:hideMark/>
          </w:tcPr>
          <w:p w14:paraId="1E95F03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792C384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3077E9A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w:t>
            </w:r>
          </w:p>
        </w:tc>
        <w:tc>
          <w:tcPr>
            <w:tcW w:w="1276" w:type="dxa"/>
            <w:tcBorders>
              <w:top w:val="nil"/>
              <w:left w:val="nil"/>
              <w:bottom w:val="single" w:sz="4" w:space="0" w:color="000000"/>
              <w:right w:val="single" w:sz="4" w:space="0" w:color="000000"/>
            </w:tcBorders>
            <w:shd w:val="clear" w:color="000000" w:fill="C0C0C0"/>
            <w:noWrap/>
            <w:vAlign w:val="center"/>
            <w:hideMark/>
          </w:tcPr>
          <w:p w14:paraId="034AF6F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DF253E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04889DE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0,2</w:t>
            </w:r>
          </w:p>
        </w:tc>
        <w:tc>
          <w:tcPr>
            <w:tcW w:w="1277" w:type="dxa"/>
            <w:tcBorders>
              <w:top w:val="nil"/>
              <w:left w:val="nil"/>
              <w:bottom w:val="single" w:sz="4" w:space="0" w:color="000000"/>
              <w:right w:val="single" w:sz="4" w:space="0" w:color="000000"/>
            </w:tcBorders>
            <w:shd w:val="clear" w:color="000000" w:fill="C0C0C0"/>
            <w:noWrap/>
            <w:vAlign w:val="center"/>
            <w:hideMark/>
          </w:tcPr>
          <w:p w14:paraId="081E9C7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1965F4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7759EA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2F554D4C"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44C0C19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1D053F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выпускников муниципальных общеобразовательных учреждений, не получивших аттестат о среднем (полном) образовании</w:t>
            </w:r>
          </w:p>
        </w:tc>
        <w:tc>
          <w:tcPr>
            <w:tcW w:w="1151" w:type="dxa"/>
            <w:tcBorders>
              <w:top w:val="nil"/>
              <w:left w:val="nil"/>
              <w:bottom w:val="single" w:sz="4" w:space="0" w:color="auto"/>
              <w:right w:val="single" w:sz="4" w:space="0" w:color="auto"/>
            </w:tcBorders>
            <w:shd w:val="clear" w:color="000000" w:fill="FFFFFF"/>
            <w:hideMark/>
          </w:tcPr>
          <w:p w14:paraId="2032F45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5DD488D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13.1</w:t>
            </w:r>
          </w:p>
        </w:tc>
        <w:tc>
          <w:tcPr>
            <w:tcW w:w="1276" w:type="dxa"/>
            <w:tcBorders>
              <w:top w:val="nil"/>
              <w:left w:val="nil"/>
              <w:bottom w:val="single" w:sz="4" w:space="0" w:color="000000"/>
              <w:right w:val="single" w:sz="4" w:space="0" w:color="000000"/>
            </w:tcBorders>
            <w:shd w:val="clear" w:color="000000" w:fill="C0C0C0"/>
            <w:noWrap/>
            <w:vAlign w:val="center"/>
            <w:hideMark/>
          </w:tcPr>
          <w:p w14:paraId="3D938FA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000000" w:fill="C0C0C0"/>
            <w:noWrap/>
            <w:vAlign w:val="center"/>
            <w:hideMark/>
          </w:tcPr>
          <w:p w14:paraId="60F9EB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000000" w:fill="C0C0C0"/>
            <w:noWrap/>
            <w:vAlign w:val="center"/>
            <w:hideMark/>
          </w:tcPr>
          <w:p w14:paraId="6EC4E4A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000000" w:fill="C0C0C0"/>
            <w:noWrap/>
            <w:vAlign w:val="center"/>
            <w:hideMark/>
          </w:tcPr>
          <w:p w14:paraId="1285BC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000000" w:fill="C0C0C0"/>
            <w:noWrap/>
            <w:vAlign w:val="center"/>
            <w:hideMark/>
          </w:tcPr>
          <w:p w14:paraId="2FA808C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000000" w:fill="C0C0C0"/>
            <w:noWrap/>
            <w:vAlign w:val="center"/>
            <w:hideMark/>
          </w:tcPr>
          <w:p w14:paraId="5C65255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15F1B162"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683314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206546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выпускного класса общеобразовательных учреждений, не получивших аттестат о среднем (полном) образовании</w:t>
            </w:r>
          </w:p>
        </w:tc>
        <w:tc>
          <w:tcPr>
            <w:tcW w:w="1151" w:type="dxa"/>
            <w:tcBorders>
              <w:top w:val="nil"/>
              <w:left w:val="nil"/>
              <w:bottom w:val="single" w:sz="4" w:space="0" w:color="auto"/>
              <w:right w:val="single" w:sz="4" w:space="0" w:color="auto"/>
            </w:tcBorders>
            <w:shd w:val="clear" w:color="000000" w:fill="FFFFFF"/>
            <w:hideMark/>
          </w:tcPr>
          <w:p w14:paraId="67DFA9C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A8165B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13.1.1</w:t>
            </w:r>
          </w:p>
        </w:tc>
        <w:tc>
          <w:tcPr>
            <w:tcW w:w="1276" w:type="dxa"/>
            <w:tcBorders>
              <w:top w:val="nil"/>
              <w:left w:val="nil"/>
              <w:bottom w:val="single" w:sz="4" w:space="0" w:color="000000"/>
              <w:right w:val="single" w:sz="4" w:space="0" w:color="000000"/>
            </w:tcBorders>
            <w:shd w:val="clear" w:color="auto" w:fill="auto"/>
            <w:noWrap/>
            <w:vAlign w:val="center"/>
            <w:hideMark/>
          </w:tcPr>
          <w:p w14:paraId="2128650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5B819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2A8D63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auto" w:fill="auto"/>
            <w:noWrap/>
            <w:vAlign w:val="center"/>
            <w:hideMark/>
          </w:tcPr>
          <w:p w14:paraId="422DC9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7186DAD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D86C2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12BC0D8D"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42EAC8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D9EA70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Численность обучающихся выпускного класса </w:t>
            </w:r>
            <w:proofErr w:type="spellStart"/>
            <w:r w:rsidRPr="00996507">
              <w:rPr>
                <w:rFonts w:ascii="Times New Roman" w:eastAsia="Times New Roman" w:hAnsi="Times New Roman" w:cs="Times New Roman"/>
                <w:color w:val="000000"/>
                <w:sz w:val="20"/>
                <w:szCs w:val="20"/>
                <w:lang w:eastAsia="ru-RU"/>
              </w:rPr>
              <w:t>интернатных</w:t>
            </w:r>
            <w:proofErr w:type="spellEnd"/>
            <w:r w:rsidRPr="00996507">
              <w:rPr>
                <w:rFonts w:ascii="Times New Roman" w:eastAsia="Times New Roman" w:hAnsi="Times New Roman" w:cs="Times New Roman"/>
                <w:color w:val="000000"/>
                <w:sz w:val="20"/>
                <w:szCs w:val="20"/>
                <w:lang w:eastAsia="ru-RU"/>
              </w:rPr>
              <w:t xml:space="preserve"> общеобразовательных учреждений, не получивших аттестат о среднем (полном) образовании</w:t>
            </w:r>
          </w:p>
        </w:tc>
        <w:tc>
          <w:tcPr>
            <w:tcW w:w="1151" w:type="dxa"/>
            <w:tcBorders>
              <w:top w:val="nil"/>
              <w:left w:val="nil"/>
              <w:bottom w:val="single" w:sz="4" w:space="0" w:color="auto"/>
              <w:right w:val="single" w:sz="4" w:space="0" w:color="auto"/>
            </w:tcBorders>
            <w:shd w:val="clear" w:color="000000" w:fill="FFFFFF"/>
            <w:hideMark/>
          </w:tcPr>
          <w:p w14:paraId="0A7A1FC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A22725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13.1.2</w:t>
            </w:r>
          </w:p>
        </w:tc>
        <w:tc>
          <w:tcPr>
            <w:tcW w:w="1276" w:type="dxa"/>
            <w:tcBorders>
              <w:top w:val="nil"/>
              <w:left w:val="nil"/>
              <w:bottom w:val="single" w:sz="4" w:space="0" w:color="000000"/>
              <w:right w:val="single" w:sz="4" w:space="0" w:color="000000"/>
            </w:tcBorders>
            <w:shd w:val="clear" w:color="auto" w:fill="auto"/>
            <w:noWrap/>
            <w:vAlign w:val="center"/>
            <w:hideMark/>
          </w:tcPr>
          <w:p w14:paraId="6688FA9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001AF1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BA80A4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08A04E9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08F2F0A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B0751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005F53D5"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5360A0E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D08BC9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выпускников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1337D9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09D0C0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w:t>
            </w:r>
          </w:p>
        </w:tc>
        <w:tc>
          <w:tcPr>
            <w:tcW w:w="1276" w:type="dxa"/>
            <w:tcBorders>
              <w:top w:val="nil"/>
              <w:left w:val="nil"/>
              <w:bottom w:val="single" w:sz="4" w:space="0" w:color="000000"/>
              <w:right w:val="single" w:sz="4" w:space="0" w:color="000000"/>
            </w:tcBorders>
            <w:shd w:val="clear" w:color="000000" w:fill="C0C0C0"/>
            <w:noWrap/>
            <w:vAlign w:val="center"/>
            <w:hideMark/>
          </w:tcPr>
          <w:p w14:paraId="03E261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392</w:t>
            </w:r>
          </w:p>
        </w:tc>
        <w:tc>
          <w:tcPr>
            <w:tcW w:w="1275" w:type="dxa"/>
            <w:tcBorders>
              <w:top w:val="nil"/>
              <w:left w:val="nil"/>
              <w:bottom w:val="single" w:sz="4" w:space="0" w:color="000000"/>
              <w:right w:val="single" w:sz="4" w:space="0" w:color="000000"/>
            </w:tcBorders>
            <w:shd w:val="clear" w:color="000000" w:fill="C0C0C0"/>
            <w:noWrap/>
            <w:vAlign w:val="center"/>
            <w:hideMark/>
          </w:tcPr>
          <w:p w14:paraId="1EBB7FC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381</w:t>
            </w:r>
          </w:p>
        </w:tc>
        <w:tc>
          <w:tcPr>
            <w:tcW w:w="1275" w:type="dxa"/>
            <w:tcBorders>
              <w:top w:val="nil"/>
              <w:left w:val="nil"/>
              <w:bottom w:val="single" w:sz="4" w:space="0" w:color="000000"/>
              <w:right w:val="single" w:sz="4" w:space="0" w:color="000000"/>
            </w:tcBorders>
            <w:shd w:val="clear" w:color="000000" w:fill="C0C0C0"/>
            <w:noWrap/>
            <w:vAlign w:val="center"/>
            <w:hideMark/>
          </w:tcPr>
          <w:p w14:paraId="1A21764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407</w:t>
            </w:r>
          </w:p>
        </w:tc>
        <w:tc>
          <w:tcPr>
            <w:tcW w:w="1277" w:type="dxa"/>
            <w:tcBorders>
              <w:top w:val="nil"/>
              <w:left w:val="nil"/>
              <w:bottom w:val="single" w:sz="4" w:space="0" w:color="000000"/>
              <w:right w:val="single" w:sz="4" w:space="0" w:color="000000"/>
            </w:tcBorders>
            <w:shd w:val="clear" w:color="000000" w:fill="C0C0C0"/>
            <w:noWrap/>
            <w:vAlign w:val="center"/>
            <w:hideMark/>
          </w:tcPr>
          <w:p w14:paraId="10C2F66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455</w:t>
            </w:r>
          </w:p>
        </w:tc>
        <w:tc>
          <w:tcPr>
            <w:tcW w:w="1276" w:type="dxa"/>
            <w:tcBorders>
              <w:top w:val="nil"/>
              <w:left w:val="nil"/>
              <w:bottom w:val="single" w:sz="4" w:space="0" w:color="000000"/>
              <w:right w:val="single" w:sz="4" w:space="0" w:color="000000"/>
            </w:tcBorders>
            <w:shd w:val="clear" w:color="000000" w:fill="C0C0C0"/>
            <w:noWrap/>
            <w:vAlign w:val="center"/>
            <w:hideMark/>
          </w:tcPr>
          <w:p w14:paraId="2273B6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530</w:t>
            </w:r>
          </w:p>
        </w:tc>
        <w:tc>
          <w:tcPr>
            <w:tcW w:w="1275" w:type="dxa"/>
            <w:tcBorders>
              <w:top w:val="nil"/>
              <w:left w:val="nil"/>
              <w:bottom w:val="single" w:sz="4" w:space="0" w:color="000000"/>
              <w:right w:val="single" w:sz="4" w:space="0" w:color="000000"/>
            </w:tcBorders>
            <w:shd w:val="clear" w:color="000000" w:fill="C0C0C0"/>
            <w:noWrap/>
            <w:vAlign w:val="center"/>
            <w:hideMark/>
          </w:tcPr>
          <w:p w14:paraId="4C2346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600</w:t>
            </w:r>
          </w:p>
        </w:tc>
      </w:tr>
      <w:tr w:rsidR="00996507" w:rsidRPr="00996507" w14:paraId="688DD9A2"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641FB87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FF3AB6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окончившие 11 класс (окончили с аттестатом о среднем (полном) общем образовании), общеобразовательные учреждения</w:t>
            </w:r>
          </w:p>
        </w:tc>
        <w:tc>
          <w:tcPr>
            <w:tcW w:w="1151" w:type="dxa"/>
            <w:tcBorders>
              <w:top w:val="nil"/>
              <w:left w:val="nil"/>
              <w:bottom w:val="single" w:sz="4" w:space="0" w:color="auto"/>
              <w:right w:val="single" w:sz="4" w:space="0" w:color="auto"/>
            </w:tcBorders>
            <w:shd w:val="clear" w:color="000000" w:fill="FFFFFF"/>
            <w:hideMark/>
          </w:tcPr>
          <w:p w14:paraId="320298C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8AC03C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13.2.1</w:t>
            </w:r>
          </w:p>
        </w:tc>
        <w:tc>
          <w:tcPr>
            <w:tcW w:w="1276" w:type="dxa"/>
            <w:tcBorders>
              <w:top w:val="nil"/>
              <w:left w:val="nil"/>
              <w:bottom w:val="single" w:sz="4" w:space="0" w:color="000000"/>
              <w:right w:val="single" w:sz="4" w:space="0" w:color="000000"/>
            </w:tcBorders>
            <w:shd w:val="clear" w:color="auto" w:fill="auto"/>
            <w:noWrap/>
            <w:vAlign w:val="center"/>
            <w:hideMark/>
          </w:tcPr>
          <w:p w14:paraId="6A18C77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392</w:t>
            </w:r>
          </w:p>
        </w:tc>
        <w:tc>
          <w:tcPr>
            <w:tcW w:w="1275" w:type="dxa"/>
            <w:tcBorders>
              <w:top w:val="nil"/>
              <w:left w:val="nil"/>
              <w:bottom w:val="single" w:sz="4" w:space="0" w:color="000000"/>
              <w:right w:val="single" w:sz="4" w:space="0" w:color="000000"/>
            </w:tcBorders>
            <w:shd w:val="clear" w:color="auto" w:fill="auto"/>
            <w:noWrap/>
            <w:vAlign w:val="center"/>
            <w:hideMark/>
          </w:tcPr>
          <w:p w14:paraId="53A853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380</w:t>
            </w:r>
          </w:p>
        </w:tc>
        <w:tc>
          <w:tcPr>
            <w:tcW w:w="1275" w:type="dxa"/>
            <w:tcBorders>
              <w:top w:val="nil"/>
              <w:left w:val="nil"/>
              <w:bottom w:val="single" w:sz="4" w:space="0" w:color="000000"/>
              <w:right w:val="single" w:sz="4" w:space="0" w:color="000000"/>
            </w:tcBorders>
            <w:shd w:val="clear" w:color="auto" w:fill="auto"/>
            <w:noWrap/>
            <w:vAlign w:val="center"/>
            <w:hideMark/>
          </w:tcPr>
          <w:p w14:paraId="7B9575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407</w:t>
            </w:r>
          </w:p>
        </w:tc>
        <w:tc>
          <w:tcPr>
            <w:tcW w:w="1277" w:type="dxa"/>
            <w:tcBorders>
              <w:top w:val="nil"/>
              <w:left w:val="nil"/>
              <w:bottom w:val="single" w:sz="4" w:space="0" w:color="000000"/>
              <w:right w:val="single" w:sz="4" w:space="0" w:color="000000"/>
            </w:tcBorders>
            <w:shd w:val="clear" w:color="auto" w:fill="auto"/>
            <w:noWrap/>
            <w:vAlign w:val="center"/>
            <w:hideMark/>
          </w:tcPr>
          <w:p w14:paraId="2FD6422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455</w:t>
            </w:r>
          </w:p>
        </w:tc>
        <w:tc>
          <w:tcPr>
            <w:tcW w:w="1276" w:type="dxa"/>
            <w:tcBorders>
              <w:top w:val="nil"/>
              <w:left w:val="nil"/>
              <w:bottom w:val="single" w:sz="4" w:space="0" w:color="000000"/>
              <w:right w:val="single" w:sz="4" w:space="0" w:color="000000"/>
            </w:tcBorders>
            <w:shd w:val="clear" w:color="auto" w:fill="auto"/>
            <w:noWrap/>
            <w:vAlign w:val="center"/>
            <w:hideMark/>
          </w:tcPr>
          <w:p w14:paraId="49B56B1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530</w:t>
            </w:r>
          </w:p>
        </w:tc>
        <w:tc>
          <w:tcPr>
            <w:tcW w:w="1275" w:type="dxa"/>
            <w:tcBorders>
              <w:top w:val="nil"/>
              <w:left w:val="nil"/>
              <w:bottom w:val="single" w:sz="4" w:space="0" w:color="000000"/>
              <w:right w:val="single" w:sz="4" w:space="0" w:color="000000"/>
            </w:tcBorders>
            <w:shd w:val="clear" w:color="auto" w:fill="auto"/>
            <w:noWrap/>
            <w:vAlign w:val="center"/>
            <w:hideMark/>
          </w:tcPr>
          <w:p w14:paraId="4FD9909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600</w:t>
            </w:r>
          </w:p>
        </w:tc>
      </w:tr>
      <w:tr w:rsidR="00996507" w:rsidRPr="00996507" w14:paraId="45E33A36"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4E30CB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56AD14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окончившие 12 класс, общеобразовательные учреждения</w:t>
            </w:r>
          </w:p>
        </w:tc>
        <w:tc>
          <w:tcPr>
            <w:tcW w:w="1151" w:type="dxa"/>
            <w:tcBorders>
              <w:top w:val="nil"/>
              <w:left w:val="nil"/>
              <w:bottom w:val="single" w:sz="4" w:space="0" w:color="auto"/>
              <w:right w:val="single" w:sz="4" w:space="0" w:color="auto"/>
            </w:tcBorders>
            <w:shd w:val="clear" w:color="000000" w:fill="FFFFFF"/>
            <w:hideMark/>
          </w:tcPr>
          <w:p w14:paraId="5DEB1E4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1FF57E4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13.2.2</w:t>
            </w:r>
          </w:p>
        </w:tc>
        <w:tc>
          <w:tcPr>
            <w:tcW w:w="1276" w:type="dxa"/>
            <w:tcBorders>
              <w:top w:val="nil"/>
              <w:left w:val="nil"/>
              <w:bottom w:val="single" w:sz="4" w:space="0" w:color="000000"/>
              <w:right w:val="single" w:sz="4" w:space="0" w:color="000000"/>
            </w:tcBorders>
            <w:shd w:val="clear" w:color="auto" w:fill="auto"/>
            <w:noWrap/>
            <w:vAlign w:val="center"/>
            <w:hideMark/>
          </w:tcPr>
          <w:p w14:paraId="27FB617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71D7A22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787445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1FAC535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310534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FC579E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5F3224B5"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393CFD8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3D75B6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выдержавших экзамены экстерном за курс средней школы и получивших аттестат о среднем (полном) общем образовании, в общеобразовательных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27D9F76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FF3F4D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13.2.3</w:t>
            </w:r>
          </w:p>
        </w:tc>
        <w:tc>
          <w:tcPr>
            <w:tcW w:w="1276" w:type="dxa"/>
            <w:tcBorders>
              <w:top w:val="nil"/>
              <w:left w:val="nil"/>
              <w:bottom w:val="single" w:sz="4" w:space="0" w:color="000000"/>
              <w:right w:val="single" w:sz="4" w:space="0" w:color="000000"/>
            </w:tcBorders>
            <w:shd w:val="clear" w:color="auto" w:fill="auto"/>
            <w:noWrap/>
            <w:vAlign w:val="center"/>
            <w:hideMark/>
          </w:tcPr>
          <w:p w14:paraId="7D05BE1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0596EB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61F9228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2DAF13F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309D28D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835B3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5805A54C"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21B71D1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8E4572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Численность обучающихся, окончившие 11 класс (окончили с аттестатом о среднем (полном) общем образовании), </w:t>
            </w:r>
            <w:proofErr w:type="spellStart"/>
            <w:r w:rsidRPr="00996507">
              <w:rPr>
                <w:rFonts w:ascii="Times New Roman" w:eastAsia="Times New Roman" w:hAnsi="Times New Roman" w:cs="Times New Roman"/>
                <w:color w:val="000000"/>
                <w:sz w:val="20"/>
                <w:szCs w:val="20"/>
                <w:lang w:eastAsia="ru-RU"/>
              </w:rPr>
              <w:t>интернатные</w:t>
            </w:r>
            <w:proofErr w:type="spellEnd"/>
            <w:r w:rsidRPr="00996507">
              <w:rPr>
                <w:rFonts w:ascii="Times New Roman" w:eastAsia="Times New Roman" w:hAnsi="Times New Roman" w:cs="Times New Roman"/>
                <w:color w:val="000000"/>
                <w:sz w:val="20"/>
                <w:szCs w:val="20"/>
                <w:lang w:eastAsia="ru-RU"/>
              </w:rPr>
              <w:t xml:space="preserve"> общеобразовательные учреждения</w:t>
            </w:r>
          </w:p>
        </w:tc>
        <w:tc>
          <w:tcPr>
            <w:tcW w:w="1151" w:type="dxa"/>
            <w:tcBorders>
              <w:top w:val="nil"/>
              <w:left w:val="nil"/>
              <w:bottom w:val="single" w:sz="4" w:space="0" w:color="auto"/>
              <w:right w:val="single" w:sz="4" w:space="0" w:color="auto"/>
            </w:tcBorders>
            <w:shd w:val="clear" w:color="000000" w:fill="FFFFFF"/>
            <w:hideMark/>
          </w:tcPr>
          <w:p w14:paraId="3AEF109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05C198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13.2.4</w:t>
            </w:r>
          </w:p>
        </w:tc>
        <w:tc>
          <w:tcPr>
            <w:tcW w:w="1276" w:type="dxa"/>
            <w:tcBorders>
              <w:top w:val="nil"/>
              <w:left w:val="nil"/>
              <w:bottom w:val="single" w:sz="4" w:space="0" w:color="000000"/>
              <w:right w:val="single" w:sz="4" w:space="0" w:color="000000"/>
            </w:tcBorders>
            <w:shd w:val="clear" w:color="auto" w:fill="auto"/>
            <w:noWrap/>
            <w:vAlign w:val="center"/>
            <w:hideMark/>
          </w:tcPr>
          <w:p w14:paraId="684CB52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1CF445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77E4A7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72FAED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1F67CC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C10B5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75BE6773"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6BA3410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102A36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Численность обучающихся, окончившие 12 класс, </w:t>
            </w:r>
            <w:proofErr w:type="spellStart"/>
            <w:r w:rsidRPr="00996507">
              <w:rPr>
                <w:rFonts w:ascii="Times New Roman" w:eastAsia="Times New Roman" w:hAnsi="Times New Roman" w:cs="Times New Roman"/>
                <w:color w:val="000000"/>
                <w:sz w:val="20"/>
                <w:szCs w:val="20"/>
                <w:lang w:eastAsia="ru-RU"/>
              </w:rPr>
              <w:t>интернатные</w:t>
            </w:r>
            <w:proofErr w:type="spellEnd"/>
            <w:r w:rsidRPr="00996507">
              <w:rPr>
                <w:rFonts w:ascii="Times New Roman" w:eastAsia="Times New Roman" w:hAnsi="Times New Roman" w:cs="Times New Roman"/>
                <w:color w:val="000000"/>
                <w:sz w:val="20"/>
                <w:szCs w:val="20"/>
                <w:lang w:eastAsia="ru-RU"/>
              </w:rPr>
              <w:t xml:space="preserve"> общеобразовательные школы-интернаты</w:t>
            </w:r>
          </w:p>
        </w:tc>
        <w:tc>
          <w:tcPr>
            <w:tcW w:w="1151" w:type="dxa"/>
            <w:tcBorders>
              <w:top w:val="nil"/>
              <w:left w:val="nil"/>
              <w:bottom w:val="single" w:sz="4" w:space="0" w:color="auto"/>
              <w:right w:val="single" w:sz="4" w:space="0" w:color="auto"/>
            </w:tcBorders>
            <w:shd w:val="clear" w:color="000000" w:fill="FFFFFF"/>
            <w:hideMark/>
          </w:tcPr>
          <w:p w14:paraId="0D42810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B5DAE3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13.2.5</w:t>
            </w:r>
          </w:p>
        </w:tc>
        <w:tc>
          <w:tcPr>
            <w:tcW w:w="1276" w:type="dxa"/>
            <w:tcBorders>
              <w:top w:val="nil"/>
              <w:left w:val="nil"/>
              <w:bottom w:val="single" w:sz="4" w:space="0" w:color="000000"/>
              <w:right w:val="single" w:sz="4" w:space="0" w:color="000000"/>
            </w:tcBorders>
            <w:shd w:val="clear" w:color="auto" w:fill="auto"/>
            <w:noWrap/>
            <w:vAlign w:val="center"/>
            <w:hideMark/>
          </w:tcPr>
          <w:p w14:paraId="63F102F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00BA42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9A577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6BF8D62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443BE38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89420E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259BA956"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24938F7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BF3258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Численность обучающихся, выдержавших экзамены экстерном за курс средней школы и получивших аттестат о среднем (полном) общем образовании, в </w:t>
            </w:r>
            <w:proofErr w:type="spellStart"/>
            <w:r w:rsidRPr="00996507">
              <w:rPr>
                <w:rFonts w:ascii="Times New Roman" w:eastAsia="Times New Roman" w:hAnsi="Times New Roman" w:cs="Times New Roman"/>
                <w:color w:val="000000"/>
                <w:sz w:val="20"/>
                <w:szCs w:val="20"/>
                <w:lang w:eastAsia="ru-RU"/>
              </w:rPr>
              <w:t>интернатных</w:t>
            </w:r>
            <w:proofErr w:type="spellEnd"/>
            <w:r w:rsidRPr="00996507">
              <w:rPr>
                <w:rFonts w:ascii="Times New Roman" w:eastAsia="Times New Roman" w:hAnsi="Times New Roman" w:cs="Times New Roman"/>
                <w:color w:val="000000"/>
                <w:sz w:val="20"/>
                <w:szCs w:val="20"/>
                <w:lang w:eastAsia="ru-RU"/>
              </w:rPr>
              <w:t xml:space="preserve"> общеобразовательных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49F3F52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F10A0B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13.2.6</w:t>
            </w:r>
          </w:p>
        </w:tc>
        <w:tc>
          <w:tcPr>
            <w:tcW w:w="1276" w:type="dxa"/>
            <w:tcBorders>
              <w:top w:val="nil"/>
              <w:left w:val="nil"/>
              <w:bottom w:val="single" w:sz="4" w:space="0" w:color="000000"/>
              <w:right w:val="single" w:sz="4" w:space="0" w:color="000000"/>
            </w:tcBorders>
            <w:shd w:val="clear" w:color="auto" w:fill="auto"/>
            <w:noWrap/>
            <w:vAlign w:val="center"/>
            <w:hideMark/>
          </w:tcPr>
          <w:p w14:paraId="2BF2C4F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B7AA6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B43D9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04EEFB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5F2B60A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E28FD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AC665D2"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5FBC020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AA608A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5EA6C72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3F33373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14</w:t>
            </w:r>
          </w:p>
        </w:tc>
        <w:tc>
          <w:tcPr>
            <w:tcW w:w="1276" w:type="dxa"/>
            <w:tcBorders>
              <w:top w:val="nil"/>
              <w:left w:val="nil"/>
              <w:bottom w:val="single" w:sz="4" w:space="0" w:color="000000"/>
              <w:right w:val="single" w:sz="4" w:space="0" w:color="000000"/>
            </w:tcBorders>
            <w:shd w:val="clear" w:color="auto" w:fill="auto"/>
            <w:noWrap/>
            <w:vAlign w:val="center"/>
            <w:hideMark/>
          </w:tcPr>
          <w:p w14:paraId="2ADA82E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89,3</w:t>
            </w:r>
          </w:p>
        </w:tc>
        <w:tc>
          <w:tcPr>
            <w:tcW w:w="1275" w:type="dxa"/>
            <w:tcBorders>
              <w:top w:val="nil"/>
              <w:left w:val="nil"/>
              <w:bottom w:val="single" w:sz="4" w:space="0" w:color="000000"/>
              <w:right w:val="single" w:sz="4" w:space="0" w:color="000000"/>
            </w:tcBorders>
            <w:shd w:val="clear" w:color="auto" w:fill="auto"/>
            <w:noWrap/>
            <w:vAlign w:val="center"/>
            <w:hideMark/>
          </w:tcPr>
          <w:p w14:paraId="1BDD127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89,6</w:t>
            </w:r>
          </w:p>
        </w:tc>
        <w:tc>
          <w:tcPr>
            <w:tcW w:w="1275" w:type="dxa"/>
            <w:tcBorders>
              <w:top w:val="nil"/>
              <w:left w:val="nil"/>
              <w:bottom w:val="single" w:sz="4" w:space="0" w:color="000000"/>
              <w:right w:val="single" w:sz="4" w:space="0" w:color="000000"/>
            </w:tcBorders>
            <w:shd w:val="clear" w:color="auto" w:fill="auto"/>
            <w:noWrap/>
            <w:vAlign w:val="center"/>
            <w:hideMark/>
          </w:tcPr>
          <w:p w14:paraId="0B1B2A3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7" w:type="dxa"/>
            <w:tcBorders>
              <w:top w:val="nil"/>
              <w:left w:val="nil"/>
              <w:bottom w:val="single" w:sz="4" w:space="0" w:color="000000"/>
              <w:right w:val="single" w:sz="4" w:space="0" w:color="000000"/>
            </w:tcBorders>
            <w:shd w:val="clear" w:color="auto" w:fill="auto"/>
            <w:noWrap/>
            <w:vAlign w:val="center"/>
            <w:hideMark/>
          </w:tcPr>
          <w:p w14:paraId="2C2E590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6" w:type="dxa"/>
            <w:tcBorders>
              <w:top w:val="nil"/>
              <w:left w:val="nil"/>
              <w:bottom w:val="single" w:sz="4" w:space="0" w:color="000000"/>
              <w:right w:val="single" w:sz="4" w:space="0" w:color="000000"/>
            </w:tcBorders>
            <w:shd w:val="clear" w:color="auto" w:fill="auto"/>
            <w:noWrap/>
            <w:vAlign w:val="center"/>
            <w:hideMark/>
          </w:tcPr>
          <w:p w14:paraId="091ABA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auto" w:fill="auto"/>
            <w:noWrap/>
            <w:vAlign w:val="center"/>
            <w:hideMark/>
          </w:tcPr>
          <w:p w14:paraId="616495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r>
      <w:tr w:rsidR="00996507" w:rsidRPr="00996507" w14:paraId="37E43011"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583D0B9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8F2AC0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51" w:type="dxa"/>
            <w:tcBorders>
              <w:top w:val="nil"/>
              <w:left w:val="nil"/>
              <w:bottom w:val="single" w:sz="4" w:space="0" w:color="auto"/>
              <w:right w:val="single" w:sz="4" w:space="0" w:color="auto"/>
            </w:tcBorders>
            <w:shd w:val="clear" w:color="000000" w:fill="FFFFFF"/>
            <w:hideMark/>
          </w:tcPr>
          <w:p w14:paraId="50BF1C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EB27A2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000000"/>
              <w:right w:val="single" w:sz="4" w:space="0" w:color="000000"/>
            </w:tcBorders>
            <w:shd w:val="clear" w:color="000000" w:fill="C0C0C0"/>
            <w:noWrap/>
            <w:vAlign w:val="center"/>
            <w:hideMark/>
          </w:tcPr>
          <w:p w14:paraId="3005345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2B59EF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CA0F7E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6653F26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3D8803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5F4B58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3DDA2FE6"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4814CEF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154F54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Число государственных (муниципальных) образовательных учреждений, реализующих </w:t>
            </w:r>
            <w:proofErr w:type="gramStart"/>
            <w:r w:rsidRPr="00996507">
              <w:rPr>
                <w:rFonts w:ascii="Times New Roman" w:eastAsia="Times New Roman" w:hAnsi="Times New Roman" w:cs="Times New Roman"/>
                <w:color w:val="000000"/>
                <w:sz w:val="20"/>
                <w:szCs w:val="20"/>
                <w:lang w:eastAsia="ru-RU"/>
              </w:rPr>
              <w:t>программы общего образования</w:t>
            </w:r>
            <w:proofErr w:type="gramEnd"/>
            <w:r w:rsidRPr="00996507">
              <w:rPr>
                <w:rFonts w:ascii="Times New Roman" w:eastAsia="Times New Roman" w:hAnsi="Times New Roman" w:cs="Times New Roman"/>
                <w:color w:val="000000"/>
                <w:sz w:val="20"/>
                <w:szCs w:val="20"/>
                <w:lang w:eastAsia="ru-RU"/>
              </w:rPr>
              <w:t xml:space="preserve"> расположенных в городских поселениях, находящихся в аварийном состоянии</w:t>
            </w:r>
          </w:p>
        </w:tc>
        <w:tc>
          <w:tcPr>
            <w:tcW w:w="1151" w:type="dxa"/>
            <w:tcBorders>
              <w:top w:val="nil"/>
              <w:left w:val="nil"/>
              <w:bottom w:val="single" w:sz="4" w:space="0" w:color="auto"/>
              <w:right w:val="single" w:sz="4" w:space="0" w:color="auto"/>
            </w:tcBorders>
            <w:shd w:val="clear" w:color="000000" w:fill="FFFFFF"/>
            <w:hideMark/>
          </w:tcPr>
          <w:p w14:paraId="1352A84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50F169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15.1</w:t>
            </w:r>
          </w:p>
        </w:tc>
        <w:tc>
          <w:tcPr>
            <w:tcW w:w="1276" w:type="dxa"/>
            <w:tcBorders>
              <w:top w:val="nil"/>
              <w:left w:val="nil"/>
              <w:bottom w:val="single" w:sz="4" w:space="0" w:color="000000"/>
              <w:right w:val="single" w:sz="4" w:space="0" w:color="000000"/>
            </w:tcBorders>
            <w:shd w:val="clear" w:color="auto" w:fill="auto"/>
            <w:noWrap/>
            <w:vAlign w:val="center"/>
            <w:hideMark/>
          </w:tcPr>
          <w:p w14:paraId="0EE38F4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AFC75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234A01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47EF78F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49005B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DD41FF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3F6DDD2F"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766C721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96250B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Число государственных (муниципальных) образовательных учреждений, реализующих </w:t>
            </w:r>
            <w:proofErr w:type="gramStart"/>
            <w:r w:rsidRPr="00996507">
              <w:rPr>
                <w:rFonts w:ascii="Times New Roman" w:eastAsia="Times New Roman" w:hAnsi="Times New Roman" w:cs="Times New Roman"/>
                <w:color w:val="000000"/>
                <w:sz w:val="20"/>
                <w:szCs w:val="20"/>
                <w:lang w:eastAsia="ru-RU"/>
              </w:rPr>
              <w:t>программы общего образования</w:t>
            </w:r>
            <w:proofErr w:type="gramEnd"/>
            <w:r w:rsidRPr="00996507">
              <w:rPr>
                <w:rFonts w:ascii="Times New Roman" w:eastAsia="Times New Roman" w:hAnsi="Times New Roman" w:cs="Times New Roman"/>
                <w:color w:val="000000"/>
                <w:sz w:val="20"/>
                <w:szCs w:val="20"/>
                <w:lang w:eastAsia="ru-RU"/>
              </w:rPr>
              <w:t xml:space="preserve"> расположенных в сельской местности, находящихся в аварийном состоянии</w:t>
            </w:r>
          </w:p>
        </w:tc>
        <w:tc>
          <w:tcPr>
            <w:tcW w:w="1151" w:type="dxa"/>
            <w:tcBorders>
              <w:top w:val="nil"/>
              <w:left w:val="nil"/>
              <w:bottom w:val="single" w:sz="4" w:space="0" w:color="auto"/>
              <w:right w:val="single" w:sz="4" w:space="0" w:color="auto"/>
            </w:tcBorders>
            <w:shd w:val="clear" w:color="000000" w:fill="FFFFFF"/>
            <w:hideMark/>
          </w:tcPr>
          <w:p w14:paraId="0BBEA33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B894E8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15.2</w:t>
            </w:r>
          </w:p>
        </w:tc>
        <w:tc>
          <w:tcPr>
            <w:tcW w:w="1276" w:type="dxa"/>
            <w:tcBorders>
              <w:top w:val="nil"/>
              <w:left w:val="nil"/>
              <w:bottom w:val="single" w:sz="4" w:space="0" w:color="000000"/>
              <w:right w:val="single" w:sz="4" w:space="0" w:color="000000"/>
            </w:tcBorders>
            <w:shd w:val="clear" w:color="auto" w:fill="auto"/>
            <w:noWrap/>
            <w:vAlign w:val="center"/>
            <w:hideMark/>
          </w:tcPr>
          <w:p w14:paraId="4D97469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F7B369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74EA19B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53EA748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648525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2ED29E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17D9BE4"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74CB327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25C93C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Число государственных (муниципальных) образовательных учреждений, реализующих </w:t>
            </w:r>
            <w:proofErr w:type="gramStart"/>
            <w:r w:rsidRPr="00996507">
              <w:rPr>
                <w:rFonts w:ascii="Times New Roman" w:eastAsia="Times New Roman" w:hAnsi="Times New Roman" w:cs="Times New Roman"/>
                <w:color w:val="000000"/>
                <w:sz w:val="20"/>
                <w:szCs w:val="20"/>
                <w:lang w:eastAsia="ru-RU"/>
              </w:rPr>
              <w:t>программы общего образования</w:t>
            </w:r>
            <w:proofErr w:type="gramEnd"/>
            <w:r w:rsidRPr="00996507">
              <w:rPr>
                <w:rFonts w:ascii="Times New Roman" w:eastAsia="Times New Roman" w:hAnsi="Times New Roman" w:cs="Times New Roman"/>
                <w:color w:val="000000"/>
                <w:sz w:val="20"/>
                <w:szCs w:val="20"/>
                <w:lang w:eastAsia="ru-RU"/>
              </w:rPr>
              <w:t xml:space="preserve"> расположенных в городских поселениях, здания которых требуют капитального ремонта</w:t>
            </w:r>
          </w:p>
        </w:tc>
        <w:tc>
          <w:tcPr>
            <w:tcW w:w="1151" w:type="dxa"/>
            <w:tcBorders>
              <w:top w:val="nil"/>
              <w:left w:val="nil"/>
              <w:bottom w:val="single" w:sz="4" w:space="0" w:color="auto"/>
              <w:right w:val="single" w:sz="4" w:space="0" w:color="auto"/>
            </w:tcBorders>
            <w:shd w:val="clear" w:color="000000" w:fill="FFFFFF"/>
            <w:hideMark/>
          </w:tcPr>
          <w:p w14:paraId="249E970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7313ED6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15.3</w:t>
            </w:r>
          </w:p>
        </w:tc>
        <w:tc>
          <w:tcPr>
            <w:tcW w:w="1276" w:type="dxa"/>
            <w:tcBorders>
              <w:top w:val="nil"/>
              <w:left w:val="nil"/>
              <w:bottom w:val="single" w:sz="4" w:space="0" w:color="000000"/>
              <w:right w:val="single" w:sz="4" w:space="0" w:color="000000"/>
            </w:tcBorders>
            <w:shd w:val="clear" w:color="auto" w:fill="auto"/>
            <w:noWrap/>
            <w:vAlign w:val="center"/>
            <w:hideMark/>
          </w:tcPr>
          <w:p w14:paraId="5E87AC2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5E3903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62024C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2A2F08B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696DE6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834ED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0CF58215"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2AD2612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3E6018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Число государственных (муниципальных) образовательных учреждений, реализующих </w:t>
            </w:r>
            <w:proofErr w:type="gramStart"/>
            <w:r w:rsidRPr="00996507">
              <w:rPr>
                <w:rFonts w:ascii="Times New Roman" w:eastAsia="Times New Roman" w:hAnsi="Times New Roman" w:cs="Times New Roman"/>
                <w:color w:val="000000"/>
                <w:sz w:val="20"/>
                <w:szCs w:val="20"/>
                <w:lang w:eastAsia="ru-RU"/>
              </w:rPr>
              <w:t>программы общего образования</w:t>
            </w:r>
            <w:proofErr w:type="gramEnd"/>
            <w:r w:rsidRPr="00996507">
              <w:rPr>
                <w:rFonts w:ascii="Times New Roman" w:eastAsia="Times New Roman" w:hAnsi="Times New Roman" w:cs="Times New Roman"/>
                <w:color w:val="000000"/>
                <w:sz w:val="20"/>
                <w:szCs w:val="20"/>
                <w:lang w:eastAsia="ru-RU"/>
              </w:rPr>
              <w:t xml:space="preserve"> расположенных в сельской местности, здания которых требуют капитального ремонта</w:t>
            </w:r>
          </w:p>
        </w:tc>
        <w:tc>
          <w:tcPr>
            <w:tcW w:w="1151" w:type="dxa"/>
            <w:tcBorders>
              <w:top w:val="nil"/>
              <w:left w:val="nil"/>
              <w:bottom w:val="single" w:sz="4" w:space="0" w:color="auto"/>
              <w:right w:val="single" w:sz="4" w:space="0" w:color="auto"/>
            </w:tcBorders>
            <w:shd w:val="clear" w:color="000000" w:fill="FFFFFF"/>
            <w:hideMark/>
          </w:tcPr>
          <w:p w14:paraId="09D4F17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493FDA7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15.4</w:t>
            </w:r>
          </w:p>
        </w:tc>
        <w:tc>
          <w:tcPr>
            <w:tcW w:w="1276" w:type="dxa"/>
            <w:tcBorders>
              <w:top w:val="nil"/>
              <w:left w:val="nil"/>
              <w:bottom w:val="single" w:sz="4" w:space="0" w:color="000000"/>
              <w:right w:val="single" w:sz="4" w:space="0" w:color="000000"/>
            </w:tcBorders>
            <w:shd w:val="clear" w:color="auto" w:fill="auto"/>
            <w:noWrap/>
            <w:vAlign w:val="center"/>
            <w:hideMark/>
          </w:tcPr>
          <w:p w14:paraId="31ABD8B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8A609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04C63F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448865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3FAE3E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AA37C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4180EB7C"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418C192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6AE9A0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Число государственных (муниципальных) образовательных учреждений, реализующих </w:t>
            </w:r>
            <w:proofErr w:type="gramStart"/>
            <w:r w:rsidRPr="00996507">
              <w:rPr>
                <w:rFonts w:ascii="Times New Roman" w:eastAsia="Times New Roman" w:hAnsi="Times New Roman" w:cs="Times New Roman"/>
                <w:color w:val="000000"/>
                <w:sz w:val="20"/>
                <w:szCs w:val="20"/>
                <w:lang w:eastAsia="ru-RU"/>
              </w:rPr>
              <w:t>программы общего образования</w:t>
            </w:r>
            <w:proofErr w:type="gramEnd"/>
            <w:r w:rsidRPr="00996507">
              <w:rPr>
                <w:rFonts w:ascii="Times New Roman" w:eastAsia="Times New Roman" w:hAnsi="Times New Roman" w:cs="Times New Roman"/>
                <w:color w:val="000000"/>
                <w:sz w:val="20"/>
                <w:szCs w:val="20"/>
                <w:lang w:eastAsia="ru-RU"/>
              </w:rPr>
              <w:t xml:space="preserve"> расположенных в городских поселениях</w:t>
            </w:r>
          </w:p>
        </w:tc>
        <w:tc>
          <w:tcPr>
            <w:tcW w:w="1151" w:type="dxa"/>
            <w:tcBorders>
              <w:top w:val="nil"/>
              <w:left w:val="nil"/>
              <w:bottom w:val="single" w:sz="4" w:space="0" w:color="auto"/>
              <w:right w:val="single" w:sz="4" w:space="0" w:color="auto"/>
            </w:tcBorders>
            <w:shd w:val="clear" w:color="000000" w:fill="FFFFFF"/>
            <w:hideMark/>
          </w:tcPr>
          <w:p w14:paraId="6356FD3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B3D138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15.5</w:t>
            </w:r>
          </w:p>
        </w:tc>
        <w:tc>
          <w:tcPr>
            <w:tcW w:w="1276" w:type="dxa"/>
            <w:tcBorders>
              <w:top w:val="nil"/>
              <w:left w:val="nil"/>
              <w:bottom w:val="single" w:sz="4" w:space="0" w:color="000000"/>
              <w:right w:val="single" w:sz="4" w:space="0" w:color="000000"/>
            </w:tcBorders>
            <w:shd w:val="clear" w:color="auto" w:fill="auto"/>
            <w:noWrap/>
            <w:vAlign w:val="center"/>
            <w:hideMark/>
          </w:tcPr>
          <w:p w14:paraId="1123E9A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29C6A46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449EA26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w:t>
            </w:r>
          </w:p>
        </w:tc>
        <w:tc>
          <w:tcPr>
            <w:tcW w:w="1277" w:type="dxa"/>
            <w:tcBorders>
              <w:top w:val="nil"/>
              <w:left w:val="nil"/>
              <w:bottom w:val="single" w:sz="4" w:space="0" w:color="000000"/>
              <w:right w:val="single" w:sz="4" w:space="0" w:color="000000"/>
            </w:tcBorders>
            <w:shd w:val="clear" w:color="auto" w:fill="auto"/>
            <w:noWrap/>
            <w:vAlign w:val="center"/>
            <w:hideMark/>
          </w:tcPr>
          <w:p w14:paraId="14C8CA6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6" w:type="dxa"/>
            <w:tcBorders>
              <w:top w:val="nil"/>
              <w:left w:val="nil"/>
              <w:bottom w:val="single" w:sz="4" w:space="0" w:color="000000"/>
              <w:right w:val="single" w:sz="4" w:space="0" w:color="000000"/>
            </w:tcBorders>
            <w:shd w:val="clear" w:color="auto" w:fill="auto"/>
            <w:noWrap/>
            <w:vAlign w:val="center"/>
            <w:hideMark/>
          </w:tcPr>
          <w:p w14:paraId="7609460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5CD0635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r>
      <w:tr w:rsidR="00996507" w:rsidRPr="00996507" w14:paraId="27A93BF4"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9D6C1D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ED683F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Число государственных (муниципальных) образовательных учреждений, реализующих </w:t>
            </w:r>
            <w:proofErr w:type="gramStart"/>
            <w:r w:rsidRPr="00996507">
              <w:rPr>
                <w:rFonts w:ascii="Times New Roman" w:eastAsia="Times New Roman" w:hAnsi="Times New Roman" w:cs="Times New Roman"/>
                <w:color w:val="000000"/>
                <w:sz w:val="20"/>
                <w:szCs w:val="20"/>
                <w:lang w:eastAsia="ru-RU"/>
              </w:rPr>
              <w:t>программы общего образования</w:t>
            </w:r>
            <w:proofErr w:type="gramEnd"/>
            <w:r w:rsidRPr="00996507">
              <w:rPr>
                <w:rFonts w:ascii="Times New Roman" w:eastAsia="Times New Roman" w:hAnsi="Times New Roman" w:cs="Times New Roman"/>
                <w:color w:val="000000"/>
                <w:sz w:val="20"/>
                <w:szCs w:val="20"/>
                <w:lang w:eastAsia="ru-RU"/>
              </w:rPr>
              <w:t xml:space="preserve"> расположенных в сельской местности</w:t>
            </w:r>
          </w:p>
        </w:tc>
        <w:tc>
          <w:tcPr>
            <w:tcW w:w="1151" w:type="dxa"/>
            <w:tcBorders>
              <w:top w:val="nil"/>
              <w:left w:val="nil"/>
              <w:bottom w:val="single" w:sz="4" w:space="0" w:color="auto"/>
              <w:right w:val="single" w:sz="4" w:space="0" w:color="auto"/>
            </w:tcBorders>
            <w:shd w:val="clear" w:color="000000" w:fill="FFFFFF"/>
            <w:hideMark/>
          </w:tcPr>
          <w:p w14:paraId="569132B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B53286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15.6</w:t>
            </w:r>
          </w:p>
        </w:tc>
        <w:tc>
          <w:tcPr>
            <w:tcW w:w="1276" w:type="dxa"/>
            <w:tcBorders>
              <w:top w:val="nil"/>
              <w:left w:val="nil"/>
              <w:bottom w:val="single" w:sz="4" w:space="0" w:color="000000"/>
              <w:right w:val="single" w:sz="4" w:space="0" w:color="000000"/>
            </w:tcBorders>
            <w:shd w:val="clear" w:color="auto" w:fill="auto"/>
            <w:noWrap/>
            <w:vAlign w:val="center"/>
            <w:hideMark/>
          </w:tcPr>
          <w:p w14:paraId="6041479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36530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BF7BA8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09BC5D6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1A5842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7050B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53D3B442"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226DDA1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B54145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Доля детей первой и второй групп здоровья в общей </w:t>
            </w:r>
            <w:proofErr w:type="gramStart"/>
            <w:r w:rsidRPr="00996507">
              <w:rPr>
                <w:rFonts w:ascii="Times New Roman" w:eastAsia="Times New Roman" w:hAnsi="Times New Roman" w:cs="Times New Roman"/>
                <w:color w:val="000000"/>
                <w:sz w:val="20"/>
                <w:szCs w:val="20"/>
                <w:lang w:eastAsia="ru-RU"/>
              </w:rPr>
              <w:t>численности</w:t>
            </w:r>
            <w:proofErr w:type="gramEnd"/>
            <w:r w:rsidRPr="00996507">
              <w:rPr>
                <w:rFonts w:ascii="Times New Roman" w:eastAsia="Times New Roman" w:hAnsi="Times New Roman" w:cs="Times New Roman"/>
                <w:color w:val="000000"/>
                <w:sz w:val="20"/>
                <w:szCs w:val="20"/>
                <w:lang w:eastAsia="ru-RU"/>
              </w:rPr>
              <w:t xml:space="preserve"> обучающихся в муниципальных общеобразовательных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139C6C9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72FE14B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16</w:t>
            </w:r>
          </w:p>
        </w:tc>
        <w:tc>
          <w:tcPr>
            <w:tcW w:w="1276" w:type="dxa"/>
            <w:tcBorders>
              <w:top w:val="nil"/>
              <w:left w:val="nil"/>
              <w:bottom w:val="single" w:sz="4" w:space="0" w:color="000000"/>
              <w:right w:val="single" w:sz="4" w:space="0" w:color="000000"/>
            </w:tcBorders>
            <w:shd w:val="clear" w:color="auto" w:fill="auto"/>
            <w:noWrap/>
            <w:vAlign w:val="center"/>
            <w:hideMark/>
          </w:tcPr>
          <w:p w14:paraId="186CF3F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90,4</w:t>
            </w:r>
          </w:p>
        </w:tc>
        <w:tc>
          <w:tcPr>
            <w:tcW w:w="1275" w:type="dxa"/>
            <w:tcBorders>
              <w:top w:val="nil"/>
              <w:left w:val="nil"/>
              <w:bottom w:val="single" w:sz="4" w:space="0" w:color="000000"/>
              <w:right w:val="single" w:sz="4" w:space="0" w:color="000000"/>
            </w:tcBorders>
            <w:shd w:val="clear" w:color="auto" w:fill="auto"/>
            <w:noWrap/>
            <w:vAlign w:val="center"/>
            <w:hideMark/>
          </w:tcPr>
          <w:p w14:paraId="26D721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88,8</w:t>
            </w:r>
          </w:p>
        </w:tc>
        <w:tc>
          <w:tcPr>
            <w:tcW w:w="1275" w:type="dxa"/>
            <w:tcBorders>
              <w:top w:val="nil"/>
              <w:left w:val="nil"/>
              <w:bottom w:val="single" w:sz="4" w:space="0" w:color="000000"/>
              <w:right w:val="single" w:sz="4" w:space="0" w:color="000000"/>
            </w:tcBorders>
            <w:shd w:val="clear" w:color="auto" w:fill="auto"/>
            <w:noWrap/>
            <w:vAlign w:val="center"/>
            <w:hideMark/>
          </w:tcPr>
          <w:p w14:paraId="261A86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90,8</w:t>
            </w:r>
          </w:p>
        </w:tc>
        <w:tc>
          <w:tcPr>
            <w:tcW w:w="1277" w:type="dxa"/>
            <w:tcBorders>
              <w:top w:val="nil"/>
              <w:left w:val="nil"/>
              <w:bottom w:val="single" w:sz="4" w:space="0" w:color="000000"/>
              <w:right w:val="single" w:sz="4" w:space="0" w:color="000000"/>
            </w:tcBorders>
            <w:shd w:val="clear" w:color="auto" w:fill="auto"/>
            <w:noWrap/>
            <w:vAlign w:val="center"/>
            <w:hideMark/>
          </w:tcPr>
          <w:p w14:paraId="62AE38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92,0</w:t>
            </w:r>
          </w:p>
        </w:tc>
        <w:tc>
          <w:tcPr>
            <w:tcW w:w="1276" w:type="dxa"/>
            <w:tcBorders>
              <w:top w:val="nil"/>
              <w:left w:val="nil"/>
              <w:bottom w:val="single" w:sz="4" w:space="0" w:color="000000"/>
              <w:right w:val="single" w:sz="4" w:space="0" w:color="000000"/>
            </w:tcBorders>
            <w:shd w:val="clear" w:color="auto" w:fill="auto"/>
            <w:noWrap/>
            <w:vAlign w:val="center"/>
            <w:hideMark/>
          </w:tcPr>
          <w:p w14:paraId="50B0C4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92,0</w:t>
            </w:r>
          </w:p>
        </w:tc>
        <w:tc>
          <w:tcPr>
            <w:tcW w:w="1275" w:type="dxa"/>
            <w:tcBorders>
              <w:top w:val="nil"/>
              <w:left w:val="nil"/>
              <w:bottom w:val="single" w:sz="4" w:space="0" w:color="000000"/>
              <w:right w:val="single" w:sz="4" w:space="0" w:color="000000"/>
            </w:tcBorders>
            <w:shd w:val="clear" w:color="auto" w:fill="auto"/>
            <w:noWrap/>
            <w:vAlign w:val="center"/>
            <w:hideMark/>
          </w:tcPr>
          <w:p w14:paraId="285EB1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92,0</w:t>
            </w:r>
          </w:p>
        </w:tc>
      </w:tr>
      <w:tr w:rsidR="00996507" w:rsidRPr="00996507" w14:paraId="495B32B2"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7BB7237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BD85DC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996507">
              <w:rPr>
                <w:rFonts w:ascii="Times New Roman" w:eastAsia="Times New Roman" w:hAnsi="Times New Roman" w:cs="Times New Roman"/>
                <w:color w:val="000000"/>
                <w:sz w:val="20"/>
                <w:szCs w:val="20"/>
                <w:lang w:eastAsia="ru-RU"/>
              </w:rPr>
              <w:t>численности</w:t>
            </w:r>
            <w:proofErr w:type="gramEnd"/>
            <w:r w:rsidRPr="00996507">
              <w:rPr>
                <w:rFonts w:ascii="Times New Roman" w:eastAsia="Times New Roman" w:hAnsi="Times New Roman" w:cs="Times New Roman"/>
                <w:color w:val="000000"/>
                <w:sz w:val="20"/>
                <w:szCs w:val="20"/>
                <w:lang w:eastAsia="ru-RU"/>
              </w:rPr>
              <w:t xml:space="preserve"> обучающихся в муниципальных общеобразовательных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7691809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6FE112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17</w:t>
            </w:r>
          </w:p>
        </w:tc>
        <w:tc>
          <w:tcPr>
            <w:tcW w:w="1276" w:type="dxa"/>
            <w:tcBorders>
              <w:top w:val="nil"/>
              <w:left w:val="nil"/>
              <w:bottom w:val="single" w:sz="4" w:space="0" w:color="000000"/>
              <w:right w:val="single" w:sz="4" w:space="0" w:color="000000"/>
            </w:tcBorders>
            <w:shd w:val="clear" w:color="000000" w:fill="C0C0C0"/>
            <w:noWrap/>
            <w:vAlign w:val="center"/>
            <w:hideMark/>
          </w:tcPr>
          <w:p w14:paraId="1BE4837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42,9</w:t>
            </w:r>
          </w:p>
        </w:tc>
        <w:tc>
          <w:tcPr>
            <w:tcW w:w="1275" w:type="dxa"/>
            <w:tcBorders>
              <w:top w:val="nil"/>
              <w:left w:val="nil"/>
              <w:bottom w:val="single" w:sz="4" w:space="0" w:color="000000"/>
              <w:right w:val="single" w:sz="4" w:space="0" w:color="000000"/>
            </w:tcBorders>
            <w:shd w:val="clear" w:color="000000" w:fill="C0C0C0"/>
            <w:noWrap/>
            <w:vAlign w:val="center"/>
            <w:hideMark/>
          </w:tcPr>
          <w:p w14:paraId="28937F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46,4</w:t>
            </w:r>
          </w:p>
        </w:tc>
        <w:tc>
          <w:tcPr>
            <w:tcW w:w="1275" w:type="dxa"/>
            <w:tcBorders>
              <w:top w:val="nil"/>
              <w:left w:val="nil"/>
              <w:bottom w:val="single" w:sz="4" w:space="0" w:color="000000"/>
              <w:right w:val="single" w:sz="4" w:space="0" w:color="000000"/>
            </w:tcBorders>
            <w:shd w:val="clear" w:color="000000" w:fill="C0C0C0"/>
            <w:noWrap/>
            <w:vAlign w:val="center"/>
            <w:hideMark/>
          </w:tcPr>
          <w:p w14:paraId="3D8CA90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45,7</w:t>
            </w:r>
          </w:p>
        </w:tc>
        <w:tc>
          <w:tcPr>
            <w:tcW w:w="1277" w:type="dxa"/>
            <w:tcBorders>
              <w:top w:val="nil"/>
              <w:left w:val="nil"/>
              <w:bottom w:val="single" w:sz="4" w:space="0" w:color="000000"/>
              <w:right w:val="single" w:sz="4" w:space="0" w:color="000000"/>
            </w:tcBorders>
            <w:shd w:val="clear" w:color="000000" w:fill="C0C0C0"/>
            <w:noWrap/>
            <w:vAlign w:val="center"/>
            <w:hideMark/>
          </w:tcPr>
          <w:p w14:paraId="583E4ED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46,0</w:t>
            </w:r>
          </w:p>
        </w:tc>
        <w:tc>
          <w:tcPr>
            <w:tcW w:w="1276" w:type="dxa"/>
            <w:tcBorders>
              <w:top w:val="nil"/>
              <w:left w:val="nil"/>
              <w:bottom w:val="single" w:sz="4" w:space="0" w:color="000000"/>
              <w:right w:val="single" w:sz="4" w:space="0" w:color="000000"/>
            </w:tcBorders>
            <w:shd w:val="clear" w:color="000000" w:fill="C0C0C0"/>
            <w:noWrap/>
            <w:vAlign w:val="center"/>
            <w:hideMark/>
          </w:tcPr>
          <w:p w14:paraId="6964206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46,0</w:t>
            </w:r>
          </w:p>
        </w:tc>
        <w:tc>
          <w:tcPr>
            <w:tcW w:w="1275" w:type="dxa"/>
            <w:tcBorders>
              <w:top w:val="nil"/>
              <w:left w:val="nil"/>
              <w:bottom w:val="single" w:sz="4" w:space="0" w:color="000000"/>
              <w:right w:val="single" w:sz="4" w:space="0" w:color="000000"/>
            </w:tcBorders>
            <w:shd w:val="clear" w:color="000000" w:fill="C0C0C0"/>
            <w:noWrap/>
            <w:vAlign w:val="center"/>
            <w:hideMark/>
          </w:tcPr>
          <w:p w14:paraId="413C823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46,0</w:t>
            </w:r>
          </w:p>
        </w:tc>
      </w:tr>
      <w:tr w:rsidR="00996507" w:rsidRPr="00996507" w14:paraId="2A34E4EE"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4AB4A68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F65C7B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занимающихся во вторую смену</w:t>
            </w:r>
          </w:p>
        </w:tc>
        <w:tc>
          <w:tcPr>
            <w:tcW w:w="1151" w:type="dxa"/>
            <w:tcBorders>
              <w:top w:val="nil"/>
              <w:left w:val="nil"/>
              <w:bottom w:val="single" w:sz="4" w:space="0" w:color="auto"/>
              <w:right w:val="single" w:sz="4" w:space="0" w:color="auto"/>
            </w:tcBorders>
            <w:shd w:val="clear" w:color="000000" w:fill="FFFFFF"/>
            <w:hideMark/>
          </w:tcPr>
          <w:p w14:paraId="4EAC5BB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546CB2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17.1</w:t>
            </w:r>
          </w:p>
        </w:tc>
        <w:tc>
          <w:tcPr>
            <w:tcW w:w="1276" w:type="dxa"/>
            <w:tcBorders>
              <w:top w:val="nil"/>
              <w:left w:val="nil"/>
              <w:bottom w:val="single" w:sz="4" w:space="0" w:color="000000"/>
              <w:right w:val="single" w:sz="4" w:space="0" w:color="000000"/>
            </w:tcBorders>
            <w:shd w:val="clear" w:color="auto" w:fill="auto"/>
            <w:noWrap/>
            <w:vAlign w:val="center"/>
            <w:hideMark/>
          </w:tcPr>
          <w:p w14:paraId="47EC6AF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4 555</w:t>
            </w:r>
          </w:p>
        </w:tc>
        <w:tc>
          <w:tcPr>
            <w:tcW w:w="1275" w:type="dxa"/>
            <w:tcBorders>
              <w:top w:val="nil"/>
              <w:left w:val="nil"/>
              <w:bottom w:val="single" w:sz="4" w:space="0" w:color="000000"/>
              <w:right w:val="single" w:sz="4" w:space="0" w:color="000000"/>
            </w:tcBorders>
            <w:shd w:val="clear" w:color="auto" w:fill="auto"/>
            <w:noWrap/>
            <w:vAlign w:val="center"/>
            <w:hideMark/>
          </w:tcPr>
          <w:p w14:paraId="53CF55D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5 115</w:t>
            </w:r>
          </w:p>
        </w:tc>
        <w:tc>
          <w:tcPr>
            <w:tcW w:w="1275" w:type="dxa"/>
            <w:tcBorders>
              <w:top w:val="nil"/>
              <w:left w:val="nil"/>
              <w:bottom w:val="single" w:sz="4" w:space="0" w:color="000000"/>
              <w:right w:val="single" w:sz="4" w:space="0" w:color="000000"/>
            </w:tcBorders>
            <w:shd w:val="clear" w:color="auto" w:fill="auto"/>
            <w:noWrap/>
            <w:vAlign w:val="center"/>
            <w:hideMark/>
          </w:tcPr>
          <w:p w14:paraId="541E40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5 340</w:t>
            </w:r>
          </w:p>
        </w:tc>
        <w:tc>
          <w:tcPr>
            <w:tcW w:w="1277" w:type="dxa"/>
            <w:tcBorders>
              <w:top w:val="nil"/>
              <w:left w:val="nil"/>
              <w:bottom w:val="single" w:sz="4" w:space="0" w:color="000000"/>
              <w:right w:val="single" w:sz="4" w:space="0" w:color="000000"/>
            </w:tcBorders>
            <w:shd w:val="clear" w:color="auto" w:fill="auto"/>
            <w:noWrap/>
            <w:vAlign w:val="center"/>
            <w:hideMark/>
          </w:tcPr>
          <w:p w14:paraId="2795A0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5 596</w:t>
            </w:r>
          </w:p>
        </w:tc>
        <w:tc>
          <w:tcPr>
            <w:tcW w:w="1276" w:type="dxa"/>
            <w:tcBorders>
              <w:top w:val="nil"/>
              <w:left w:val="nil"/>
              <w:bottom w:val="single" w:sz="4" w:space="0" w:color="000000"/>
              <w:right w:val="single" w:sz="4" w:space="0" w:color="000000"/>
            </w:tcBorders>
            <w:shd w:val="clear" w:color="auto" w:fill="auto"/>
            <w:noWrap/>
            <w:vAlign w:val="center"/>
            <w:hideMark/>
          </w:tcPr>
          <w:p w14:paraId="32303A7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5 911</w:t>
            </w:r>
          </w:p>
        </w:tc>
        <w:tc>
          <w:tcPr>
            <w:tcW w:w="1275" w:type="dxa"/>
            <w:tcBorders>
              <w:top w:val="nil"/>
              <w:left w:val="nil"/>
              <w:bottom w:val="single" w:sz="4" w:space="0" w:color="000000"/>
              <w:right w:val="single" w:sz="4" w:space="0" w:color="000000"/>
            </w:tcBorders>
            <w:shd w:val="clear" w:color="auto" w:fill="auto"/>
            <w:noWrap/>
            <w:vAlign w:val="center"/>
            <w:hideMark/>
          </w:tcPr>
          <w:p w14:paraId="7F3EE0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6 226</w:t>
            </w:r>
          </w:p>
        </w:tc>
      </w:tr>
      <w:tr w:rsidR="00996507" w:rsidRPr="00996507" w14:paraId="453A3A77"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4A3F59C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B64D10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занимающихся в третью смену</w:t>
            </w:r>
          </w:p>
        </w:tc>
        <w:tc>
          <w:tcPr>
            <w:tcW w:w="1151" w:type="dxa"/>
            <w:tcBorders>
              <w:top w:val="nil"/>
              <w:left w:val="nil"/>
              <w:bottom w:val="single" w:sz="4" w:space="0" w:color="auto"/>
              <w:right w:val="single" w:sz="4" w:space="0" w:color="auto"/>
            </w:tcBorders>
            <w:shd w:val="clear" w:color="000000" w:fill="FFFFFF"/>
            <w:hideMark/>
          </w:tcPr>
          <w:p w14:paraId="65B5002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BD3613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17.2</w:t>
            </w:r>
          </w:p>
        </w:tc>
        <w:tc>
          <w:tcPr>
            <w:tcW w:w="1276" w:type="dxa"/>
            <w:tcBorders>
              <w:top w:val="nil"/>
              <w:left w:val="nil"/>
              <w:bottom w:val="single" w:sz="4" w:space="0" w:color="000000"/>
              <w:right w:val="single" w:sz="4" w:space="0" w:color="000000"/>
            </w:tcBorders>
            <w:shd w:val="clear" w:color="auto" w:fill="auto"/>
            <w:noWrap/>
            <w:vAlign w:val="center"/>
            <w:hideMark/>
          </w:tcPr>
          <w:p w14:paraId="274613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672E44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0AD8B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5CBC88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47CF7B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7DC9E3E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5F592EF" w14:textId="77777777" w:rsidTr="00996507">
        <w:trPr>
          <w:trHeight w:val="300"/>
        </w:trPr>
        <w:tc>
          <w:tcPr>
            <w:tcW w:w="1701" w:type="dxa"/>
            <w:vMerge/>
            <w:tcBorders>
              <w:top w:val="nil"/>
              <w:left w:val="single" w:sz="4" w:space="0" w:color="auto"/>
              <w:bottom w:val="single" w:sz="4" w:space="0" w:color="auto"/>
              <w:right w:val="single" w:sz="4" w:space="0" w:color="auto"/>
            </w:tcBorders>
            <w:vAlign w:val="center"/>
            <w:hideMark/>
          </w:tcPr>
          <w:p w14:paraId="65E1BD9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034672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(всего)</w:t>
            </w:r>
          </w:p>
        </w:tc>
        <w:tc>
          <w:tcPr>
            <w:tcW w:w="1151" w:type="dxa"/>
            <w:tcBorders>
              <w:top w:val="nil"/>
              <w:left w:val="nil"/>
              <w:bottom w:val="single" w:sz="4" w:space="0" w:color="auto"/>
              <w:right w:val="single" w:sz="4" w:space="0" w:color="auto"/>
            </w:tcBorders>
            <w:shd w:val="clear" w:color="000000" w:fill="FFFFFF"/>
            <w:hideMark/>
          </w:tcPr>
          <w:p w14:paraId="1566670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148BA7A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17.3</w:t>
            </w:r>
          </w:p>
        </w:tc>
        <w:tc>
          <w:tcPr>
            <w:tcW w:w="1276" w:type="dxa"/>
            <w:tcBorders>
              <w:top w:val="nil"/>
              <w:left w:val="nil"/>
              <w:bottom w:val="single" w:sz="4" w:space="0" w:color="000000"/>
              <w:right w:val="single" w:sz="4" w:space="0" w:color="000000"/>
            </w:tcBorders>
            <w:shd w:val="clear" w:color="auto" w:fill="auto"/>
            <w:noWrap/>
            <w:vAlign w:val="center"/>
            <w:hideMark/>
          </w:tcPr>
          <w:p w14:paraId="4CAA79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10 622</w:t>
            </w:r>
          </w:p>
        </w:tc>
        <w:tc>
          <w:tcPr>
            <w:tcW w:w="1275" w:type="dxa"/>
            <w:tcBorders>
              <w:top w:val="nil"/>
              <w:left w:val="nil"/>
              <w:bottom w:val="single" w:sz="4" w:space="0" w:color="000000"/>
              <w:right w:val="single" w:sz="4" w:space="0" w:color="000000"/>
            </w:tcBorders>
            <w:shd w:val="clear" w:color="auto" w:fill="auto"/>
            <w:noWrap/>
            <w:vAlign w:val="center"/>
            <w:hideMark/>
          </w:tcPr>
          <w:p w14:paraId="4300E4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11 025</w:t>
            </w:r>
          </w:p>
        </w:tc>
        <w:tc>
          <w:tcPr>
            <w:tcW w:w="1275" w:type="dxa"/>
            <w:tcBorders>
              <w:top w:val="nil"/>
              <w:left w:val="nil"/>
              <w:bottom w:val="single" w:sz="4" w:space="0" w:color="000000"/>
              <w:right w:val="single" w:sz="4" w:space="0" w:color="000000"/>
            </w:tcBorders>
            <w:shd w:val="clear" w:color="auto" w:fill="auto"/>
            <w:noWrap/>
            <w:vAlign w:val="center"/>
            <w:hideMark/>
          </w:tcPr>
          <w:p w14:paraId="145CFBE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11 679</w:t>
            </w:r>
          </w:p>
        </w:tc>
        <w:tc>
          <w:tcPr>
            <w:tcW w:w="1277" w:type="dxa"/>
            <w:tcBorders>
              <w:top w:val="nil"/>
              <w:left w:val="nil"/>
              <w:bottom w:val="single" w:sz="4" w:space="0" w:color="000000"/>
              <w:right w:val="single" w:sz="4" w:space="0" w:color="000000"/>
            </w:tcBorders>
            <w:shd w:val="clear" w:color="auto" w:fill="auto"/>
            <w:noWrap/>
            <w:vAlign w:val="center"/>
            <w:hideMark/>
          </w:tcPr>
          <w:p w14:paraId="4E387F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12 165</w:t>
            </w:r>
          </w:p>
        </w:tc>
        <w:tc>
          <w:tcPr>
            <w:tcW w:w="1276" w:type="dxa"/>
            <w:tcBorders>
              <w:top w:val="nil"/>
              <w:left w:val="nil"/>
              <w:bottom w:val="single" w:sz="4" w:space="0" w:color="000000"/>
              <w:right w:val="single" w:sz="4" w:space="0" w:color="000000"/>
            </w:tcBorders>
            <w:shd w:val="clear" w:color="auto" w:fill="auto"/>
            <w:noWrap/>
            <w:vAlign w:val="center"/>
            <w:hideMark/>
          </w:tcPr>
          <w:p w14:paraId="687D160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12 850</w:t>
            </w:r>
          </w:p>
        </w:tc>
        <w:tc>
          <w:tcPr>
            <w:tcW w:w="1275" w:type="dxa"/>
            <w:tcBorders>
              <w:top w:val="nil"/>
              <w:left w:val="nil"/>
              <w:bottom w:val="single" w:sz="4" w:space="0" w:color="000000"/>
              <w:right w:val="single" w:sz="4" w:space="0" w:color="000000"/>
            </w:tcBorders>
            <w:shd w:val="clear" w:color="auto" w:fill="auto"/>
            <w:noWrap/>
            <w:vAlign w:val="center"/>
            <w:hideMark/>
          </w:tcPr>
          <w:p w14:paraId="21C38C9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13 535</w:t>
            </w:r>
          </w:p>
        </w:tc>
      </w:tr>
      <w:tr w:rsidR="00996507" w:rsidRPr="00996507" w14:paraId="11774395"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1912D45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26998B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51" w:type="dxa"/>
            <w:tcBorders>
              <w:top w:val="nil"/>
              <w:left w:val="nil"/>
              <w:bottom w:val="single" w:sz="4" w:space="0" w:color="auto"/>
              <w:right w:val="single" w:sz="4" w:space="0" w:color="auto"/>
            </w:tcBorders>
            <w:shd w:val="clear" w:color="000000" w:fill="FFFFFF"/>
            <w:hideMark/>
          </w:tcPr>
          <w:p w14:paraId="2814E01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43E618B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000000"/>
              <w:right w:val="single" w:sz="4" w:space="0" w:color="000000"/>
            </w:tcBorders>
            <w:shd w:val="clear" w:color="000000" w:fill="C0C0C0"/>
            <w:noWrap/>
            <w:vAlign w:val="center"/>
            <w:hideMark/>
          </w:tcPr>
          <w:p w14:paraId="6D4E279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120,3</w:t>
            </w:r>
          </w:p>
        </w:tc>
        <w:tc>
          <w:tcPr>
            <w:tcW w:w="1275" w:type="dxa"/>
            <w:tcBorders>
              <w:top w:val="nil"/>
              <w:left w:val="nil"/>
              <w:bottom w:val="single" w:sz="4" w:space="0" w:color="000000"/>
              <w:right w:val="single" w:sz="4" w:space="0" w:color="000000"/>
            </w:tcBorders>
            <w:shd w:val="clear" w:color="000000" w:fill="C0C0C0"/>
            <w:noWrap/>
            <w:vAlign w:val="center"/>
            <w:hideMark/>
          </w:tcPr>
          <w:p w14:paraId="6A51141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120,1</w:t>
            </w:r>
          </w:p>
        </w:tc>
        <w:tc>
          <w:tcPr>
            <w:tcW w:w="1275" w:type="dxa"/>
            <w:tcBorders>
              <w:top w:val="nil"/>
              <w:left w:val="nil"/>
              <w:bottom w:val="single" w:sz="4" w:space="0" w:color="000000"/>
              <w:right w:val="single" w:sz="4" w:space="0" w:color="000000"/>
            </w:tcBorders>
            <w:shd w:val="clear" w:color="000000" w:fill="C0C0C0"/>
            <w:noWrap/>
            <w:vAlign w:val="center"/>
            <w:hideMark/>
          </w:tcPr>
          <w:p w14:paraId="437D4A9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118,7</w:t>
            </w:r>
          </w:p>
        </w:tc>
        <w:tc>
          <w:tcPr>
            <w:tcW w:w="1277" w:type="dxa"/>
            <w:tcBorders>
              <w:top w:val="nil"/>
              <w:left w:val="nil"/>
              <w:bottom w:val="single" w:sz="4" w:space="0" w:color="000000"/>
              <w:right w:val="single" w:sz="4" w:space="0" w:color="000000"/>
            </w:tcBorders>
            <w:shd w:val="clear" w:color="000000" w:fill="C0C0C0"/>
            <w:noWrap/>
            <w:vAlign w:val="center"/>
            <w:hideMark/>
          </w:tcPr>
          <w:p w14:paraId="38A45E1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119,9</w:t>
            </w:r>
          </w:p>
        </w:tc>
        <w:tc>
          <w:tcPr>
            <w:tcW w:w="1276" w:type="dxa"/>
            <w:tcBorders>
              <w:top w:val="nil"/>
              <w:left w:val="nil"/>
              <w:bottom w:val="single" w:sz="4" w:space="0" w:color="000000"/>
              <w:right w:val="single" w:sz="4" w:space="0" w:color="000000"/>
            </w:tcBorders>
            <w:shd w:val="clear" w:color="000000" w:fill="C0C0C0"/>
            <w:noWrap/>
            <w:vAlign w:val="center"/>
            <w:hideMark/>
          </w:tcPr>
          <w:p w14:paraId="14B9CE1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102,2</w:t>
            </w:r>
          </w:p>
        </w:tc>
        <w:tc>
          <w:tcPr>
            <w:tcW w:w="1275" w:type="dxa"/>
            <w:tcBorders>
              <w:top w:val="nil"/>
              <w:left w:val="nil"/>
              <w:bottom w:val="single" w:sz="4" w:space="0" w:color="000000"/>
              <w:right w:val="single" w:sz="4" w:space="0" w:color="000000"/>
            </w:tcBorders>
            <w:shd w:val="clear" w:color="000000" w:fill="C0C0C0"/>
            <w:noWrap/>
            <w:vAlign w:val="center"/>
            <w:hideMark/>
          </w:tcPr>
          <w:p w14:paraId="372495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93,7</w:t>
            </w:r>
          </w:p>
        </w:tc>
      </w:tr>
      <w:tr w:rsidR="00996507" w:rsidRPr="00996507" w14:paraId="2DA68473"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7686A8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BCB3D6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Расходы бюджета муниципального образования на общее образование</w:t>
            </w:r>
          </w:p>
        </w:tc>
        <w:tc>
          <w:tcPr>
            <w:tcW w:w="1151" w:type="dxa"/>
            <w:tcBorders>
              <w:top w:val="nil"/>
              <w:left w:val="nil"/>
              <w:bottom w:val="single" w:sz="4" w:space="0" w:color="auto"/>
              <w:right w:val="single" w:sz="4" w:space="0" w:color="auto"/>
            </w:tcBorders>
            <w:shd w:val="clear" w:color="000000" w:fill="FFFFFF"/>
            <w:hideMark/>
          </w:tcPr>
          <w:p w14:paraId="6F00083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6F46FCD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18.1</w:t>
            </w:r>
          </w:p>
        </w:tc>
        <w:tc>
          <w:tcPr>
            <w:tcW w:w="1276" w:type="dxa"/>
            <w:tcBorders>
              <w:top w:val="nil"/>
              <w:left w:val="nil"/>
              <w:bottom w:val="single" w:sz="4" w:space="0" w:color="000000"/>
              <w:right w:val="single" w:sz="4" w:space="0" w:color="000000"/>
            </w:tcBorders>
            <w:shd w:val="clear" w:color="auto" w:fill="auto"/>
            <w:noWrap/>
            <w:vAlign w:val="center"/>
            <w:hideMark/>
          </w:tcPr>
          <w:p w14:paraId="115FABF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1223 644,0</w:t>
            </w:r>
          </w:p>
        </w:tc>
        <w:tc>
          <w:tcPr>
            <w:tcW w:w="1275" w:type="dxa"/>
            <w:tcBorders>
              <w:top w:val="nil"/>
              <w:left w:val="nil"/>
              <w:bottom w:val="single" w:sz="4" w:space="0" w:color="000000"/>
              <w:right w:val="single" w:sz="4" w:space="0" w:color="000000"/>
            </w:tcBorders>
            <w:shd w:val="clear" w:color="auto" w:fill="auto"/>
            <w:noWrap/>
            <w:vAlign w:val="center"/>
            <w:hideMark/>
          </w:tcPr>
          <w:p w14:paraId="1E55CC9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1292 131,0</w:t>
            </w:r>
          </w:p>
        </w:tc>
        <w:tc>
          <w:tcPr>
            <w:tcW w:w="1275" w:type="dxa"/>
            <w:tcBorders>
              <w:top w:val="nil"/>
              <w:left w:val="nil"/>
              <w:bottom w:val="single" w:sz="4" w:space="0" w:color="000000"/>
              <w:right w:val="single" w:sz="4" w:space="0" w:color="000000"/>
            </w:tcBorders>
            <w:shd w:val="clear" w:color="auto" w:fill="auto"/>
            <w:noWrap/>
            <w:vAlign w:val="center"/>
            <w:hideMark/>
          </w:tcPr>
          <w:p w14:paraId="5C95D7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1342 175,3</w:t>
            </w:r>
          </w:p>
        </w:tc>
        <w:tc>
          <w:tcPr>
            <w:tcW w:w="1277" w:type="dxa"/>
            <w:tcBorders>
              <w:top w:val="nil"/>
              <w:left w:val="nil"/>
              <w:bottom w:val="single" w:sz="4" w:space="0" w:color="000000"/>
              <w:right w:val="single" w:sz="4" w:space="0" w:color="000000"/>
            </w:tcBorders>
            <w:shd w:val="clear" w:color="auto" w:fill="auto"/>
            <w:noWrap/>
            <w:vAlign w:val="center"/>
            <w:hideMark/>
          </w:tcPr>
          <w:p w14:paraId="7B80E5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1419 867,5</w:t>
            </w:r>
          </w:p>
        </w:tc>
        <w:tc>
          <w:tcPr>
            <w:tcW w:w="1276" w:type="dxa"/>
            <w:tcBorders>
              <w:top w:val="nil"/>
              <w:left w:val="nil"/>
              <w:bottom w:val="single" w:sz="4" w:space="0" w:color="000000"/>
              <w:right w:val="single" w:sz="4" w:space="0" w:color="000000"/>
            </w:tcBorders>
            <w:shd w:val="clear" w:color="auto" w:fill="auto"/>
            <w:noWrap/>
            <w:vAlign w:val="center"/>
            <w:hideMark/>
          </w:tcPr>
          <w:p w14:paraId="1B03ED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1266 407,6</w:t>
            </w:r>
          </w:p>
        </w:tc>
        <w:tc>
          <w:tcPr>
            <w:tcW w:w="1275" w:type="dxa"/>
            <w:tcBorders>
              <w:top w:val="nil"/>
              <w:left w:val="nil"/>
              <w:bottom w:val="single" w:sz="4" w:space="0" w:color="000000"/>
              <w:right w:val="single" w:sz="4" w:space="0" w:color="000000"/>
            </w:tcBorders>
            <w:shd w:val="clear" w:color="auto" w:fill="auto"/>
            <w:noWrap/>
            <w:vAlign w:val="center"/>
            <w:hideMark/>
          </w:tcPr>
          <w:p w14:paraId="00B4A8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1224 868,0</w:t>
            </w:r>
          </w:p>
        </w:tc>
      </w:tr>
      <w:tr w:rsidR="00996507" w:rsidRPr="00996507" w14:paraId="51B7C9AB" w14:textId="77777777" w:rsidTr="00996507">
        <w:trPr>
          <w:trHeight w:val="300"/>
        </w:trPr>
        <w:tc>
          <w:tcPr>
            <w:tcW w:w="1701" w:type="dxa"/>
            <w:vMerge/>
            <w:tcBorders>
              <w:top w:val="nil"/>
              <w:left w:val="single" w:sz="4" w:space="0" w:color="auto"/>
              <w:bottom w:val="single" w:sz="4" w:space="0" w:color="auto"/>
              <w:right w:val="single" w:sz="4" w:space="0" w:color="auto"/>
            </w:tcBorders>
            <w:vAlign w:val="center"/>
            <w:hideMark/>
          </w:tcPr>
          <w:p w14:paraId="6833FF4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DD5216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Среднегодовая численность обучающихся</w:t>
            </w:r>
          </w:p>
        </w:tc>
        <w:tc>
          <w:tcPr>
            <w:tcW w:w="1151" w:type="dxa"/>
            <w:tcBorders>
              <w:top w:val="nil"/>
              <w:left w:val="nil"/>
              <w:bottom w:val="single" w:sz="4" w:space="0" w:color="auto"/>
              <w:right w:val="single" w:sz="4" w:space="0" w:color="auto"/>
            </w:tcBorders>
            <w:shd w:val="clear" w:color="000000" w:fill="FFFFFF"/>
            <w:hideMark/>
          </w:tcPr>
          <w:p w14:paraId="646FE73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34058DD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18.2</w:t>
            </w:r>
          </w:p>
        </w:tc>
        <w:tc>
          <w:tcPr>
            <w:tcW w:w="1276" w:type="dxa"/>
            <w:tcBorders>
              <w:top w:val="nil"/>
              <w:left w:val="nil"/>
              <w:bottom w:val="single" w:sz="4" w:space="0" w:color="000000"/>
              <w:right w:val="single" w:sz="4" w:space="0" w:color="000000"/>
            </w:tcBorders>
            <w:shd w:val="clear" w:color="auto" w:fill="auto"/>
            <w:noWrap/>
            <w:vAlign w:val="center"/>
            <w:hideMark/>
          </w:tcPr>
          <w:p w14:paraId="541FED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10 172</w:t>
            </w:r>
          </w:p>
        </w:tc>
        <w:tc>
          <w:tcPr>
            <w:tcW w:w="1275" w:type="dxa"/>
            <w:tcBorders>
              <w:top w:val="nil"/>
              <w:left w:val="nil"/>
              <w:bottom w:val="single" w:sz="4" w:space="0" w:color="000000"/>
              <w:right w:val="single" w:sz="4" w:space="0" w:color="000000"/>
            </w:tcBorders>
            <w:shd w:val="clear" w:color="auto" w:fill="auto"/>
            <w:noWrap/>
            <w:vAlign w:val="center"/>
            <w:hideMark/>
          </w:tcPr>
          <w:p w14:paraId="67F41E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10 756</w:t>
            </w:r>
          </w:p>
        </w:tc>
        <w:tc>
          <w:tcPr>
            <w:tcW w:w="1275" w:type="dxa"/>
            <w:tcBorders>
              <w:top w:val="nil"/>
              <w:left w:val="nil"/>
              <w:bottom w:val="single" w:sz="4" w:space="0" w:color="000000"/>
              <w:right w:val="single" w:sz="4" w:space="0" w:color="000000"/>
            </w:tcBorders>
            <w:shd w:val="clear" w:color="auto" w:fill="auto"/>
            <w:noWrap/>
            <w:vAlign w:val="center"/>
            <w:hideMark/>
          </w:tcPr>
          <w:p w14:paraId="1B404D3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11 307</w:t>
            </w:r>
          </w:p>
        </w:tc>
        <w:tc>
          <w:tcPr>
            <w:tcW w:w="1277" w:type="dxa"/>
            <w:tcBorders>
              <w:top w:val="nil"/>
              <w:left w:val="nil"/>
              <w:bottom w:val="single" w:sz="4" w:space="0" w:color="000000"/>
              <w:right w:val="single" w:sz="4" w:space="0" w:color="000000"/>
            </w:tcBorders>
            <w:shd w:val="clear" w:color="auto" w:fill="auto"/>
            <w:noWrap/>
            <w:vAlign w:val="center"/>
            <w:hideMark/>
          </w:tcPr>
          <w:p w14:paraId="0CDDDB2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11 841</w:t>
            </w:r>
          </w:p>
        </w:tc>
        <w:tc>
          <w:tcPr>
            <w:tcW w:w="1276" w:type="dxa"/>
            <w:tcBorders>
              <w:top w:val="nil"/>
              <w:left w:val="nil"/>
              <w:bottom w:val="single" w:sz="4" w:space="0" w:color="000000"/>
              <w:right w:val="single" w:sz="4" w:space="0" w:color="000000"/>
            </w:tcBorders>
            <w:shd w:val="clear" w:color="auto" w:fill="auto"/>
            <w:noWrap/>
            <w:vAlign w:val="center"/>
            <w:hideMark/>
          </w:tcPr>
          <w:p w14:paraId="362CD07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12 393</w:t>
            </w:r>
          </w:p>
        </w:tc>
        <w:tc>
          <w:tcPr>
            <w:tcW w:w="1275" w:type="dxa"/>
            <w:tcBorders>
              <w:top w:val="nil"/>
              <w:left w:val="nil"/>
              <w:bottom w:val="single" w:sz="4" w:space="0" w:color="000000"/>
              <w:right w:val="single" w:sz="4" w:space="0" w:color="000000"/>
            </w:tcBorders>
            <w:shd w:val="clear" w:color="auto" w:fill="auto"/>
            <w:noWrap/>
            <w:vAlign w:val="center"/>
            <w:hideMark/>
          </w:tcPr>
          <w:p w14:paraId="70463D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13 078</w:t>
            </w:r>
          </w:p>
        </w:tc>
      </w:tr>
      <w:tr w:rsidR="00996507" w:rsidRPr="00996507" w14:paraId="40701CC2" w14:textId="77777777" w:rsidTr="00996507">
        <w:trPr>
          <w:trHeight w:val="1785"/>
        </w:trPr>
        <w:tc>
          <w:tcPr>
            <w:tcW w:w="1701" w:type="dxa"/>
            <w:vMerge/>
            <w:tcBorders>
              <w:top w:val="nil"/>
              <w:left w:val="single" w:sz="4" w:space="0" w:color="auto"/>
              <w:bottom w:val="single" w:sz="4" w:space="0" w:color="auto"/>
              <w:right w:val="single" w:sz="4" w:space="0" w:color="auto"/>
            </w:tcBorders>
            <w:vAlign w:val="center"/>
            <w:hideMark/>
          </w:tcPr>
          <w:p w14:paraId="12C0802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E0172F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1151" w:type="dxa"/>
            <w:tcBorders>
              <w:top w:val="nil"/>
              <w:left w:val="nil"/>
              <w:bottom w:val="single" w:sz="4" w:space="0" w:color="auto"/>
              <w:right w:val="single" w:sz="4" w:space="0" w:color="auto"/>
            </w:tcBorders>
            <w:shd w:val="clear" w:color="000000" w:fill="FFFFFF"/>
            <w:hideMark/>
          </w:tcPr>
          <w:p w14:paraId="18A4784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78A6E9B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19</w:t>
            </w:r>
          </w:p>
        </w:tc>
        <w:tc>
          <w:tcPr>
            <w:tcW w:w="1276" w:type="dxa"/>
            <w:tcBorders>
              <w:top w:val="nil"/>
              <w:left w:val="nil"/>
              <w:bottom w:val="single" w:sz="4" w:space="0" w:color="000000"/>
              <w:right w:val="single" w:sz="4" w:space="0" w:color="000000"/>
            </w:tcBorders>
            <w:shd w:val="clear" w:color="000000" w:fill="C0C0C0"/>
            <w:noWrap/>
            <w:vAlign w:val="center"/>
            <w:hideMark/>
          </w:tcPr>
          <w:p w14:paraId="3661454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104,6</w:t>
            </w:r>
          </w:p>
        </w:tc>
        <w:tc>
          <w:tcPr>
            <w:tcW w:w="1275" w:type="dxa"/>
            <w:tcBorders>
              <w:top w:val="nil"/>
              <w:left w:val="nil"/>
              <w:bottom w:val="single" w:sz="4" w:space="0" w:color="000000"/>
              <w:right w:val="single" w:sz="4" w:space="0" w:color="000000"/>
            </w:tcBorders>
            <w:shd w:val="clear" w:color="000000" w:fill="C0C0C0"/>
            <w:noWrap/>
            <w:vAlign w:val="center"/>
            <w:hideMark/>
          </w:tcPr>
          <w:p w14:paraId="4CACBF2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92,8</w:t>
            </w:r>
          </w:p>
        </w:tc>
        <w:tc>
          <w:tcPr>
            <w:tcW w:w="1275" w:type="dxa"/>
            <w:tcBorders>
              <w:top w:val="nil"/>
              <w:left w:val="nil"/>
              <w:bottom w:val="single" w:sz="4" w:space="0" w:color="000000"/>
              <w:right w:val="single" w:sz="4" w:space="0" w:color="000000"/>
            </w:tcBorders>
            <w:shd w:val="clear" w:color="000000" w:fill="C0C0C0"/>
            <w:noWrap/>
            <w:vAlign w:val="center"/>
            <w:hideMark/>
          </w:tcPr>
          <w:p w14:paraId="1A2DA0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94,8</w:t>
            </w:r>
          </w:p>
        </w:tc>
        <w:tc>
          <w:tcPr>
            <w:tcW w:w="1277" w:type="dxa"/>
            <w:tcBorders>
              <w:top w:val="nil"/>
              <w:left w:val="nil"/>
              <w:bottom w:val="single" w:sz="4" w:space="0" w:color="000000"/>
              <w:right w:val="single" w:sz="4" w:space="0" w:color="000000"/>
            </w:tcBorders>
            <w:shd w:val="clear" w:color="000000" w:fill="C0C0C0"/>
            <w:noWrap/>
            <w:vAlign w:val="center"/>
            <w:hideMark/>
          </w:tcPr>
          <w:p w14:paraId="638427B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95,0</w:t>
            </w:r>
          </w:p>
        </w:tc>
        <w:tc>
          <w:tcPr>
            <w:tcW w:w="1276" w:type="dxa"/>
            <w:tcBorders>
              <w:top w:val="nil"/>
              <w:left w:val="nil"/>
              <w:bottom w:val="single" w:sz="4" w:space="0" w:color="000000"/>
              <w:right w:val="single" w:sz="4" w:space="0" w:color="000000"/>
            </w:tcBorders>
            <w:shd w:val="clear" w:color="000000" w:fill="C0C0C0"/>
            <w:noWrap/>
            <w:vAlign w:val="center"/>
            <w:hideMark/>
          </w:tcPr>
          <w:p w14:paraId="5FF4CCC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95,0</w:t>
            </w:r>
          </w:p>
        </w:tc>
        <w:tc>
          <w:tcPr>
            <w:tcW w:w="1275" w:type="dxa"/>
            <w:tcBorders>
              <w:top w:val="nil"/>
              <w:left w:val="nil"/>
              <w:bottom w:val="single" w:sz="4" w:space="0" w:color="000000"/>
              <w:right w:val="single" w:sz="4" w:space="0" w:color="000000"/>
            </w:tcBorders>
            <w:shd w:val="clear" w:color="000000" w:fill="C0C0C0"/>
            <w:noWrap/>
            <w:vAlign w:val="center"/>
            <w:hideMark/>
          </w:tcPr>
          <w:p w14:paraId="4D61EA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95,0</w:t>
            </w:r>
          </w:p>
        </w:tc>
      </w:tr>
      <w:tr w:rsidR="00996507" w:rsidRPr="00996507" w14:paraId="3BD9885D"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280C09C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0E0062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w:t>
            </w:r>
          </w:p>
        </w:tc>
        <w:tc>
          <w:tcPr>
            <w:tcW w:w="1151" w:type="dxa"/>
            <w:tcBorders>
              <w:top w:val="nil"/>
              <w:left w:val="nil"/>
              <w:bottom w:val="single" w:sz="4" w:space="0" w:color="auto"/>
              <w:right w:val="single" w:sz="4" w:space="0" w:color="auto"/>
            </w:tcBorders>
            <w:shd w:val="clear" w:color="000000" w:fill="FFFFFF"/>
            <w:hideMark/>
          </w:tcPr>
          <w:p w14:paraId="5D5A32A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85735E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19.1</w:t>
            </w:r>
          </w:p>
        </w:tc>
        <w:tc>
          <w:tcPr>
            <w:tcW w:w="1276" w:type="dxa"/>
            <w:tcBorders>
              <w:top w:val="nil"/>
              <w:left w:val="nil"/>
              <w:bottom w:val="single" w:sz="4" w:space="0" w:color="000000"/>
              <w:right w:val="single" w:sz="4" w:space="0" w:color="000000"/>
            </w:tcBorders>
            <w:shd w:val="clear" w:color="auto" w:fill="auto"/>
            <w:noWrap/>
            <w:vAlign w:val="center"/>
            <w:hideMark/>
          </w:tcPr>
          <w:p w14:paraId="74BC6A1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15 665</w:t>
            </w:r>
          </w:p>
        </w:tc>
        <w:tc>
          <w:tcPr>
            <w:tcW w:w="1275" w:type="dxa"/>
            <w:tcBorders>
              <w:top w:val="nil"/>
              <w:left w:val="nil"/>
              <w:bottom w:val="single" w:sz="4" w:space="0" w:color="000000"/>
              <w:right w:val="single" w:sz="4" w:space="0" w:color="000000"/>
            </w:tcBorders>
            <w:shd w:val="clear" w:color="auto" w:fill="auto"/>
            <w:noWrap/>
            <w:vAlign w:val="center"/>
            <w:hideMark/>
          </w:tcPr>
          <w:p w14:paraId="7B3FAA0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14 002</w:t>
            </w:r>
          </w:p>
        </w:tc>
        <w:tc>
          <w:tcPr>
            <w:tcW w:w="1275" w:type="dxa"/>
            <w:tcBorders>
              <w:top w:val="nil"/>
              <w:left w:val="nil"/>
              <w:bottom w:val="single" w:sz="4" w:space="0" w:color="000000"/>
              <w:right w:val="single" w:sz="4" w:space="0" w:color="000000"/>
            </w:tcBorders>
            <w:shd w:val="clear" w:color="auto" w:fill="auto"/>
            <w:noWrap/>
            <w:vAlign w:val="center"/>
            <w:hideMark/>
          </w:tcPr>
          <w:p w14:paraId="546AEA7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13 901</w:t>
            </w:r>
          </w:p>
        </w:tc>
        <w:tc>
          <w:tcPr>
            <w:tcW w:w="1277" w:type="dxa"/>
            <w:tcBorders>
              <w:top w:val="nil"/>
              <w:left w:val="nil"/>
              <w:bottom w:val="single" w:sz="4" w:space="0" w:color="000000"/>
              <w:right w:val="single" w:sz="4" w:space="0" w:color="000000"/>
            </w:tcBorders>
            <w:shd w:val="clear" w:color="auto" w:fill="auto"/>
            <w:noWrap/>
            <w:vAlign w:val="center"/>
            <w:hideMark/>
          </w:tcPr>
          <w:p w14:paraId="24B1D74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14 136</w:t>
            </w:r>
          </w:p>
        </w:tc>
        <w:tc>
          <w:tcPr>
            <w:tcW w:w="1276" w:type="dxa"/>
            <w:tcBorders>
              <w:top w:val="nil"/>
              <w:left w:val="nil"/>
              <w:bottom w:val="single" w:sz="4" w:space="0" w:color="000000"/>
              <w:right w:val="single" w:sz="4" w:space="0" w:color="000000"/>
            </w:tcBorders>
            <w:shd w:val="clear" w:color="auto" w:fill="auto"/>
            <w:noWrap/>
            <w:vAlign w:val="center"/>
            <w:hideMark/>
          </w:tcPr>
          <w:p w14:paraId="559CCF4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14 149</w:t>
            </w:r>
          </w:p>
        </w:tc>
        <w:tc>
          <w:tcPr>
            <w:tcW w:w="1275" w:type="dxa"/>
            <w:tcBorders>
              <w:top w:val="nil"/>
              <w:left w:val="nil"/>
              <w:bottom w:val="single" w:sz="4" w:space="0" w:color="000000"/>
              <w:right w:val="single" w:sz="4" w:space="0" w:color="000000"/>
            </w:tcBorders>
            <w:shd w:val="clear" w:color="auto" w:fill="auto"/>
            <w:noWrap/>
            <w:vAlign w:val="center"/>
            <w:hideMark/>
          </w:tcPr>
          <w:p w14:paraId="7BC7D23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14 162</w:t>
            </w:r>
          </w:p>
        </w:tc>
      </w:tr>
      <w:tr w:rsidR="00996507" w:rsidRPr="00996507" w14:paraId="284083CF"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3512A9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BDB64F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детей в возрасте с 5 до 18 лет в городском округе (муниципальном районе)</w:t>
            </w:r>
          </w:p>
        </w:tc>
        <w:tc>
          <w:tcPr>
            <w:tcW w:w="1151" w:type="dxa"/>
            <w:tcBorders>
              <w:top w:val="nil"/>
              <w:left w:val="nil"/>
              <w:bottom w:val="single" w:sz="4" w:space="0" w:color="auto"/>
              <w:right w:val="single" w:sz="4" w:space="0" w:color="auto"/>
            </w:tcBorders>
            <w:shd w:val="clear" w:color="000000" w:fill="FFFFFF"/>
            <w:hideMark/>
          </w:tcPr>
          <w:p w14:paraId="2ABCC1C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662C0B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19.2</w:t>
            </w:r>
          </w:p>
        </w:tc>
        <w:tc>
          <w:tcPr>
            <w:tcW w:w="1276" w:type="dxa"/>
            <w:tcBorders>
              <w:top w:val="nil"/>
              <w:left w:val="nil"/>
              <w:bottom w:val="single" w:sz="4" w:space="0" w:color="000000"/>
              <w:right w:val="single" w:sz="4" w:space="0" w:color="000000"/>
            </w:tcBorders>
            <w:shd w:val="clear" w:color="auto" w:fill="auto"/>
            <w:noWrap/>
            <w:vAlign w:val="center"/>
            <w:hideMark/>
          </w:tcPr>
          <w:p w14:paraId="3588FD8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14 969</w:t>
            </w:r>
          </w:p>
        </w:tc>
        <w:tc>
          <w:tcPr>
            <w:tcW w:w="1275" w:type="dxa"/>
            <w:tcBorders>
              <w:top w:val="nil"/>
              <w:left w:val="nil"/>
              <w:bottom w:val="single" w:sz="4" w:space="0" w:color="000000"/>
              <w:right w:val="single" w:sz="4" w:space="0" w:color="000000"/>
            </w:tcBorders>
            <w:shd w:val="clear" w:color="auto" w:fill="auto"/>
            <w:noWrap/>
            <w:vAlign w:val="center"/>
            <w:hideMark/>
          </w:tcPr>
          <w:p w14:paraId="63723E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15 089</w:t>
            </w:r>
          </w:p>
        </w:tc>
        <w:tc>
          <w:tcPr>
            <w:tcW w:w="1275" w:type="dxa"/>
            <w:tcBorders>
              <w:top w:val="nil"/>
              <w:left w:val="nil"/>
              <w:bottom w:val="single" w:sz="4" w:space="0" w:color="000000"/>
              <w:right w:val="single" w:sz="4" w:space="0" w:color="000000"/>
            </w:tcBorders>
            <w:shd w:val="clear" w:color="auto" w:fill="auto"/>
            <w:noWrap/>
            <w:vAlign w:val="center"/>
            <w:hideMark/>
          </w:tcPr>
          <w:p w14:paraId="30E0A2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14 671</w:t>
            </w:r>
          </w:p>
        </w:tc>
        <w:tc>
          <w:tcPr>
            <w:tcW w:w="1277" w:type="dxa"/>
            <w:tcBorders>
              <w:top w:val="nil"/>
              <w:left w:val="nil"/>
              <w:bottom w:val="single" w:sz="4" w:space="0" w:color="000000"/>
              <w:right w:val="single" w:sz="4" w:space="0" w:color="000000"/>
            </w:tcBorders>
            <w:shd w:val="clear" w:color="auto" w:fill="auto"/>
            <w:noWrap/>
            <w:vAlign w:val="center"/>
            <w:hideMark/>
          </w:tcPr>
          <w:p w14:paraId="34C8F8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14 880</w:t>
            </w:r>
          </w:p>
        </w:tc>
        <w:tc>
          <w:tcPr>
            <w:tcW w:w="1276" w:type="dxa"/>
            <w:tcBorders>
              <w:top w:val="nil"/>
              <w:left w:val="nil"/>
              <w:bottom w:val="single" w:sz="4" w:space="0" w:color="000000"/>
              <w:right w:val="single" w:sz="4" w:space="0" w:color="000000"/>
            </w:tcBorders>
            <w:shd w:val="clear" w:color="auto" w:fill="auto"/>
            <w:noWrap/>
            <w:vAlign w:val="center"/>
            <w:hideMark/>
          </w:tcPr>
          <w:p w14:paraId="1CE3DBF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14 894</w:t>
            </w:r>
          </w:p>
        </w:tc>
        <w:tc>
          <w:tcPr>
            <w:tcW w:w="1275" w:type="dxa"/>
            <w:tcBorders>
              <w:top w:val="nil"/>
              <w:left w:val="nil"/>
              <w:bottom w:val="single" w:sz="4" w:space="0" w:color="000000"/>
              <w:right w:val="single" w:sz="4" w:space="0" w:color="000000"/>
            </w:tcBorders>
            <w:shd w:val="clear" w:color="auto" w:fill="auto"/>
            <w:noWrap/>
            <w:vAlign w:val="center"/>
            <w:hideMark/>
          </w:tcPr>
          <w:p w14:paraId="6C7A3B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14 907</w:t>
            </w:r>
          </w:p>
        </w:tc>
      </w:tr>
      <w:tr w:rsidR="00996507" w:rsidRPr="00996507" w14:paraId="37FC79F7" w14:textId="77777777" w:rsidTr="00996507">
        <w:trPr>
          <w:trHeight w:val="76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4E0D697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Культура</w:t>
            </w:r>
          </w:p>
        </w:tc>
        <w:tc>
          <w:tcPr>
            <w:tcW w:w="4378" w:type="dxa"/>
            <w:tcBorders>
              <w:top w:val="nil"/>
              <w:left w:val="nil"/>
              <w:bottom w:val="single" w:sz="4" w:space="0" w:color="auto"/>
              <w:right w:val="single" w:sz="4" w:space="0" w:color="auto"/>
            </w:tcBorders>
            <w:shd w:val="clear" w:color="000000" w:fill="FFFFFF"/>
            <w:hideMark/>
          </w:tcPr>
          <w:p w14:paraId="7393450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Уровень фактической обеспеченности учреждениями культуры от нормативной потребности:</w:t>
            </w:r>
          </w:p>
        </w:tc>
        <w:tc>
          <w:tcPr>
            <w:tcW w:w="1151" w:type="dxa"/>
            <w:tcBorders>
              <w:top w:val="nil"/>
              <w:left w:val="nil"/>
              <w:bottom w:val="single" w:sz="4" w:space="0" w:color="auto"/>
              <w:right w:val="single" w:sz="4" w:space="0" w:color="auto"/>
            </w:tcBorders>
            <w:shd w:val="clear" w:color="000000" w:fill="FFFFFF"/>
            <w:hideMark/>
          </w:tcPr>
          <w:p w14:paraId="73CC1F1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78D1B7C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000000"/>
              <w:right w:val="single" w:sz="4" w:space="0" w:color="000000"/>
            </w:tcBorders>
            <w:shd w:val="clear" w:color="000000" w:fill="C0C0C0"/>
            <w:noWrap/>
            <w:vAlign w:val="center"/>
            <w:hideMark/>
          </w:tcPr>
          <w:p w14:paraId="20853CD2"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327AF5D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32352F3D"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7" w:type="dxa"/>
            <w:tcBorders>
              <w:top w:val="nil"/>
              <w:left w:val="nil"/>
              <w:bottom w:val="single" w:sz="4" w:space="0" w:color="000000"/>
              <w:right w:val="single" w:sz="4" w:space="0" w:color="000000"/>
            </w:tcBorders>
            <w:shd w:val="clear" w:color="000000" w:fill="C0C0C0"/>
            <w:noWrap/>
            <w:vAlign w:val="center"/>
            <w:hideMark/>
          </w:tcPr>
          <w:p w14:paraId="3D62089C"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000000" w:fill="C0C0C0"/>
            <w:noWrap/>
            <w:vAlign w:val="center"/>
            <w:hideMark/>
          </w:tcPr>
          <w:p w14:paraId="74F10D2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5E92921E"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0E322DD2"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6BDFD63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52AD66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Уровень фактической обеспеченности учреждениями культуры от нормативной потребности: клубами и учреждениями клубного типа</w:t>
            </w:r>
          </w:p>
        </w:tc>
        <w:tc>
          <w:tcPr>
            <w:tcW w:w="1151" w:type="dxa"/>
            <w:tcBorders>
              <w:top w:val="nil"/>
              <w:left w:val="nil"/>
              <w:bottom w:val="single" w:sz="4" w:space="0" w:color="auto"/>
              <w:right w:val="single" w:sz="4" w:space="0" w:color="auto"/>
            </w:tcBorders>
            <w:shd w:val="clear" w:color="000000" w:fill="FFFFFF"/>
            <w:hideMark/>
          </w:tcPr>
          <w:p w14:paraId="576EF03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5602A24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20.1</w:t>
            </w:r>
          </w:p>
        </w:tc>
        <w:tc>
          <w:tcPr>
            <w:tcW w:w="1276" w:type="dxa"/>
            <w:tcBorders>
              <w:top w:val="nil"/>
              <w:left w:val="nil"/>
              <w:bottom w:val="single" w:sz="4" w:space="0" w:color="000000"/>
              <w:right w:val="single" w:sz="4" w:space="0" w:color="000000"/>
            </w:tcBorders>
            <w:shd w:val="clear" w:color="000000" w:fill="C0C0C0"/>
            <w:noWrap/>
            <w:vAlign w:val="center"/>
            <w:hideMark/>
          </w:tcPr>
          <w:p w14:paraId="3E1798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24,2</w:t>
            </w:r>
          </w:p>
        </w:tc>
        <w:tc>
          <w:tcPr>
            <w:tcW w:w="1275" w:type="dxa"/>
            <w:tcBorders>
              <w:top w:val="nil"/>
              <w:left w:val="nil"/>
              <w:bottom w:val="single" w:sz="4" w:space="0" w:color="000000"/>
              <w:right w:val="single" w:sz="4" w:space="0" w:color="000000"/>
            </w:tcBorders>
            <w:shd w:val="clear" w:color="000000" w:fill="C0C0C0"/>
            <w:noWrap/>
            <w:vAlign w:val="center"/>
            <w:hideMark/>
          </w:tcPr>
          <w:p w14:paraId="2A503CC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30,1</w:t>
            </w:r>
          </w:p>
        </w:tc>
        <w:tc>
          <w:tcPr>
            <w:tcW w:w="1275" w:type="dxa"/>
            <w:tcBorders>
              <w:top w:val="nil"/>
              <w:left w:val="nil"/>
              <w:bottom w:val="single" w:sz="4" w:space="0" w:color="000000"/>
              <w:right w:val="single" w:sz="4" w:space="0" w:color="000000"/>
            </w:tcBorders>
            <w:shd w:val="clear" w:color="000000" w:fill="C0C0C0"/>
            <w:noWrap/>
            <w:vAlign w:val="center"/>
            <w:hideMark/>
          </w:tcPr>
          <w:p w14:paraId="6338D7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29,6</w:t>
            </w:r>
          </w:p>
        </w:tc>
        <w:tc>
          <w:tcPr>
            <w:tcW w:w="1277" w:type="dxa"/>
            <w:tcBorders>
              <w:top w:val="nil"/>
              <w:left w:val="nil"/>
              <w:bottom w:val="single" w:sz="4" w:space="0" w:color="000000"/>
              <w:right w:val="single" w:sz="4" w:space="0" w:color="000000"/>
            </w:tcBorders>
            <w:shd w:val="clear" w:color="000000" w:fill="C0C0C0"/>
            <w:noWrap/>
            <w:vAlign w:val="center"/>
            <w:hideMark/>
          </w:tcPr>
          <w:p w14:paraId="16ADDD8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23,8</w:t>
            </w:r>
          </w:p>
        </w:tc>
        <w:tc>
          <w:tcPr>
            <w:tcW w:w="1276" w:type="dxa"/>
            <w:tcBorders>
              <w:top w:val="nil"/>
              <w:left w:val="nil"/>
              <w:bottom w:val="single" w:sz="4" w:space="0" w:color="000000"/>
              <w:right w:val="single" w:sz="4" w:space="0" w:color="000000"/>
            </w:tcBorders>
            <w:shd w:val="clear" w:color="000000" w:fill="C0C0C0"/>
            <w:noWrap/>
            <w:vAlign w:val="center"/>
            <w:hideMark/>
          </w:tcPr>
          <w:p w14:paraId="27181E7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23,8</w:t>
            </w:r>
          </w:p>
        </w:tc>
        <w:tc>
          <w:tcPr>
            <w:tcW w:w="1275" w:type="dxa"/>
            <w:tcBorders>
              <w:top w:val="nil"/>
              <w:left w:val="nil"/>
              <w:bottom w:val="single" w:sz="4" w:space="0" w:color="000000"/>
              <w:right w:val="single" w:sz="4" w:space="0" w:color="000000"/>
            </w:tcBorders>
            <w:shd w:val="clear" w:color="000000" w:fill="C0C0C0"/>
            <w:noWrap/>
            <w:vAlign w:val="center"/>
            <w:hideMark/>
          </w:tcPr>
          <w:p w14:paraId="6356A6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23,8</w:t>
            </w:r>
          </w:p>
        </w:tc>
      </w:tr>
      <w:tr w:rsidR="00996507" w:rsidRPr="00996507" w14:paraId="1CE61FD0"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3614957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EB7280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Фактическое число посадочных мест в учреждениях культурно-досугового типа системы Минкультуры</w:t>
            </w:r>
          </w:p>
        </w:tc>
        <w:tc>
          <w:tcPr>
            <w:tcW w:w="1151" w:type="dxa"/>
            <w:tcBorders>
              <w:top w:val="nil"/>
              <w:left w:val="nil"/>
              <w:bottom w:val="single" w:sz="4" w:space="0" w:color="auto"/>
              <w:right w:val="single" w:sz="4" w:space="0" w:color="auto"/>
            </w:tcBorders>
            <w:shd w:val="clear" w:color="000000" w:fill="FFFFFF"/>
            <w:hideMark/>
          </w:tcPr>
          <w:p w14:paraId="6387BC6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Место</w:t>
            </w:r>
          </w:p>
        </w:tc>
        <w:tc>
          <w:tcPr>
            <w:tcW w:w="992" w:type="dxa"/>
            <w:tcBorders>
              <w:top w:val="nil"/>
              <w:left w:val="nil"/>
              <w:bottom w:val="single" w:sz="4" w:space="0" w:color="auto"/>
              <w:right w:val="single" w:sz="4" w:space="0" w:color="auto"/>
            </w:tcBorders>
            <w:shd w:val="clear" w:color="000000" w:fill="FFFFFF"/>
            <w:hideMark/>
          </w:tcPr>
          <w:p w14:paraId="6952D0A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20.1.1</w:t>
            </w:r>
          </w:p>
        </w:tc>
        <w:tc>
          <w:tcPr>
            <w:tcW w:w="1276" w:type="dxa"/>
            <w:tcBorders>
              <w:top w:val="nil"/>
              <w:left w:val="nil"/>
              <w:bottom w:val="single" w:sz="4" w:space="0" w:color="000000"/>
              <w:right w:val="single" w:sz="4" w:space="0" w:color="000000"/>
            </w:tcBorders>
            <w:shd w:val="clear" w:color="auto" w:fill="auto"/>
            <w:noWrap/>
            <w:vAlign w:val="center"/>
            <w:hideMark/>
          </w:tcPr>
          <w:p w14:paraId="291B2A0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692</w:t>
            </w:r>
          </w:p>
        </w:tc>
        <w:tc>
          <w:tcPr>
            <w:tcW w:w="1275" w:type="dxa"/>
            <w:tcBorders>
              <w:top w:val="nil"/>
              <w:left w:val="nil"/>
              <w:bottom w:val="single" w:sz="4" w:space="0" w:color="000000"/>
              <w:right w:val="single" w:sz="4" w:space="0" w:color="000000"/>
            </w:tcBorders>
            <w:shd w:val="clear" w:color="auto" w:fill="auto"/>
            <w:noWrap/>
            <w:vAlign w:val="center"/>
            <w:hideMark/>
          </w:tcPr>
          <w:p w14:paraId="1227169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860</w:t>
            </w:r>
          </w:p>
        </w:tc>
        <w:tc>
          <w:tcPr>
            <w:tcW w:w="1275" w:type="dxa"/>
            <w:tcBorders>
              <w:top w:val="nil"/>
              <w:left w:val="nil"/>
              <w:bottom w:val="single" w:sz="4" w:space="0" w:color="000000"/>
              <w:right w:val="single" w:sz="4" w:space="0" w:color="000000"/>
            </w:tcBorders>
            <w:shd w:val="clear" w:color="auto" w:fill="auto"/>
            <w:noWrap/>
            <w:vAlign w:val="center"/>
            <w:hideMark/>
          </w:tcPr>
          <w:p w14:paraId="009AA1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860</w:t>
            </w:r>
          </w:p>
        </w:tc>
        <w:tc>
          <w:tcPr>
            <w:tcW w:w="1277" w:type="dxa"/>
            <w:tcBorders>
              <w:top w:val="nil"/>
              <w:left w:val="nil"/>
              <w:bottom w:val="single" w:sz="4" w:space="0" w:color="000000"/>
              <w:right w:val="single" w:sz="4" w:space="0" w:color="000000"/>
            </w:tcBorders>
            <w:shd w:val="clear" w:color="auto" w:fill="auto"/>
            <w:noWrap/>
            <w:vAlign w:val="center"/>
            <w:hideMark/>
          </w:tcPr>
          <w:p w14:paraId="473F2F5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692</w:t>
            </w:r>
          </w:p>
        </w:tc>
        <w:tc>
          <w:tcPr>
            <w:tcW w:w="1276" w:type="dxa"/>
            <w:tcBorders>
              <w:top w:val="nil"/>
              <w:left w:val="nil"/>
              <w:bottom w:val="single" w:sz="4" w:space="0" w:color="000000"/>
              <w:right w:val="single" w:sz="4" w:space="0" w:color="000000"/>
            </w:tcBorders>
            <w:shd w:val="clear" w:color="auto" w:fill="auto"/>
            <w:noWrap/>
            <w:vAlign w:val="center"/>
            <w:hideMark/>
          </w:tcPr>
          <w:p w14:paraId="5E07D09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692</w:t>
            </w:r>
          </w:p>
        </w:tc>
        <w:tc>
          <w:tcPr>
            <w:tcW w:w="1275" w:type="dxa"/>
            <w:tcBorders>
              <w:top w:val="nil"/>
              <w:left w:val="nil"/>
              <w:bottom w:val="single" w:sz="4" w:space="0" w:color="000000"/>
              <w:right w:val="single" w:sz="4" w:space="0" w:color="000000"/>
            </w:tcBorders>
            <w:shd w:val="clear" w:color="auto" w:fill="auto"/>
            <w:noWrap/>
            <w:vAlign w:val="center"/>
            <w:hideMark/>
          </w:tcPr>
          <w:p w14:paraId="6CDAB1D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692</w:t>
            </w:r>
          </w:p>
        </w:tc>
      </w:tr>
      <w:tr w:rsidR="00996507" w:rsidRPr="00996507" w14:paraId="3000D9FC"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35F2EC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592555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Фактическое число посадочных мест в учреждениях культурно-досугового типа иных ведомств</w:t>
            </w:r>
          </w:p>
        </w:tc>
        <w:tc>
          <w:tcPr>
            <w:tcW w:w="1151" w:type="dxa"/>
            <w:tcBorders>
              <w:top w:val="nil"/>
              <w:left w:val="nil"/>
              <w:bottom w:val="single" w:sz="4" w:space="0" w:color="auto"/>
              <w:right w:val="single" w:sz="4" w:space="0" w:color="auto"/>
            </w:tcBorders>
            <w:shd w:val="clear" w:color="000000" w:fill="FFFFFF"/>
            <w:hideMark/>
          </w:tcPr>
          <w:p w14:paraId="49DFFA2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Место</w:t>
            </w:r>
          </w:p>
        </w:tc>
        <w:tc>
          <w:tcPr>
            <w:tcW w:w="992" w:type="dxa"/>
            <w:tcBorders>
              <w:top w:val="nil"/>
              <w:left w:val="nil"/>
              <w:bottom w:val="single" w:sz="4" w:space="0" w:color="auto"/>
              <w:right w:val="single" w:sz="4" w:space="0" w:color="auto"/>
            </w:tcBorders>
            <w:shd w:val="clear" w:color="000000" w:fill="FFFFFF"/>
            <w:hideMark/>
          </w:tcPr>
          <w:p w14:paraId="308BF84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20.1.2</w:t>
            </w:r>
          </w:p>
        </w:tc>
        <w:tc>
          <w:tcPr>
            <w:tcW w:w="1276" w:type="dxa"/>
            <w:tcBorders>
              <w:top w:val="nil"/>
              <w:left w:val="nil"/>
              <w:bottom w:val="single" w:sz="4" w:space="0" w:color="000000"/>
              <w:right w:val="single" w:sz="4" w:space="0" w:color="000000"/>
            </w:tcBorders>
            <w:shd w:val="clear" w:color="auto" w:fill="auto"/>
            <w:noWrap/>
            <w:vAlign w:val="center"/>
            <w:hideMark/>
          </w:tcPr>
          <w:p w14:paraId="04C023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A223E5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EBF157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33A7E32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4AC2365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7ABAC6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5B45B3BE" w14:textId="77777777" w:rsidTr="00996507">
        <w:trPr>
          <w:trHeight w:val="825"/>
        </w:trPr>
        <w:tc>
          <w:tcPr>
            <w:tcW w:w="1701" w:type="dxa"/>
            <w:vMerge/>
            <w:tcBorders>
              <w:top w:val="nil"/>
              <w:left w:val="single" w:sz="4" w:space="0" w:color="auto"/>
              <w:bottom w:val="single" w:sz="4" w:space="0" w:color="auto"/>
              <w:right w:val="single" w:sz="4" w:space="0" w:color="auto"/>
            </w:tcBorders>
            <w:vAlign w:val="center"/>
            <w:hideMark/>
          </w:tcPr>
          <w:p w14:paraId="2BB75CB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46D570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зрительских мест в учреждениях культурно-досугового типа в соответствии с утвержденным нормативом, мест на 1000 человек населения</w:t>
            </w:r>
          </w:p>
        </w:tc>
        <w:tc>
          <w:tcPr>
            <w:tcW w:w="1151" w:type="dxa"/>
            <w:tcBorders>
              <w:top w:val="nil"/>
              <w:left w:val="nil"/>
              <w:bottom w:val="single" w:sz="4" w:space="0" w:color="auto"/>
              <w:right w:val="single" w:sz="4" w:space="0" w:color="auto"/>
            </w:tcBorders>
            <w:shd w:val="clear" w:color="000000" w:fill="FFFFFF"/>
            <w:hideMark/>
          </w:tcPr>
          <w:p w14:paraId="61AFE93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Место</w:t>
            </w:r>
          </w:p>
        </w:tc>
        <w:tc>
          <w:tcPr>
            <w:tcW w:w="992" w:type="dxa"/>
            <w:tcBorders>
              <w:top w:val="nil"/>
              <w:left w:val="nil"/>
              <w:bottom w:val="single" w:sz="4" w:space="0" w:color="auto"/>
              <w:right w:val="single" w:sz="4" w:space="0" w:color="auto"/>
            </w:tcBorders>
            <w:shd w:val="clear" w:color="000000" w:fill="FFFFFF"/>
            <w:hideMark/>
          </w:tcPr>
          <w:p w14:paraId="349244E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20.1.3</w:t>
            </w:r>
          </w:p>
        </w:tc>
        <w:tc>
          <w:tcPr>
            <w:tcW w:w="1276" w:type="dxa"/>
            <w:tcBorders>
              <w:top w:val="nil"/>
              <w:left w:val="nil"/>
              <w:bottom w:val="single" w:sz="4" w:space="0" w:color="000000"/>
              <w:right w:val="single" w:sz="4" w:space="0" w:color="000000"/>
            </w:tcBorders>
            <w:shd w:val="clear" w:color="auto" w:fill="auto"/>
            <w:noWrap/>
            <w:vAlign w:val="center"/>
            <w:hideMark/>
          </w:tcPr>
          <w:p w14:paraId="6A6B64E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2 860</w:t>
            </w:r>
          </w:p>
        </w:tc>
        <w:tc>
          <w:tcPr>
            <w:tcW w:w="1275" w:type="dxa"/>
            <w:tcBorders>
              <w:top w:val="nil"/>
              <w:left w:val="nil"/>
              <w:bottom w:val="single" w:sz="4" w:space="0" w:color="000000"/>
              <w:right w:val="single" w:sz="4" w:space="0" w:color="000000"/>
            </w:tcBorders>
            <w:shd w:val="clear" w:color="auto" w:fill="auto"/>
            <w:noWrap/>
            <w:vAlign w:val="center"/>
            <w:hideMark/>
          </w:tcPr>
          <w:p w14:paraId="350A06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2 860</w:t>
            </w:r>
          </w:p>
        </w:tc>
        <w:tc>
          <w:tcPr>
            <w:tcW w:w="1275" w:type="dxa"/>
            <w:tcBorders>
              <w:top w:val="nil"/>
              <w:left w:val="nil"/>
              <w:bottom w:val="single" w:sz="4" w:space="0" w:color="000000"/>
              <w:right w:val="single" w:sz="4" w:space="0" w:color="000000"/>
            </w:tcBorders>
            <w:shd w:val="clear" w:color="auto" w:fill="auto"/>
            <w:noWrap/>
            <w:vAlign w:val="center"/>
            <w:hideMark/>
          </w:tcPr>
          <w:p w14:paraId="5CAFB74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2 908</w:t>
            </w:r>
          </w:p>
        </w:tc>
        <w:tc>
          <w:tcPr>
            <w:tcW w:w="1277" w:type="dxa"/>
            <w:tcBorders>
              <w:top w:val="nil"/>
              <w:left w:val="nil"/>
              <w:bottom w:val="single" w:sz="4" w:space="0" w:color="000000"/>
              <w:right w:val="single" w:sz="4" w:space="0" w:color="000000"/>
            </w:tcBorders>
            <w:shd w:val="clear" w:color="auto" w:fill="auto"/>
            <w:noWrap/>
            <w:vAlign w:val="center"/>
            <w:hideMark/>
          </w:tcPr>
          <w:p w14:paraId="5C16E5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2 908</w:t>
            </w:r>
          </w:p>
        </w:tc>
        <w:tc>
          <w:tcPr>
            <w:tcW w:w="1276" w:type="dxa"/>
            <w:tcBorders>
              <w:top w:val="nil"/>
              <w:left w:val="nil"/>
              <w:bottom w:val="single" w:sz="4" w:space="0" w:color="000000"/>
              <w:right w:val="single" w:sz="4" w:space="0" w:color="000000"/>
            </w:tcBorders>
            <w:shd w:val="clear" w:color="auto" w:fill="auto"/>
            <w:noWrap/>
            <w:vAlign w:val="center"/>
            <w:hideMark/>
          </w:tcPr>
          <w:p w14:paraId="7578D11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2 908</w:t>
            </w:r>
          </w:p>
        </w:tc>
        <w:tc>
          <w:tcPr>
            <w:tcW w:w="1275" w:type="dxa"/>
            <w:tcBorders>
              <w:top w:val="nil"/>
              <w:left w:val="nil"/>
              <w:bottom w:val="single" w:sz="4" w:space="0" w:color="000000"/>
              <w:right w:val="single" w:sz="4" w:space="0" w:color="000000"/>
            </w:tcBorders>
            <w:shd w:val="clear" w:color="auto" w:fill="auto"/>
            <w:noWrap/>
            <w:vAlign w:val="center"/>
            <w:hideMark/>
          </w:tcPr>
          <w:p w14:paraId="36FB219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2 908</w:t>
            </w:r>
          </w:p>
        </w:tc>
      </w:tr>
      <w:tr w:rsidR="00996507" w:rsidRPr="00996507" w14:paraId="3B0586A8"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1C0D57D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6EFA87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Уровень фактической обеспеченности учреждениями культуры от нормативной потребности: библиотеками</w:t>
            </w:r>
          </w:p>
        </w:tc>
        <w:tc>
          <w:tcPr>
            <w:tcW w:w="1151" w:type="dxa"/>
            <w:tcBorders>
              <w:top w:val="nil"/>
              <w:left w:val="nil"/>
              <w:bottom w:val="single" w:sz="4" w:space="0" w:color="auto"/>
              <w:right w:val="single" w:sz="4" w:space="0" w:color="auto"/>
            </w:tcBorders>
            <w:shd w:val="clear" w:color="000000" w:fill="FFFFFF"/>
            <w:hideMark/>
          </w:tcPr>
          <w:p w14:paraId="731E195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64BF2F7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20.2</w:t>
            </w:r>
          </w:p>
        </w:tc>
        <w:tc>
          <w:tcPr>
            <w:tcW w:w="1276" w:type="dxa"/>
            <w:tcBorders>
              <w:top w:val="nil"/>
              <w:left w:val="nil"/>
              <w:bottom w:val="single" w:sz="4" w:space="0" w:color="000000"/>
              <w:right w:val="single" w:sz="4" w:space="0" w:color="000000"/>
            </w:tcBorders>
            <w:shd w:val="clear" w:color="000000" w:fill="C0C0C0"/>
            <w:noWrap/>
            <w:vAlign w:val="center"/>
            <w:hideMark/>
          </w:tcPr>
          <w:p w14:paraId="158BE03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79,8</w:t>
            </w:r>
          </w:p>
        </w:tc>
        <w:tc>
          <w:tcPr>
            <w:tcW w:w="1275" w:type="dxa"/>
            <w:tcBorders>
              <w:top w:val="nil"/>
              <w:left w:val="nil"/>
              <w:bottom w:val="single" w:sz="4" w:space="0" w:color="000000"/>
              <w:right w:val="single" w:sz="4" w:space="0" w:color="000000"/>
            </w:tcBorders>
            <w:shd w:val="clear" w:color="000000" w:fill="C0C0C0"/>
            <w:noWrap/>
            <w:vAlign w:val="center"/>
            <w:hideMark/>
          </w:tcPr>
          <w:p w14:paraId="3226440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80,8</w:t>
            </w:r>
          </w:p>
        </w:tc>
        <w:tc>
          <w:tcPr>
            <w:tcW w:w="1275" w:type="dxa"/>
            <w:tcBorders>
              <w:top w:val="nil"/>
              <w:left w:val="nil"/>
              <w:bottom w:val="single" w:sz="4" w:space="0" w:color="000000"/>
              <w:right w:val="single" w:sz="4" w:space="0" w:color="000000"/>
            </w:tcBorders>
            <w:shd w:val="clear" w:color="000000" w:fill="C0C0C0"/>
            <w:noWrap/>
            <w:vAlign w:val="center"/>
            <w:hideMark/>
          </w:tcPr>
          <w:p w14:paraId="010B84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80,8</w:t>
            </w:r>
          </w:p>
        </w:tc>
        <w:tc>
          <w:tcPr>
            <w:tcW w:w="1277" w:type="dxa"/>
            <w:tcBorders>
              <w:top w:val="nil"/>
              <w:left w:val="nil"/>
              <w:bottom w:val="single" w:sz="4" w:space="0" w:color="000000"/>
              <w:right w:val="single" w:sz="4" w:space="0" w:color="000000"/>
            </w:tcBorders>
            <w:shd w:val="clear" w:color="000000" w:fill="C0C0C0"/>
            <w:noWrap/>
            <w:vAlign w:val="center"/>
            <w:hideMark/>
          </w:tcPr>
          <w:p w14:paraId="31E8D2D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60,6</w:t>
            </w:r>
          </w:p>
        </w:tc>
        <w:tc>
          <w:tcPr>
            <w:tcW w:w="1276" w:type="dxa"/>
            <w:tcBorders>
              <w:top w:val="nil"/>
              <w:left w:val="nil"/>
              <w:bottom w:val="single" w:sz="4" w:space="0" w:color="000000"/>
              <w:right w:val="single" w:sz="4" w:space="0" w:color="000000"/>
            </w:tcBorders>
            <w:shd w:val="clear" w:color="000000" w:fill="C0C0C0"/>
            <w:noWrap/>
            <w:vAlign w:val="center"/>
            <w:hideMark/>
          </w:tcPr>
          <w:p w14:paraId="4BEC5B3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60,6</w:t>
            </w:r>
          </w:p>
        </w:tc>
        <w:tc>
          <w:tcPr>
            <w:tcW w:w="1275" w:type="dxa"/>
            <w:tcBorders>
              <w:top w:val="nil"/>
              <w:left w:val="nil"/>
              <w:bottom w:val="single" w:sz="4" w:space="0" w:color="000000"/>
              <w:right w:val="single" w:sz="4" w:space="0" w:color="000000"/>
            </w:tcBorders>
            <w:shd w:val="clear" w:color="000000" w:fill="C0C0C0"/>
            <w:noWrap/>
            <w:vAlign w:val="center"/>
            <w:hideMark/>
          </w:tcPr>
          <w:p w14:paraId="45752B2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60,6</w:t>
            </w:r>
          </w:p>
        </w:tc>
      </w:tr>
      <w:tr w:rsidR="00996507" w:rsidRPr="00996507" w14:paraId="03D760A3"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5E0BAEC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13DCB2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число библиотек и библиотек-филиалов на конец отчетного года</w:t>
            </w:r>
          </w:p>
        </w:tc>
        <w:tc>
          <w:tcPr>
            <w:tcW w:w="1151" w:type="dxa"/>
            <w:tcBorders>
              <w:top w:val="nil"/>
              <w:left w:val="nil"/>
              <w:bottom w:val="single" w:sz="4" w:space="0" w:color="auto"/>
              <w:right w:val="single" w:sz="4" w:space="0" w:color="auto"/>
            </w:tcBorders>
            <w:shd w:val="clear" w:color="000000" w:fill="FFFFFF"/>
            <w:hideMark/>
          </w:tcPr>
          <w:p w14:paraId="3AA7B1D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4E5D9B8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000000"/>
              <w:right w:val="single" w:sz="4" w:space="0" w:color="000000"/>
            </w:tcBorders>
            <w:shd w:val="clear" w:color="auto" w:fill="auto"/>
            <w:noWrap/>
            <w:vAlign w:val="center"/>
            <w:hideMark/>
          </w:tcPr>
          <w:p w14:paraId="7824985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c>
          <w:tcPr>
            <w:tcW w:w="1275" w:type="dxa"/>
            <w:tcBorders>
              <w:top w:val="nil"/>
              <w:left w:val="nil"/>
              <w:bottom w:val="single" w:sz="4" w:space="0" w:color="000000"/>
              <w:right w:val="single" w:sz="4" w:space="0" w:color="000000"/>
            </w:tcBorders>
            <w:shd w:val="clear" w:color="auto" w:fill="auto"/>
            <w:noWrap/>
            <w:vAlign w:val="center"/>
            <w:hideMark/>
          </w:tcPr>
          <w:p w14:paraId="2EF4CC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c>
          <w:tcPr>
            <w:tcW w:w="1275" w:type="dxa"/>
            <w:tcBorders>
              <w:top w:val="nil"/>
              <w:left w:val="nil"/>
              <w:bottom w:val="single" w:sz="4" w:space="0" w:color="000000"/>
              <w:right w:val="single" w:sz="4" w:space="0" w:color="000000"/>
            </w:tcBorders>
            <w:shd w:val="clear" w:color="auto" w:fill="auto"/>
            <w:noWrap/>
            <w:vAlign w:val="center"/>
            <w:hideMark/>
          </w:tcPr>
          <w:p w14:paraId="004C5EC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c>
          <w:tcPr>
            <w:tcW w:w="1277" w:type="dxa"/>
            <w:tcBorders>
              <w:top w:val="nil"/>
              <w:left w:val="nil"/>
              <w:bottom w:val="single" w:sz="4" w:space="0" w:color="000000"/>
              <w:right w:val="single" w:sz="4" w:space="0" w:color="000000"/>
            </w:tcBorders>
            <w:shd w:val="clear" w:color="auto" w:fill="auto"/>
            <w:noWrap/>
            <w:vAlign w:val="center"/>
            <w:hideMark/>
          </w:tcPr>
          <w:p w14:paraId="0CDD0CF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c>
          <w:tcPr>
            <w:tcW w:w="1276" w:type="dxa"/>
            <w:tcBorders>
              <w:top w:val="nil"/>
              <w:left w:val="nil"/>
              <w:bottom w:val="single" w:sz="4" w:space="0" w:color="000000"/>
              <w:right w:val="single" w:sz="4" w:space="0" w:color="000000"/>
            </w:tcBorders>
            <w:shd w:val="clear" w:color="auto" w:fill="auto"/>
            <w:noWrap/>
            <w:vAlign w:val="center"/>
            <w:hideMark/>
          </w:tcPr>
          <w:p w14:paraId="1746AE8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c>
          <w:tcPr>
            <w:tcW w:w="1275" w:type="dxa"/>
            <w:tcBorders>
              <w:top w:val="nil"/>
              <w:left w:val="nil"/>
              <w:bottom w:val="single" w:sz="4" w:space="0" w:color="000000"/>
              <w:right w:val="single" w:sz="4" w:space="0" w:color="000000"/>
            </w:tcBorders>
            <w:shd w:val="clear" w:color="auto" w:fill="auto"/>
            <w:noWrap/>
            <w:vAlign w:val="center"/>
            <w:hideMark/>
          </w:tcPr>
          <w:p w14:paraId="0DA1661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w:t>
            </w:r>
          </w:p>
        </w:tc>
      </w:tr>
      <w:tr w:rsidR="00996507" w:rsidRPr="00996507" w14:paraId="0CDF9336"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78A2ECD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D660A2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 xml:space="preserve">Число отделов </w:t>
            </w:r>
            <w:proofErr w:type="spellStart"/>
            <w:r w:rsidRPr="00996507">
              <w:rPr>
                <w:rFonts w:ascii="Times New Roman" w:eastAsia="Times New Roman" w:hAnsi="Times New Roman" w:cs="Times New Roman"/>
                <w:color w:val="000000"/>
                <w:sz w:val="20"/>
                <w:szCs w:val="20"/>
                <w:lang w:eastAsia="ru-RU"/>
              </w:rPr>
              <w:t>внестанционарного</w:t>
            </w:r>
            <w:proofErr w:type="spellEnd"/>
            <w:r w:rsidRPr="00996507">
              <w:rPr>
                <w:rFonts w:ascii="Times New Roman" w:eastAsia="Times New Roman" w:hAnsi="Times New Roman" w:cs="Times New Roman"/>
                <w:color w:val="000000"/>
                <w:sz w:val="20"/>
                <w:szCs w:val="20"/>
                <w:lang w:eastAsia="ru-RU"/>
              </w:rPr>
              <w:t xml:space="preserve"> обслуживания (библиотечных пунктов)</w:t>
            </w:r>
          </w:p>
        </w:tc>
        <w:tc>
          <w:tcPr>
            <w:tcW w:w="1151" w:type="dxa"/>
            <w:tcBorders>
              <w:top w:val="nil"/>
              <w:left w:val="nil"/>
              <w:bottom w:val="single" w:sz="4" w:space="0" w:color="auto"/>
              <w:right w:val="single" w:sz="4" w:space="0" w:color="auto"/>
            </w:tcBorders>
            <w:shd w:val="clear" w:color="000000" w:fill="FFFFFF"/>
            <w:hideMark/>
          </w:tcPr>
          <w:p w14:paraId="6EA15CC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3F72195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20.2.2</w:t>
            </w:r>
          </w:p>
        </w:tc>
        <w:tc>
          <w:tcPr>
            <w:tcW w:w="1276" w:type="dxa"/>
            <w:tcBorders>
              <w:top w:val="nil"/>
              <w:left w:val="nil"/>
              <w:bottom w:val="single" w:sz="4" w:space="0" w:color="000000"/>
              <w:right w:val="single" w:sz="4" w:space="0" w:color="000000"/>
            </w:tcBorders>
            <w:shd w:val="clear" w:color="auto" w:fill="auto"/>
            <w:noWrap/>
            <w:vAlign w:val="center"/>
            <w:hideMark/>
          </w:tcPr>
          <w:p w14:paraId="1743C6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w:t>
            </w:r>
          </w:p>
        </w:tc>
        <w:tc>
          <w:tcPr>
            <w:tcW w:w="1275" w:type="dxa"/>
            <w:tcBorders>
              <w:top w:val="nil"/>
              <w:left w:val="nil"/>
              <w:bottom w:val="single" w:sz="4" w:space="0" w:color="000000"/>
              <w:right w:val="single" w:sz="4" w:space="0" w:color="000000"/>
            </w:tcBorders>
            <w:shd w:val="clear" w:color="auto" w:fill="auto"/>
            <w:noWrap/>
            <w:vAlign w:val="center"/>
            <w:hideMark/>
          </w:tcPr>
          <w:p w14:paraId="1E119C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w:t>
            </w:r>
          </w:p>
        </w:tc>
        <w:tc>
          <w:tcPr>
            <w:tcW w:w="1275" w:type="dxa"/>
            <w:tcBorders>
              <w:top w:val="nil"/>
              <w:left w:val="nil"/>
              <w:bottom w:val="single" w:sz="4" w:space="0" w:color="000000"/>
              <w:right w:val="single" w:sz="4" w:space="0" w:color="000000"/>
            </w:tcBorders>
            <w:shd w:val="clear" w:color="auto" w:fill="auto"/>
            <w:noWrap/>
            <w:vAlign w:val="center"/>
            <w:hideMark/>
          </w:tcPr>
          <w:p w14:paraId="24A2CC5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w:t>
            </w:r>
          </w:p>
        </w:tc>
        <w:tc>
          <w:tcPr>
            <w:tcW w:w="1277" w:type="dxa"/>
            <w:tcBorders>
              <w:top w:val="nil"/>
              <w:left w:val="nil"/>
              <w:bottom w:val="single" w:sz="4" w:space="0" w:color="000000"/>
              <w:right w:val="single" w:sz="4" w:space="0" w:color="000000"/>
            </w:tcBorders>
            <w:shd w:val="clear" w:color="auto" w:fill="auto"/>
            <w:noWrap/>
            <w:vAlign w:val="center"/>
            <w:hideMark/>
          </w:tcPr>
          <w:p w14:paraId="1486D2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w:t>
            </w:r>
          </w:p>
        </w:tc>
        <w:tc>
          <w:tcPr>
            <w:tcW w:w="1276" w:type="dxa"/>
            <w:tcBorders>
              <w:top w:val="nil"/>
              <w:left w:val="nil"/>
              <w:bottom w:val="single" w:sz="4" w:space="0" w:color="000000"/>
              <w:right w:val="single" w:sz="4" w:space="0" w:color="000000"/>
            </w:tcBorders>
            <w:shd w:val="clear" w:color="auto" w:fill="auto"/>
            <w:noWrap/>
            <w:vAlign w:val="center"/>
            <w:hideMark/>
          </w:tcPr>
          <w:p w14:paraId="133B7E4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w:t>
            </w:r>
          </w:p>
        </w:tc>
        <w:tc>
          <w:tcPr>
            <w:tcW w:w="1275" w:type="dxa"/>
            <w:tcBorders>
              <w:top w:val="nil"/>
              <w:left w:val="nil"/>
              <w:bottom w:val="single" w:sz="4" w:space="0" w:color="000000"/>
              <w:right w:val="single" w:sz="4" w:space="0" w:color="000000"/>
            </w:tcBorders>
            <w:shd w:val="clear" w:color="auto" w:fill="auto"/>
            <w:noWrap/>
            <w:vAlign w:val="center"/>
            <w:hideMark/>
          </w:tcPr>
          <w:p w14:paraId="6C68D5D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w:t>
            </w:r>
          </w:p>
        </w:tc>
      </w:tr>
      <w:tr w:rsidR="00996507" w:rsidRPr="00996507" w14:paraId="0ACB9E68"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781F41D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22D393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учреждений культурно-досугового типа, занимающихся библиотечной деятельностью</w:t>
            </w:r>
          </w:p>
        </w:tc>
        <w:tc>
          <w:tcPr>
            <w:tcW w:w="1151" w:type="dxa"/>
            <w:tcBorders>
              <w:top w:val="nil"/>
              <w:left w:val="nil"/>
              <w:bottom w:val="single" w:sz="4" w:space="0" w:color="auto"/>
              <w:right w:val="single" w:sz="4" w:space="0" w:color="auto"/>
            </w:tcBorders>
            <w:shd w:val="clear" w:color="000000" w:fill="FFFFFF"/>
            <w:hideMark/>
          </w:tcPr>
          <w:p w14:paraId="7BF976C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C4DC0A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20.2.3</w:t>
            </w:r>
          </w:p>
        </w:tc>
        <w:tc>
          <w:tcPr>
            <w:tcW w:w="1276" w:type="dxa"/>
            <w:tcBorders>
              <w:top w:val="nil"/>
              <w:left w:val="nil"/>
              <w:bottom w:val="single" w:sz="4" w:space="0" w:color="000000"/>
              <w:right w:val="single" w:sz="4" w:space="0" w:color="000000"/>
            </w:tcBorders>
            <w:shd w:val="clear" w:color="auto" w:fill="auto"/>
            <w:noWrap/>
            <w:vAlign w:val="center"/>
            <w:hideMark/>
          </w:tcPr>
          <w:p w14:paraId="3DE487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0339D7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D100D0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4BD08B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1A7A1E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59E03E8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3B8A89ED"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088BBB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895732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Требуемое количество общедоступных библиотек в соответствии с утвержденным нормативом</w:t>
            </w:r>
          </w:p>
        </w:tc>
        <w:tc>
          <w:tcPr>
            <w:tcW w:w="1151" w:type="dxa"/>
            <w:tcBorders>
              <w:top w:val="nil"/>
              <w:left w:val="nil"/>
              <w:bottom w:val="single" w:sz="4" w:space="0" w:color="auto"/>
              <w:right w:val="single" w:sz="4" w:space="0" w:color="auto"/>
            </w:tcBorders>
            <w:shd w:val="clear" w:color="000000" w:fill="FFFFFF"/>
            <w:hideMark/>
          </w:tcPr>
          <w:p w14:paraId="78708B8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10A6398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20.2.4</w:t>
            </w:r>
          </w:p>
        </w:tc>
        <w:tc>
          <w:tcPr>
            <w:tcW w:w="1276" w:type="dxa"/>
            <w:tcBorders>
              <w:top w:val="nil"/>
              <w:left w:val="nil"/>
              <w:bottom w:val="single" w:sz="4" w:space="0" w:color="000000"/>
              <w:right w:val="single" w:sz="4" w:space="0" w:color="000000"/>
            </w:tcBorders>
            <w:shd w:val="clear" w:color="auto" w:fill="auto"/>
            <w:noWrap/>
            <w:vAlign w:val="center"/>
            <w:hideMark/>
          </w:tcPr>
          <w:p w14:paraId="53FA98D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4FC60F9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7C505F5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7" w:type="dxa"/>
            <w:tcBorders>
              <w:top w:val="nil"/>
              <w:left w:val="nil"/>
              <w:bottom w:val="single" w:sz="4" w:space="0" w:color="000000"/>
              <w:right w:val="single" w:sz="4" w:space="0" w:color="000000"/>
            </w:tcBorders>
            <w:shd w:val="clear" w:color="auto" w:fill="auto"/>
            <w:noWrap/>
            <w:vAlign w:val="center"/>
            <w:hideMark/>
          </w:tcPr>
          <w:p w14:paraId="32660D0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c>
          <w:tcPr>
            <w:tcW w:w="1276" w:type="dxa"/>
            <w:tcBorders>
              <w:top w:val="nil"/>
              <w:left w:val="nil"/>
              <w:bottom w:val="single" w:sz="4" w:space="0" w:color="000000"/>
              <w:right w:val="single" w:sz="4" w:space="0" w:color="000000"/>
            </w:tcBorders>
            <w:shd w:val="clear" w:color="auto" w:fill="auto"/>
            <w:noWrap/>
            <w:vAlign w:val="center"/>
            <w:hideMark/>
          </w:tcPr>
          <w:p w14:paraId="100FAF6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c>
          <w:tcPr>
            <w:tcW w:w="1275" w:type="dxa"/>
            <w:tcBorders>
              <w:top w:val="nil"/>
              <w:left w:val="nil"/>
              <w:bottom w:val="single" w:sz="4" w:space="0" w:color="000000"/>
              <w:right w:val="single" w:sz="4" w:space="0" w:color="000000"/>
            </w:tcBorders>
            <w:shd w:val="clear" w:color="auto" w:fill="auto"/>
            <w:noWrap/>
            <w:vAlign w:val="center"/>
            <w:hideMark/>
          </w:tcPr>
          <w:p w14:paraId="44C7AED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r>
      <w:tr w:rsidR="00996507" w:rsidRPr="00996507" w14:paraId="3BD082BC"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CDA288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852B92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Уровень фактической обеспеченности учреждениями культуры от нормативной потребности: парками культуры и отдыха</w:t>
            </w:r>
          </w:p>
        </w:tc>
        <w:tc>
          <w:tcPr>
            <w:tcW w:w="1151" w:type="dxa"/>
            <w:tcBorders>
              <w:top w:val="nil"/>
              <w:left w:val="nil"/>
              <w:bottom w:val="single" w:sz="4" w:space="0" w:color="auto"/>
              <w:right w:val="single" w:sz="4" w:space="0" w:color="auto"/>
            </w:tcBorders>
            <w:shd w:val="clear" w:color="000000" w:fill="FFFFFF"/>
            <w:hideMark/>
          </w:tcPr>
          <w:p w14:paraId="4896311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4E6E97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20.3</w:t>
            </w:r>
          </w:p>
        </w:tc>
        <w:tc>
          <w:tcPr>
            <w:tcW w:w="1276" w:type="dxa"/>
            <w:tcBorders>
              <w:top w:val="nil"/>
              <w:left w:val="nil"/>
              <w:bottom w:val="single" w:sz="4" w:space="0" w:color="000000"/>
              <w:right w:val="single" w:sz="4" w:space="0" w:color="000000"/>
            </w:tcBorders>
            <w:shd w:val="clear" w:color="000000" w:fill="C0C0C0"/>
            <w:noWrap/>
            <w:vAlign w:val="center"/>
            <w:hideMark/>
          </w:tcPr>
          <w:p w14:paraId="69987D4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A0C27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F47BD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5E34C45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295C903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F14CB8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5F17C37D"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493442D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4F4CBB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Обеспеченность населения парками культуры и отдыха (на конец года)</w:t>
            </w:r>
          </w:p>
        </w:tc>
        <w:tc>
          <w:tcPr>
            <w:tcW w:w="1151" w:type="dxa"/>
            <w:tcBorders>
              <w:top w:val="nil"/>
              <w:left w:val="nil"/>
              <w:bottom w:val="single" w:sz="4" w:space="0" w:color="auto"/>
              <w:right w:val="single" w:sz="4" w:space="0" w:color="auto"/>
            </w:tcBorders>
            <w:shd w:val="clear" w:color="000000" w:fill="FFFFFF"/>
            <w:hideMark/>
          </w:tcPr>
          <w:p w14:paraId="6E38A36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0DE21BA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20.3.1</w:t>
            </w:r>
          </w:p>
        </w:tc>
        <w:tc>
          <w:tcPr>
            <w:tcW w:w="1276" w:type="dxa"/>
            <w:tcBorders>
              <w:top w:val="nil"/>
              <w:left w:val="nil"/>
              <w:bottom w:val="single" w:sz="4" w:space="0" w:color="000000"/>
              <w:right w:val="single" w:sz="4" w:space="0" w:color="000000"/>
            </w:tcBorders>
            <w:shd w:val="clear" w:color="auto" w:fill="auto"/>
            <w:noWrap/>
            <w:vAlign w:val="center"/>
            <w:hideMark/>
          </w:tcPr>
          <w:p w14:paraId="364BE9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949BBC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3CB67B5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3FA5B61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53470D6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7DB31F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105C9200"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DB3838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ACA9CB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Нормативный показатель обеспеченности парками культуры и отдыха</w:t>
            </w:r>
          </w:p>
        </w:tc>
        <w:tc>
          <w:tcPr>
            <w:tcW w:w="1151" w:type="dxa"/>
            <w:tcBorders>
              <w:top w:val="nil"/>
              <w:left w:val="nil"/>
              <w:bottom w:val="single" w:sz="4" w:space="0" w:color="auto"/>
              <w:right w:val="single" w:sz="4" w:space="0" w:color="auto"/>
            </w:tcBorders>
            <w:shd w:val="clear" w:color="000000" w:fill="FFFFFF"/>
            <w:hideMark/>
          </w:tcPr>
          <w:p w14:paraId="29EA6F1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1B5C7E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20.3.2</w:t>
            </w:r>
          </w:p>
        </w:tc>
        <w:tc>
          <w:tcPr>
            <w:tcW w:w="1276" w:type="dxa"/>
            <w:tcBorders>
              <w:top w:val="nil"/>
              <w:left w:val="nil"/>
              <w:bottom w:val="single" w:sz="4" w:space="0" w:color="000000"/>
              <w:right w:val="single" w:sz="4" w:space="0" w:color="000000"/>
            </w:tcBorders>
            <w:shd w:val="clear" w:color="auto" w:fill="auto"/>
            <w:noWrap/>
            <w:vAlign w:val="center"/>
            <w:hideMark/>
          </w:tcPr>
          <w:p w14:paraId="55C312B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37B1742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2DC20A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auto" w:fill="auto"/>
            <w:noWrap/>
            <w:vAlign w:val="center"/>
            <w:hideMark/>
          </w:tcPr>
          <w:p w14:paraId="081AE1B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6" w:type="dxa"/>
            <w:tcBorders>
              <w:top w:val="nil"/>
              <w:left w:val="nil"/>
              <w:bottom w:val="single" w:sz="4" w:space="0" w:color="000000"/>
              <w:right w:val="single" w:sz="4" w:space="0" w:color="000000"/>
            </w:tcBorders>
            <w:shd w:val="clear" w:color="auto" w:fill="auto"/>
            <w:noWrap/>
            <w:vAlign w:val="center"/>
            <w:hideMark/>
          </w:tcPr>
          <w:p w14:paraId="0A5303C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2DC597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r>
      <w:tr w:rsidR="00996507" w:rsidRPr="00996507" w14:paraId="5F43948F"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4A59C24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07EBAB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51" w:type="dxa"/>
            <w:tcBorders>
              <w:top w:val="nil"/>
              <w:left w:val="nil"/>
              <w:bottom w:val="single" w:sz="4" w:space="0" w:color="auto"/>
              <w:right w:val="single" w:sz="4" w:space="0" w:color="auto"/>
            </w:tcBorders>
            <w:shd w:val="clear" w:color="000000" w:fill="FFFFFF"/>
            <w:hideMark/>
          </w:tcPr>
          <w:p w14:paraId="48CDDCA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C974C0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21</w:t>
            </w:r>
          </w:p>
        </w:tc>
        <w:tc>
          <w:tcPr>
            <w:tcW w:w="1276" w:type="dxa"/>
            <w:tcBorders>
              <w:top w:val="nil"/>
              <w:left w:val="nil"/>
              <w:bottom w:val="single" w:sz="4" w:space="0" w:color="000000"/>
              <w:right w:val="single" w:sz="4" w:space="0" w:color="000000"/>
            </w:tcBorders>
            <w:shd w:val="clear" w:color="000000" w:fill="C0C0C0"/>
            <w:noWrap/>
            <w:vAlign w:val="center"/>
            <w:hideMark/>
          </w:tcPr>
          <w:p w14:paraId="734CCC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3,8</w:t>
            </w:r>
          </w:p>
        </w:tc>
        <w:tc>
          <w:tcPr>
            <w:tcW w:w="1275" w:type="dxa"/>
            <w:tcBorders>
              <w:top w:val="nil"/>
              <w:left w:val="nil"/>
              <w:bottom w:val="single" w:sz="4" w:space="0" w:color="000000"/>
              <w:right w:val="single" w:sz="4" w:space="0" w:color="000000"/>
            </w:tcBorders>
            <w:shd w:val="clear" w:color="000000" w:fill="C0C0C0"/>
            <w:noWrap/>
            <w:vAlign w:val="center"/>
            <w:hideMark/>
          </w:tcPr>
          <w:p w14:paraId="64591AD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968035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7" w:type="dxa"/>
            <w:tcBorders>
              <w:top w:val="nil"/>
              <w:left w:val="nil"/>
              <w:bottom w:val="single" w:sz="4" w:space="0" w:color="000000"/>
              <w:right w:val="single" w:sz="4" w:space="0" w:color="000000"/>
            </w:tcBorders>
            <w:shd w:val="clear" w:color="000000" w:fill="C0C0C0"/>
            <w:noWrap/>
            <w:vAlign w:val="center"/>
            <w:hideMark/>
          </w:tcPr>
          <w:p w14:paraId="365450B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5BA9FE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382780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27BD7177"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3EA720F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CA9917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зданий, которые находятся в аварийном состоянии или требуют капитального ремонта</w:t>
            </w:r>
          </w:p>
        </w:tc>
        <w:tc>
          <w:tcPr>
            <w:tcW w:w="1151" w:type="dxa"/>
            <w:tcBorders>
              <w:top w:val="nil"/>
              <w:left w:val="nil"/>
              <w:bottom w:val="single" w:sz="4" w:space="0" w:color="auto"/>
              <w:right w:val="single" w:sz="4" w:space="0" w:color="auto"/>
            </w:tcBorders>
            <w:shd w:val="clear" w:color="000000" w:fill="FFFFFF"/>
            <w:hideMark/>
          </w:tcPr>
          <w:p w14:paraId="003DFF8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580EFE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21.1</w:t>
            </w:r>
          </w:p>
        </w:tc>
        <w:tc>
          <w:tcPr>
            <w:tcW w:w="1276" w:type="dxa"/>
            <w:tcBorders>
              <w:top w:val="nil"/>
              <w:left w:val="nil"/>
              <w:bottom w:val="single" w:sz="4" w:space="0" w:color="000000"/>
              <w:right w:val="single" w:sz="4" w:space="0" w:color="000000"/>
            </w:tcBorders>
            <w:shd w:val="clear" w:color="auto" w:fill="auto"/>
            <w:noWrap/>
            <w:vAlign w:val="center"/>
            <w:hideMark/>
          </w:tcPr>
          <w:p w14:paraId="1E814A0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61023BE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2DC1A1D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auto" w:fill="auto"/>
            <w:noWrap/>
            <w:vAlign w:val="center"/>
            <w:hideMark/>
          </w:tcPr>
          <w:p w14:paraId="786B0F3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3E33CE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647997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C0A6209"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9B6A7F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F5772D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число зданий государственных и муниципальных учреждений культуры</w:t>
            </w:r>
          </w:p>
        </w:tc>
        <w:tc>
          <w:tcPr>
            <w:tcW w:w="1151" w:type="dxa"/>
            <w:tcBorders>
              <w:top w:val="nil"/>
              <w:left w:val="nil"/>
              <w:bottom w:val="single" w:sz="4" w:space="0" w:color="auto"/>
              <w:right w:val="single" w:sz="4" w:space="0" w:color="auto"/>
            </w:tcBorders>
            <w:shd w:val="clear" w:color="000000" w:fill="FFFFFF"/>
            <w:hideMark/>
          </w:tcPr>
          <w:p w14:paraId="38DEA64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509F019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21.2</w:t>
            </w:r>
          </w:p>
        </w:tc>
        <w:tc>
          <w:tcPr>
            <w:tcW w:w="1276" w:type="dxa"/>
            <w:tcBorders>
              <w:top w:val="nil"/>
              <w:left w:val="nil"/>
              <w:bottom w:val="single" w:sz="4" w:space="0" w:color="000000"/>
              <w:right w:val="single" w:sz="4" w:space="0" w:color="000000"/>
            </w:tcBorders>
            <w:shd w:val="clear" w:color="auto" w:fill="auto"/>
            <w:noWrap/>
            <w:vAlign w:val="center"/>
            <w:hideMark/>
          </w:tcPr>
          <w:p w14:paraId="7F0DA08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w:t>
            </w:r>
          </w:p>
        </w:tc>
        <w:tc>
          <w:tcPr>
            <w:tcW w:w="1275" w:type="dxa"/>
            <w:tcBorders>
              <w:top w:val="nil"/>
              <w:left w:val="nil"/>
              <w:bottom w:val="single" w:sz="4" w:space="0" w:color="000000"/>
              <w:right w:val="single" w:sz="4" w:space="0" w:color="000000"/>
            </w:tcBorders>
            <w:shd w:val="clear" w:color="auto" w:fill="auto"/>
            <w:noWrap/>
            <w:vAlign w:val="center"/>
            <w:hideMark/>
          </w:tcPr>
          <w:p w14:paraId="48D33EB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27</w:t>
            </w:r>
          </w:p>
        </w:tc>
        <w:tc>
          <w:tcPr>
            <w:tcW w:w="1275" w:type="dxa"/>
            <w:tcBorders>
              <w:top w:val="nil"/>
              <w:left w:val="nil"/>
              <w:bottom w:val="single" w:sz="4" w:space="0" w:color="000000"/>
              <w:right w:val="single" w:sz="4" w:space="0" w:color="000000"/>
            </w:tcBorders>
            <w:shd w:val="clear" w:color="auto" w:fill="auto"/>
            <w:noWrap/>
            <w:vAlign w:val="center"/>
            <w:hideMark/>
          </w:tcPr>
          <w:p w14:paraId="6B1ADC9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25</w:t>
            </w:r>
          </w:p>
        </w:tc>
        <w:tc>
          <w:tcPr>
            <w:tcW w:w="1277" w:type="dxa"/>
            <w:tcBorders>
              <w:top w:val="nil"/>
              <w:left w:val="nil"/>
              <w:bottom w:val="single" w:sz="4" w:space="0" w:color="000000"/>
              <w:right w:val="single" w:sz="4" w:space="0" w:color="000000"/>
            </w:tcBorders>
            <w:shd w:val="clear" w:color="auto" w:fill="auto"/>
            <w:noWrap/>
            <w:vAlign w:val="center"/>
            <w:hideMark/>
          </w:tcPr>
          <w:p w14:paraId="008E217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6" w:type="dxa"/>
            <w:tcBorders>
              <w:top w:val="nil"/>
              <w:left w:val="nil"/>
              <w:bottom w:val="single" w:sz="4" w:space="0" w:color="000000"/>
              <w:right w:val="single" w:sz="4" w:space="0" w:color="000000"/>
            </w:tcBorders>
            <w:shd w:val="clear" w:color="auto" w:fill="auto"/>
            <w:noWrap/>
            <w:vAlign w:val="center"/>
            <w:hideMark/>
          </w:tcPr>
          <w:p w14:paraId="67A7A9E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c>
          <w:tcPr>
            <w:tcW w:w="1275" w:type="dxa"/>
            <w:tcBorders>
              <w:top w:val="nil"/>
              <w:left w:val="nil"/>
              <w:bottom w:val="single" w:sz="4" w:space="0" w:color="000000"/>
              <w:right w:val="single" w:sz="4" w:space="0" w:color="000000"/>
            </w:tcBorders>
            <w:shd w:val="clear" w:color="auto" w:fill="auto"/>
            <w:noWrap/>
            <w:vAlign w:val="center"/>
            <w:hideMark/>
          </w:tcPr>
          <w:p w14:paraId="262ECA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w:t>
            </w:r>
          </w:p>
        </w:tc>
      </w:tr>
      <w:tr w:rsidR="00996507" w:rsidRPr="00996507" w14:paraId="561403AD"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655FE32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A9996E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151" w:type="dxa"/>
            <w:tcBorders>
              <w:top w:val="nil"/>
              <w:left w:val="nil"/>
              <w:bottom w:val="single" w:sz="4" w:space="0" w:color="auto"/>
              <w:right w:val="single" w:sz="4" w:space="0" w:color="auto"/>
            </w:tcBorders>
            <w:shd w:val="clear" w:color="000000" w:fill="FFFFFF"/>
            <w:hideMark/>
          </w:tcPr>
          <w:p w14:paraId="613EBF9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3F48A2A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22</w:t>
            </w:r>
          </w:p>
        </w:tc>
        <w:tc>
          <w:tcPr>
            <w:tcW w:w="1276" w:type="dxa"/>
            <w:tcBorders>
              <w:top w:val="nil"/>
              <w:left w:val="nil"/>
              <w:bottom w:val="single" w:sz="4" w:space="0" w:color="000000"/>
              <w:right w:val="single" w:sz="4" w:space="0" w:color="000000"/>
            </w:tcBorders>
            <w:shd w:val="clear" w:color="000000" w:fill="C0C0C0"/>
            <w:noWrap/>
            <w:vAlign w:val="center"/>
            <w:hideMark/>
          </w:tcPr>
          <w:p w14:paraId="6094AD3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2C715C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A9BC0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742CFC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7CD5F88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7ABD4E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0DA6B1EB"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58DDE88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42F47D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объектов культурного наследия, находящихся в муниципальной собственности и требующих консервации или реставрации</w:t>
            </w:r>
          </w:p>
        </w:tc>
        <w:tc>
          <w:tcPr>
            <w:tcW w:w="1151" w:type="dxa"/>
            <w:tcBorders>
              <w:top w:val="nil"/>
              <w:left w:val="nil"/>
              <w:bottom w:val="single" w:sz="4" w:space="0" w:color="auto"/>
              <w:right w:val="single" w:sz="4" w:space="0" w:color="auto"/>
            </w:tcBorders>
            <w:shd w:val="clear" w:color="000000" w:fill="FFFFFF"/>
            <w:hideMark/>
          </w:tcPr>
          <w:p w14:paraId="34E4863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3DFD7D7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22.1</w:t>
            </w:r>
          </w:p>
        </w:tc>
        <w:tc>
          <w:tcPr>
            <w:tcW w:w="1276" w:type="dxa"/>
            <w:tcBorders>
              <w:top w:val="nil"/>
              <w:left w:val="nil"/>
              <w:bottom w:val="single" w:sz="4" w:space="0" w:color="000000"/>
              <w:right w:val="single" w:sz="4" w:space="0" w:color="000000"/>
            </w:tcBorders>
            <w:shd w:val="clear" w:color="auto" w:fill="auto"/>
            <w:noWrap/>
            <w:vAlign w:val="center"/>
            <w:hideMark/>
          </w:tcPr>
          <w:p w14:paraId="40C217E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711B566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40CD84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7" w:type="dxa"/>
            <w:tcBorders>
              <w:top w:val="nil"/>
              <w:left w:val="nil"/>
              <w:bottom w:val="single" w:sz="4" w:space="0" w:color="000000"/>
              <w:right w:val="single" w:sz="4" w:space="0" w:color="000000"/>
            </w:tcBorders>
            <w:shd w:val="clear" w:color="auto" w:fill="auto"/>
            <w:noWrap/>
            <w:vAlign w:val="center"/>
            <w:hideMark/>
          </w:tcPr>
          <w:p w14:paraId="276D9E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6" w:type="dxa"/>
            <w:tcBorders>
              <w:top w:val="nil"/>
              <w:left w:val="nil"/>
              <w:bottom w:val="single" w:sz="4" w:space="0" w:color="000000"/>
              <w:right w:val="single" w:sz="4" w:space="0" w:color="000000"/>
            </w:tcBorders>
            <w:shd w:val="clear" w:color="auto" w:fill="auto"/>
            <w:noWrap/>
            <w:vAlign w:val="center"/>
            <w:hideMark/>
          </w:tcPr>
          <w:p w14:paraId="336DD8C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1822E4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r>
      <w:tr w:rsidR="00996507" w:rsidRPr="00996507" w14:paraId="62CC370F"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F043CC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09D08F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объектов культурного наследия, находящихся в муниципальной собственности всего</w:t>
            </w:r>
          </w:p>
        </w:tc>
        <w:tc>
          <w:tcPr>
            <w:tcW w:w="1151" w:type="dxa"/>
            <w:tcBorders>
              <w:top w:val="nil"/>
              <w:left w:val="nil"/>
              <w:bottom w:val="single" w:sz="4" w:space="0" w:color="auto"/>
              <w:right w:val="single" w:sz="4" w:space="0" w:color="auto"/>
            </w:tcBorders>
            <w:shd w:val="clear" w:color="000000" w:fill="FFFFFF"/>
            <w:hideMark/>
          </w:tcPr>
          <w:p w14:paraId="536DE80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3A6B884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22.2</w:t>
            </w:r>
          </w:p>
        </w:tc>
        <w:tc>
          <w:tcPr>
            <w:tcW w:w="1276" w:type="dxa"/>
            <w:tcBorders>
              <w:top w:val="nil"/>
              <w:left w:val="nil"/>
              <w:bottom w:val="single" w:sz="4" w:space="0" w:color="000000"/>
              <w:right w:val="single" w:sz="4" w:space="0" w:color="000000"/>
            </w:tcBorders>
            <w:shd w:val="clear" w:color="auto" w:fill="auto"/>
            <w:noWrap/>
            <w:vAlign w:val="center"/>
            <w:hideMark/>
          </w:tcPr>
          <w:p w14:paraId="4A589C1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4468AE9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7EFFA6D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auto" w:fill="auto"/>
            <w:noWrap/>
            <w:vAlign w:val="center"/>
            <w:hideMark/>
          </w:tcPr>
          <w:p w14:paraId="30B0258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6" w:type="dxa"/>
            <w:tcBorders>
              <w:top w:val="nil"/>
              <w:left w:val="nil"/>
              <w:bottom w:val="single" w:sz="4" w:space="0" w:color="000000"/>
              <w:right w:val="single" w:sz="4" w:space="0" w:color="000000"/>
            </w:tcBorders>
            <w:shd w:val="clear" w:color="auto" w:fill="auto"/>
            <w:noWrap/>
            <w:vAlign w:val="center"/>
            <w:hideMark/>
          </w:tcPr>
          <w:p w14:paraId="709B7D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182BC90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r>
      <w:tr w:rsidR="00996507" w:rsidRPr="00996507" w14:paraId="43015108" w14:textId="77777777" w:rsidTr="00996507">
        <w:trPr>
          <w:trHeight w:val="61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4F691DA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Физическая культура и спорт</w:t>
            </w:r>
          </w:p>
        </w:tc>
        <w:tc>
          <w:tcPr>
            <w:tcW w:w="4378" w:type="dxa"/>
            <w:tcBorders>
              <w:top w:val="nil"/>
              <w:left w:val="nil"/>
              <w:bottom w:val="single" w:sz="4" w:space="0" w:color="auto"/>
              <w:right w:val="single" w:sz="4" w:space="0" w:color="auto"/>
            </w:tcBorders>
            <w:shd w:val="clear" w:color="000000" w:fill="FFFFFF"/>
            <w:hideMark/>
          </w:tcPr>
          <w:p w14:paraId="0EA37C6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населения, систематически занимающегося физической культурой и спортом</w:t>
            </w:r>
          </w:p>
        </w:tc>
        <w:tc>
          <w:tcPr>
            <w:tcW w:w="1151" w:type="dxa"/>
            <w:tcBorders>
              <w:top w:val="nil"/>
              <w:left w:val="nil"/>
              <w:bottom w:val="single" w:sz="4" w:space="0" w:color="auto"/>
              <w:right w:val="single" w:sz="4" w:space="0" w:color="auto"/>
            </w:tcBorders>
            <w:shd w:val="clear" w:color="000000" w:fill="FFFFFF"/>
            <w:hideMark/>
          </w:tcPr>
          <w:p w14:paraId="30E7D14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8559A6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w:t>
            </w:r>
          </w:p>
        </w:tc>
        <w:tc>
          <w:tcPr>
            <w:tcW w:w="1276" w:type="dxa"/>
            <w:tcBorders>
              <w:top w:val="nil"/>
              <w:left w:val="nil"/>
              <w:bottom w:val="single" w:sz="4" w:space="0" w:color="000000"/>
              <w:right w:val="single" w:sz="4" w:space="0" w:color="000000"/>
            </w:tcBorders>
            <w:shd w:val="clear" w:color="000000" w:fill="C0C0C0"/>
            <w:noWrap/>
            <w:vAlign w:val="center"/>
            <w:hideMark/>
          </w:tcPr>
          <w:p w14:paraId="1710CE3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38,2</w:t>
            </w:r>
          </w:p>
        </w:tc>
        <w:tc>
          <w:tcPr>
            <w:tcW w:w="1275" w:type="dxa"/>
            <w:tcBorders>
              <w:top w:val="nil"/>
              <w:left w:val="nil"/>
              <w:bottom w:val="single" w:sz="4" w:space="0" w:color="000000"/>
              <w:right w:val="single" w:sz="4" w:space="0" w:color="000000"/>
            </w:tcBorders>
            <w:shd w:val="clear" w:color="000000" w:fill="C0C0C0"/>
            <w:noWrap/>
            <w:vAlign w:val="center"/>
            <w:hideMark/>
          </w:tcPr>
          <w:p w14:paraId="7AC4C0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43,5</w:t>
            </w:r>
          </w:p>
        </w:tc>
        <w:tc>
          <w:tcPr>
            <w:tcW w:w="1275" w:type="dxa"/>
            <w:tcBorders>
              <w:top w:val="nil"/>
              <w:left w:val="nil"/>
              <w:bottom w:val="single" w:sz="4" w:space="0" w:color="000000"/>
              <w:right w:val="single" w:sz="4" w:space="0" w:color="000000"/>
            </w:tcBorders>
            <w:shd w:val="clear" w:color="000000" w:fill="C0C0C0"/>
            <w:noWrap/>
            <w:vAlign w:val="center"/>
            <w:hideMark/>
          </w:tcPr>
          <w:p w14:paraId="6925F6C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44,0</w:t>
            </w:r>
          </w:p>
        </w:tc>
        <w:tc>
          <w:tcPr>
            <w:tcW w:w="1277" w:type="dxa"/>
            <w:tcBorders>
              <w:top w:val="nil"/>
              <w:left w:val="nil"/>
              <w:bottom w:val="single" w:sz="4" w:space="0" w:color="000000"/>
              <w:right w:val="single" w:sz="4" w:space="0" w:color="000000"/>
            </w:tcBorders>
            <w:shd w:val="clear" w:color="000000" w:fill="C0C0C0"/>
            <w:noWrap/>
            <w:vAlign w:val="center"/>
            <w:hideMark/>
          </w:tcPr>
          <w:p w14:paraId="70791C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43,7</w:t>
            </w:r>
          </w:p>
        </w:tc>
        <w:tc>
          <w:tcPr>
            <w:tcW w:w="1276" w:type="dxa"/>
            <w:tcBorders>
              <w:top w:val="nil"/>
              <w:left w:val="nil"/>
              <w:bottom w:val="single" w:sz="4" w:space="0" w:color="000000"/>
              <w:right w:val="single" w:sz="4" w:space="0" w:color="000000"/>
            </w:tcBorders>
            <w:shd w:val="clear" w:color="000000" w:fill="C0C0C0"/>
            <w:noWrap/>
            <w:vAlign w:val="center"/>
            <w:hideMark/>
          </w:tcPr>
          <w:p w14:paraId="71552BB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43,3</w:t>
            </w:r>
          </w:p>
        </w:tc>
        <w:tc>
          <w:tcPr>
            <w:tcW w:w="1275" w:type="dxa"/>
            <w:tcBorders>
              <w:top w:val="nil"/>
              <w:left w:val="nil"/>
              <w:bottom w:val="single" w:sz="4" w:space="0" w:color="000000"/>
              <w:right w:val="single" w:sz="4" w:space="0" w:color="000000"/>
            </w:tcBorders>
            <w:shd w:val="clear" w:color="000000" w:fill="C0C0C0"/>
            <w:noWrap/>
            <w:vAlign w:val="center"/>
            <w:hideMark/>
          </w:tcPr>
          <w:p w14:paraId="6B7A04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43,2</w:t>
            </w:r>
          </w:p>
        </w:tc>
      </w:tr>
      <w:tr w:rsidR="00996507" w:rsidRPr="00996507" w14:paraId="0167E2C3"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48E74A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81DEED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обучающихся, систематически занимающихся физической культурой и спортом, в общей численности обучающихся</w:t>
            </w:r>
          </w:p>
        </w:tc>
        <w:tc>
          <w:tcPr>
            <w:tcW w:w="1151" w:type="dxa"/>
            <w:tcBorders>
              <w:top w:val="nil"/>
              <w:left w:val="nil"/>
              <w:bottom w:val="single" w:sz="4" w:space="0" w:color="auto"/>
              <w:right w:val="single" w:sz="4" w:space="0" w:color="auto"/>
            </w:tcBorders>
            <w:shd w:val="clear" w:color="000000" w:fill="FFFFFF"/>
            <w:hideMark/>
          </w:tcPr>
          <w:p w14:paraId="7F61064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83A868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23.1</w:t>
            </w:r>
          </w:p>
        </w:tc>
        <w:tc>
          <w:tcPr>
            <w:tcW w:w="1276" w:type="dxa"/>
            <w:tcBorders>
              <w:top w:val="nil"/>
              <w:left w:val="nil"/>
              <w:bottom w:val="single" w:sz="4" w:space="0" w:color="000000"/>
              <w:right w:val="single" w:sz="4" w:space="0" w:color="000000"/>
            </w:tcBorders>
            <w:shd w:val="clear" w:color="000000" w:fill="C0C0C0"/>
            <w:noWrap/>
            <w:vAlign w:val="center"/>
            <w:hideMark/>
          </w:tcPr>
          <w:p w14:paraId="0848578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119,5</w:t>
            </w:r>
          </w:p>
        </w:tc>
        <w:tc>
          <w:tcPr>
            <w:tcW w:w="1275" w:type="dxa"/>
            <w:tcBorders>
              <w:top w:val="nil"/>
              <w:left w:val="nil"/>
              <w:bottom w:val="single" w:sz="4" w:space="0" w:color="000000"/>
              <w:right w:val="single" w:sz="4" w:space="0" w:color="000000"/>
            </w:tcBorders>
            <w:shd w:val="clear" w:color="000000" w:fill="C0C0C0"/>
            <w:noWrap/>
            <w:vAlign w:val="center"/>
            <w:hideMark/>
          </w:tcPr>
          <w:p w14:paraId="5A53293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95,3</w:t>
            </w:r>
          </w:p>
        </w:tc>
        <w:tc>
          <w:tcPr>
            <w:tcW w:w="1275" w:type="dxa"/>
            <w:tcBorders>
              <w:top w:val="nil"/>
              <w:left w:val="nil"/>
              <w:bottom w:val="single" w:sz="4" w:space="0" w:color="000000"/>
              <w:right w:val="single" w:sz="4" w:space="0" w:color="000000"/>
            </w:tcBorders>
            <w:shd w:val="clear" w:color="000000" w:fill="C0C0C0"/>
            <w:noWrap/>
            <w:vAlign w:val="center"/>
            <w:hideMark/>
          </w:tcPr>
          <w:p w14:paraId="4360116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96,0</w:t>
            </w:r>
          </w:p>
        </w:tc>
        <w:tc>
          <w:tcPr>
            <w:tcW w:w="1277" w:type="dxa"/>
            <w:tcBorders>
              <w:top w:val="nil"/>
              <w:left w:val="nil"/>
              <w:bottom w:val="single" w:sz="4" w:space="0" w:color="000000"/>
              <w:right w:val="single" w:sz="4" w:space="0" w:color="000000"/>
            </w:tcBorders>
            <w:shd w:val="clear" w:color="000000" w:fill="C0C0C0"/>
            <w:noWrap/>
            <w:vAlign w:val="center"/>
            <w:hideMark/>
          </w:tcPr>
          <w:p w14:paraId="57882C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97,2</w:t>
            </w:r>
          </w:p>
        </w:tc>
        <w:tc>
          <w:tcPr>
            <w:tcW w:w="1276" w:type="dxa"/>
            <w:tcBorders>
              <w:top w:val="nil"/>
              <w:left w:val="nil"/>
              <w:bottom w:val="single" w:sz="4" w:space="0" w:color="000000"/>
              <w:right w:val="single" w:sz="4" w:space="0" w:color="000000"/>
            </w:tcBorders>
            <w:shd w:val="clear" w:color="000000" w:fill="C0C0C0"/>
            <w:noWrap/>
            <w:vAlign w:val="center"/>
            <w:hideMark/>
          </w:tcPr>
          <w:p w14:paraId="1E18734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97,7</w:t>
            </w:r>
          </w:p>
        </w:tc>
        <w:tc>
          <w:tcPr>
            <w:tcW w:w="1275" w:type="dxa"/>
            <w:tcBorders>
              <w:top w:val="nil"/>
              <w:left w:val="nil"/>
              <w:bottom w:val="single" w:sz="4" w:space="0" w:color="000000"/>
              <w:right w:val="single" w:sz="4" w:space="0" w:color="000000"/>
            </w:tcBorders>
            <w:shd w:val="clear" w:color="000000" w:fill="C0C0C0"/>
            <w:noWrap/>
            <w:vAlign w:val="center"/>
            <w:hideMark/>
          </w:tcPr>
          <w:p w14:paraId="2B0BDE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98,2</w:t>
            </w:r>
          </w:p>
        </w:tc>
      </w:tr>
      <w:tr w:rsidR="00996507" w:rsidRPr="00996507" w14:paraId="5A13C239"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09730F6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E21F37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обучающихся, занимающихся физической культурой и спортом</w:t>
            </w:r>
          </w:p>
        </w:tc>
        <w:tc>
          <w:tcPr>
            <w:tcW w:w="1151" w:type="dxa"/>
            <w:tcBorders>
              <w:top w:val="nil"/>
              <w:left w:val="nil"/>
              <w:bottom w:val="single" w:sz="4" w:space="0" w:color="auto"/>
              <w:right w:val="single" w:sz="4" w:space="0" w:color="auto"/>
            </w:tcBorders>
            <w:shd w:val="clear" w:color="000000" w:fill="FFFFFF"/>
            <w:hideMark/>
          </w:tcPr>
          <w:p w14:paraId="178567B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73E9C7D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23.2</w:t>
            </w:r>
          </w:p>
        </w:tc>
        <w:tc>
          <w:tcPr>
            <w:tcW w:w="1276" w:type="dxa"/>
            <w:tcBorders>
              <w:top w:val="nil"/>
              <w:left w:val="nil"/>
              <w:bottom w:val="single" w:sz="4" w:space="0" w:color="000000"/>
              <w:right w:val="single" w:sz="4" w:space="0" w:color="000000"/>
            </w:tcBorders>
            <w:shd w:val="clear" w:color="auto" w:fill="auto"/>
            <w:noWrap/>
            <w:vAlign w:val="center"/>
            <w:hideMark/>
          </w:tcPr>
          <w:p w14:paraId="6AA557B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25 455</w:t>
            </w:r>
          </w:p>
        </w:tc>
        <w:tc>
          <w:tcPr>
            <w:tcW w:w="1275" w:type="dxa"/>
            <w:tcBorders>
              <w:top w:val="nil"/>
              <w:left w:val="nil"/>
              <w:bottom w:val="single" w:sz="4" w:space="0" w:color="000000"/>
              <w:right w:val="single" w:sz="4" w:space="0" w:color="000000"/>
            </w:tcBorders>
            <w:shd w:val="clear" w:color="auto" w:fill="auto"/>
            <w:noWrap/>
            <w:vAlign w:val="center"/>
            <w:hideMark/>
          </w:tcPr>
          <w:p w14:paraId="642200D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21 091</w:t>
            </w:r>
          </w:p>
        </w:tc>
        <w:tc>
          <w:tcPr>
            <w:tcW w:w="1275" w:type="dxa"/>
            <w:tcBorders>
              <w:top w:val="nil"/>
              <w:left w:val="nil"/>
              <w:bottom w:val="single" w:sz="4" w:space="0" w:color="000000"/>
              <w:right w:val="single" w:sz="4" w:space="0" w:color="000000"/>
            </w:tcBorders>
            <w:shd w:val="clear" w:color="auto" w:fill="auto"/>
            <w:noWrap/>
            <w:vAlign w:val="center"/>
            <w:hideMark/>
          </w:tcPr>
          <w:p w14:paraId="0786DBE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22 091</w:t>
            </w:r>
          </w:p>
        </w:tc>
        <w:tc>
          <w:tcPr>
            <w:tcW w:w="1277" w:type="dxa"/>
            <w:tcBorders>
              <w:top w:val="nil"/>
              <w:left w:val="nil"/>
              <w:bottom w:val="single" w:sz="4" w:space="0" w:color="000000"/>
              <w:right w:val="single" w:sz="4" w:space="0" w:color="000000"/>
            </w:tcBorders>
            <w:shd w:val="clear" w:color="auto" w:fill="auto"/>
            <w:noWrap/>
            <w:vAlign w:val="center"/>
            <w:hideMark/>
          </w:tcPr>
          <w:p w14:paraId="5BAFBF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22 191</w:t>
            </w:r>
          </w:p>
        </w:tc>
        <w:tc>
          <w:tcPr>
            <w:tcW w:w="1276" w:type="dxa"/>
            <w:tcBorders>
              <w:top w:val="nil"/>
              <w:left w:val="nil"/>
              <w:bottom w:val="single" w:sz="4" w:space="0" w:color="000000"/>
              <w:right w:val="single" w:sz="4" w:space="0" w:color="000000"/>
            </w:tcBorders>
            <w:shd w:val="clear" w:color="auto" w:fill="auto"/>
            <w:noWrap/>
            <w:vAlign w:val="center"/>
            <w:hideMark/>
          </w:tcPr>
          <w:p w14:paraId="005F12B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22 292</w:t>
            </w:r>
          </w:p>
        </w:tc>
        <w:tc>
          <w:tcPr>
            <w:tcW w:w="1275" w:type="dxa"/>
            <w:tcBorders>
              <w:top w:val="nil"/>
              <w:left w:val="nil"/>
              <w:bottom w:val="single" w:sz="4" w:space="0" w:color="000000"/>
              <w:right w:val="single" w:sz="4" w:space="0" w:color="000000"/>
            </w:tcBorders>
            <w:shd w:val="clear" w:color="auto" w:fill="auto"/>
            <w:noWrap/>
            <w:vAlign w:val="center"/>
            <w:hideMark/>
          </w:tcPr>
          <w:p w14:paraId="5A5DC3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22 393</w:t>
            </w:r>
          </w:p>
        </w:tc>
      </w:tr>
      <w:tr w:rsidR="00996507" w:rsidRPr="00996507" w14:paraId="53C9711B" w14:textId="77777777" w:rsidTr="00996507">
        <w:trPr>
          <w:trHeight w:val="510"/>
        </w:trPr>
        <w:tc>
          <w:tcPr>
            <w:tcW w:w="1701" w:type="dxa"/>
            <w:tcBorders>
              <w:top w:val="nil"/>
              <w:left w:val="single" w:sz="4" w:space="0" w:color="auto"/>
              <w:bottom w:val="single" w:sz="4" w:space="0" w:color="auto"/>
              <w:right w:val="single" w:sz="4" w:space="0" w:color="auto"/>
            </w:tcBorders>
            <w:shd w:val="clear" w:color="000000" w:fill="FFFFFF"/>
            <w:hideMark/>
          </w:tcPr>
          <w:p w14:paraId="430EE8E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Экономическое развитие</w:t>
            </w:r>
          </w:p>
        </w:tc>
        <w:tc>
          <w:tcPr>
            <w:tcW w:w="4378" w:type="dxa"/>
            <w:tcBorders>
              <w:top w:val="nil"/>
              <w:left w:val="nil"/>
              <w:bottom w:val="single" w:sz="4" w:space="0" w:color="auto"/>
              <w:right w:val="single" w:sz="4" w:space="0" w:color="auto"/>
            </w:tcBorders>
            <w:shd w:val="clear" w:color="000000" w:fill="FFFFFF"/>
            <w:hideMark/>
          </w:tcPr>
          <w:p w14:paraId="2E0920B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населения в возрасте 0-17 лет на 1 января отчетного года</w:t>
            </w:r>
          </w:p>
        </w:tc>
        <w:tc>
          <w:tcPr>
            <w:tcW w:w="1151" w:type="dxa"/>
            <w:tcBorders>
              <w:top w:val="nil"/>
              <w:left w:val="nil"/>
              <w:bottom w:val="single" w:sz="4" w:space="0" w:color="auto"/>
              <w:right w:val="single" w:sz="4" w:space="0" w:color="auto"/>
            </w:tcBorders>
            <w:shd w:val="clear" w:color="000000" w:fill="FFFFFF"/>
            <w:hideMark/>
          </w:tcPr>
          <w:p w14:paraId="2F37B9B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7DC305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23.3</w:t>
            </w:r>
          </w:p>
        </w:tc>
        <w:tc>
          <w:tcPr>
            <w:tcW w:w="1276" w:type="dxa"/>
            <w:tcBorders>
              <w:top w:val="nil"/>
              <w:left w:val="nil"/>
              <w:bottom w:val="single" w:sz="4" w:space="0" w:color="000000"/>
              <w:right w:val="single" w:sz="4" w:space="0" w:color="000000"/>
            </w:tcBorders>
            <w:shd w:val="clear" w:color="auto" w:fill="auto"/>
            <w:noWrap/>
            <w:vAlign w:val="center"/>
            <w:hideMark/>
          </w:tcPr>
          <w:p w14:paraId="25366BE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21 301</w:t>
            </w:r>
          </w:p>
        </w:tc>
        <w:tc>
          <w:tcPr>
            <w:tcW w:w="1275" w:type="dxa"/>
            <w:tcBorders>
              <w:top w:val="nil"/>
              <w:left w:val="nil"/>
              <w:bottom w:val="single" w:sz="4" w:space="0" w:color="000000"/>
              <w:right w:val="single" w:sz="4" w:space="0" w:color="000000"/>
            </w:tcBorders>
            <w:shd w:val="clear" w:color="auto" w:fill="auto"/>
            <w:noWrap/>
            <w:vAlign w:val="center"/>
            <w:hideMark/>
          </w:tcPr>
          <w:p w14:paraId="33D6DDB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22 120</w:t>
            </w:r>
          </w:p>
        </w:tc>
        <w:tc>
          <w:tcPr>
            <w:tcW w:w="1275" w:type="dxa"/>
            <w:tcBorders>
              <w:top w:val="nil"/>
              <w:left w:val="nil"/>
              <w:bottom w:val="single" w:sz="4" w:space="0" w:color="000000"/>
              <w:right w:val="single" w:sz="4" w:space="0" w:color="000000"/>
            </w:tcBorders>
            <w:shd w:val="clear" w:color="auto" w:fill="auto"/>
            <w:noWrap/>
            <w:vAlign w:val="center"/>
            <w:hideMark/>
          </w:tcPr>
          <w:p w14:paraId="550419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23 013</w:t>
            </w:r>
          </w:p>
        </w:tc>
        <w:tc>
          <w:tcPr>
            <w:tcW w:w="1277" w:type="dxa"/>
            <w:tcBorders>
              <w:top w:val="nil"/>
              <w:left w:val="nil"/>
              <w:bottom w:val="single" w:sz="4" w:space="0" w:color="000000"/>
              <w:right w:val="single" w:sz="4" w:space="0" w:color="000000"/>
            </w:tcBorders>
            <w:shd w:val="clear" w:color="auto" w:fill="auto"/>
            <w:noWrap/>
            <w:vAlign w:val="center"/>
            <w:hideMark/>
          </w:tcPr>
          <w:p w14:paraId="1948DA4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23 013</w:t>
            </w:r>
          </w:p>
        </w:tc>
        <w:tc>
          <w:tcPr>
            <w:tcW w:w="1276" w:type="dxa"/>
            <w:tcBorders>
              <w:top w:val="nil"/>
              <w:left w:val="nil"/>
              <w:bottom w:val="single" w:sz="4" w:space="0" w:color="000000"/>
              <w:right w:val="single" w:sz="4" w:space="0" w:color="000000"/>
            </w:tcBorders>
            <w:shd w:val="clear" w:color="auto" w:fill="auto"/>
            <w:noWrap/>
            <w:vAlign w:val="center"/>
            <w:hideMark/>
          </w:tcPr>
          <w:p w14:paraId="1AEABA9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22 527</w:t>
            </w:r>
          </w:p>
        </w:tc>
        <w:tc>
          <w:tcPr>
            <w:tcW w:w="1275" w:type="dxa"/>
            <w:tcBorders>
              <w:top w:val="nil"/>
              <w:left w:val="nil"/>
              <w:bottom w:val="single" w:sz="4" w:space="0" w:color="000000"/>
              <w:right w:val="single" w:sz="4" w:space="0" w:color="000000"/>
            </w:tcBorders>
            <w:shd w:val="clear" w:color="auto" w:fill="auto"/>
            <w:noWrap/>
            <w:vAlign w:val="center"/>
            <w:hideMark/>
          </w:tcPr>
          <w:p w14:paraId="3A0458A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22 852</w:t>
            </w:r>
          </w:p>
        </w:tc>
      </w:tr>
      <w:tr w:rsidR="00996507" w:rsidRPr="00996507" w14:paraId="3F20EA33" w14:textId="77777777" w:rsidTr="00996507">
        <w:trPr>
          <w:trHeight w:val="555"/>
        </w:trPr>
        <w:tc>
          <w:tcPr>
            <w:tcW w:w="1701" w:type="dxa"/>
            <w:tcBorders>
              <w:top w:val="nil"/>
              <w:left w:val="single" w:sz="4" w:space="0" w:color="auto"/>
              <w:bottom w:val="single" w:sz="4" w:space="0" w:color="auto"/>
              <w:right w:val="single" w:sz="4" w:space="0" w:color="auto"/>
            </w:tcBorders>
            <w:shd w:val="clear" w:color="000000" w:fill="FFFFFF"/>
            <w:hideMark/>
          </w:tcPr>
          <w:p w14:paraId="7204F75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Физическая культура и спорт</w:t>
            </w:r>
          </w:p>
        </w:tc>
        <w:tc>
          <w:tcPr>
            <w:tcW w:w="4378" w:type="dxa"/>
            <w:tcBorders>
              <w:top w:val="nil"/>
              <w:left w:val="nil"/>
              <w:bottom w:val="single" w:sz="4" w:space="0" w:color="auto"/>
              <w:right w:val="single" w:sz="4" w:space="0" w:color="auto"/>
            </w:tcBorders>
            <w:shd w:val="clear" w:color="000000" w:fill="FFFFFF"/>
            <w:hideMark/>
          </w:tcPr>
          <w:p w14:paraId="4392B3D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лиц, систематически занимающихся физической культурой и спортом</w:t>
            </w:r>
          </w:p>
        </w:tc>
        <w:tc>
          <w:tcPr>
            <w:tcW w:w="1151" w:type="dxa"/>
            <w:tcBorders>
              <w:top w:val="nil"/>
              <w:left w:val="nil"/>
              <w:bottom w:val="single" w:sz="4" w:space="0" w:color="auto"/>
              <w:right w:val="single" w:sz="4" w:space="0" w:color="auto"/>
            </w:tcBorders>
            <w:shd w:val="clear" w:color="000000" w:fill="FFFFFF"/>
            <w:hideMark/>
          </w:tcPr>
          <w:p w14:paraId="6E09AE6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0474457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23.4</w:t>
            </w:r>
          </w:p>
        </w:tc>
        <w:tc>
          <w:tcPr>
            <w:tcW w:w="1276" w:type="dxa"/>
            <w:tcBorders>
              <w:top w:val="nil"/>
              <w:left w:val="nil"/>
              <w:bottom w:val="single" w:sz="4" w:space="0" w:color="000000"/>
              <w:right w:val="single" w:sz="4" w:space="0" w:color="000000"/>
            </w:tcBorders>
            <w:shd w:val="clear" w:color="auto" w:fill="auto"/>
            <w:noWrap/>
            <w:vAlign w:val="center"/>
            <w:hideMark/>
          </w:tcPr>
          <w:p w14:paraId="7B9A9C5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36 468</w:t>
            </w:r>
          </w:p>
        </w:tc>
        <w:tc>
          <w:tcPr>
            <w:tcW w:w="1275" w:type="dxa"/>
            <w:tcBorders>
              <w:top w:val="nil"/>
              <w:left w:val="nil"/>
              <w:bottom w:val="single" w:sz="4" w:space="0" w:color="000000"/>
              <w:right w:val="single" w:sz="4" w:space="0" w:color="000000"/>
            </w:tcBorders>
            <w:shd w:val="clear" w:color="auto" w:fill="auto"/>
            <w:noWrap/>
            <w:vAlign w:val="center"/>
            <w:hideMark/>
          </w:tcPr>
          <w:p w14:paraId="756D47F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38 945</w:t>
            </w:r>
          </w:p>
        </w:tc>
        <w:tc>
          <w:tcPr>
            <w:tcW w:w="1275" w:type="dxa"/>
            <w:tcBorders>
              <w:top w:val="nil"/>
              <w:left w:val="nil"/>
              <w:bottom w:val="single" w:sz="4" w:space="0" w:color="000000"/>
              <w:right w:val="single" w:sz="4" w:space="0" w:color="000000"/>
            </w:tcBorders>
            <w:shd w:val="clear" w:color="auto" w:fill="auto"/>
            <w:noWrap/>
            <w:vAlign w:val="center"/>
            <w:hideMark/>
          </w:tcPr>
          <w:p w14:paraId="7C6FBB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40 121</w:t>
            </w:r>
          </w:p>
        </w:tc>
        <w:tc>
          <w:tcPr>
            <w:tcW w:w="1277" w:type="dxa"/>
            <w:tcBorders>
              <w:top w:val="nil"/>
              <w:left w:val="nil"/>
              <w:bottom w:val="single" w:sz="4" w:space="0" w:color="000000"/>
              <w:right w:val="single" w:sz="4" w:space="0" w:color="000000"/>
            </w:tcBorders>
            <w:shd w:val="clear" w:color="auto" w:fill="auto"/>
            <w:noWrap/>
            <w:vAlign w:val="center"/>
            <w:hideMark/>
          </w:tcPr>
          <w:p w14:paraId="657B202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40 545</w:t>
            </w:r>
          </w:p>
        </w:tc>
        <w:tc>
          <w:tcPr>
            <w:tcW w:w="1276" w:type="dxa"/>
            <w:tcBorders>
              <w:top w:val="nil"/>
              <w:left w:val="nil"/>
              <w:bottom w:val="single" w:sz="4" w:space="0" w:color="000000"/>
              <w:right w:val="single" w:sz="4" w:space="0" w:color="000000"/>
            </w:tcBorders>
            <w:shd w:val="clear" w:color="auto" w:fill="auto"/>
            <w:noWrap/>
            <w:vAlign w:val="center"/>
            <w:hideMark/>
          </w:tcPr>
          <w:p w14:paraId="3F8D9C3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41 000</w:t>
            </w:r>
          </w:p>
        </w:tc>
        <w:tc>
          <w:tcPr>
            <w:tcW w:w="1275" w:type="dxa"/>
            <w:tcBorders>
              <w:top w:val="nil"/>
              <w:left w:val="nil"/>
              <w:bottom w:val="single" w:sz="4" w:space="0" w:color="000000"/>
              <w:right w:val="single" w:sz="4" w:space="0" w:color="000000"/>
            </w:tcBorders>
            <w:shd w:val="clear" w:color="auto" w:fill="auto"/>
            <w:noWrap/>
            <w:vAlign w:val="center"/>
            <w:hideMark/>
          </w:tcPr>
          <w:p w14:paraId="36ADA85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41 500</w:t>
            </w:r>
          </w:p>
        </w:tc>
      </w:tr>
      <w:tr w:rsidR="00996507" w:rsidRPr="00996507" w14:paraId="623CC242" w14:textId="77777777" w:rsidTr="00996507">
        <w:trPr>
          <w:trHeight w:val="510"/>
        </w:trPr>
        <w:tc>
          <w:tcPr>
            <w:tcW w:w="1701" w:type="dxa"/>
            <w:tcBorders>
              <w:top w:val="nil"/>
              <w:left w:val="single" w:sz="4" w:space="0" w:color="auto"/>
              <w:bottom w:val="single" w:sz="4" w:space="0" w:color="auto"/>
              <w:right w:val="single" w:sz="4" w:space="0" w:color="auto"/>
            </w:tcBorders>
            <w:shd w:val="clear" w:color="000000" w:fill="FFFFFF"/>
            <w:hideMark/>
          </w:tcPr>
          <w:p w14:paraId="6CC58E6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Экономическое развитие</w:t>
            </w:r>
          </w:p>
        </w:tc>
        <w:tc>
          <w:tcPr>
            <w:tcW w:w="4378" w:type="dxa"/>
            <w:tcBorders>
              <w:top w:val="nil"/>
              <w:left w:val="nil"/>
              <w:bottom w:val="single" w:sz="4" w:space="0" w:color="auto"/>
              <w:right w:val="single" w:sz="4" w:space="0" w:color="auto"/>
            </w:tcBorders>
            <w:shd w:val="clear" w:color="000000" w:fill="FFFFFF"/>
            <w:hideMark/>
          </w:tcPr>
          <w:p w14:paraId="71F3EFA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Численность населения в возрасте 3-79 лет на 1 января отчетного года</w:t>
            </w:r>
          </w:p>
        </w:tc>
        <w:tc>
          <w:tcPr>
            <w:tcW w:w="1151" w:type="dxa"/>
            <w:tcBorders>
              <w:top w:val="nil"/>
              <w:left w:val="nil"/>
              <w:bottom w:val="single" w:sz="4" w:space="0" w:color="auto"/>
              <w:right w:val="single" w:sz="4" w:space="0" w:color="auto"/>
            </w:tcBorders>
            <w:shd w:val="clear" w:color="000000" w:fill="FFFFFF"/>
            <w:hideMark/>
          </w:tcPr>
          <w:p w14:paraId="363D164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08DA34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23.5</w:t>
            </w:r>
          </w:p>
        </w:tc>
        <w:tc>
          <w:tcPr>
            <w:tcW w:w="1276" w:type="dxa"/>
            <w:tcBorders>
              <w:top w:val="nil"/>
              <w:left w:val="nil"/>
              <w:bottom w:val="single" w:sz="4" w:space="0" w:color="000000"/>
              <w:right w:val="single" w:sz="4" w:space="0" w:color="000000"/>
            </w:tcBorders>
            <w:shd w:val="clear" w:color="auto" w:fill="auto"/>
            <w:noWrap/>
            <w:vAlign w:val="center"/>
            <w:hideMark/>
          </w:tcPr>
          <w:p w14:paraId="34BE893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w:t>
            </w:r>
          </w:p>
        </w:tc>
        <w:tc>
          <w:tcPr>
            <w:tcW w:w="1275" w:type="dxa"/>
            <w:tcBorders>
              <w:top w:val="nil"/>
              <w:left w:val="nil"/>
              <w:bottom w:val="single" w:sz="4" w:space="0" w:color="000000"/>
              <w:right w:val="single" w:sz="4" w:space="0" w:color="000000"/>
            </w:tcBorders>
            <w:shd w:val="clear" w:color="auto" w:fill="auto"/>
            <w:noWrap/>
            <w:vAlign w:val="center"/>
            <w:hideMark/>
          </w:tcPr>
          <w:p w14:paraId="0CA26DA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89 530</w:t>
            </w:r>
          </w:p>
        </w:tc>
        <w:tc>
          <w:tcPr>
            <w:tcW w:w="1275" w:type="dxa"/>
            <w:tcBorders>
              <w:top w:val="nil"/>
              <w:left w:val="nil"/>
              <w:bottom w:val="single" w:sz="4" w:space="0" w:color="000000"/>
              <w:right w:val="single" w:sz="4" w:space="0" w:color="000000"/>
            </w:tcBorders>
            <w:shd w:val="clear" w:color="auto" w:fill="auto"/>
            <w:noWrap/>
            <w:vAlign w:val="center"/>
            <w:hideMark/>
          </w:tcPr>
          <w:p w14:paraId="4E5475E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91 097</w:t>
            </w:r>
          </w:p>
        </w:tc>
        <w:tc>
          <w:tcPr>
            <w:tcW w:w="1277" w:type="dxa"/>
            <w:tcBorders>
              <w:top w:val="nil"/>
              <w:left w:val="nil"/>
              <w:bottom w:val="single" w:sz="4" w:space="0" w:color="000000"/>
              <w:right w:val="single" w:sz="4" w:space="0" w:color="000000"/>
            </w:tcBorders>
            <w:shd w:val="clear" w:color="auto" w:fill="auto"/>
            <w:noWrap/>
            <w:vAlign w:val="center"/>
            <w:hideMark/>
          </w:tcPr>
          <w:p w14:paraId="193B220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92 874</w:t>
            </w:r>
          </w:p>
        </w:tc>
        <w:tc>
          <w:tcPr>
            <w:tcW w:w="1276" w:type="dxa"/>
            <w:tcBorders>
              <w:top w:val="nil"/>
              <w:left w:val="nil"/>
              <w:bottom w:val="single" w:sz="4" w:space="0" w:color="000000"/>
              <w:right w:val="single" w:sz="4" w:space="0" w:color="000000"/>
            </w:tcBorders>
            <w:shd w:val="clear" w:color="auto" w:fill="auto"/>
            <w:noWrap/>
            <w:vAlign w:val="center"/>
            <w:hideMark/>
          </w:tcPr>
          <w:p w14:paraId="0C94AEC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94 731</w:t>
            </w:r>
          </w:p>
        </w:tc>
        <w:tc>
          <w:tcPr>
            <w:tcW w:w="1275" w:type="dxa"/>
            <w:tcBorders>
              <w:top w:val="nil"/>
              <w:left w:val="nil"/>
              <w:bottom w:val="single" w:sz="4" w:space="0" w:color="000000"/>
              <w:right w:val="single" w:sz="4" w:space="0" w:color="000000"/>
            </w:tcBorders>
            <w:shd w:val="clear" w:color="auto" w:fill="auto"/>
            <w:noWrap/>
            <w:vAlign w:val="center"/>
            <w:hideMark/>
          </w:tcPr>
          <w:p w14:paraId="3F029C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96 151</w:t>
            </w:r>
          </w:p>
        </w:tc>
      </w:tr>
      <w:tr w:rsidR="00996507" w:rsidRPr="00996507" w14:paraId="1F8416B4" w14:textId="77777777" w:rsidTr="00996507">
        <w:trPr>
          <w:trHeight w:val="76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4FF5538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Жилищное строительство и обеспечение граждан жильем</w:t>
            </w:r>
          </w:p>
        </w:tc>
        <w:tc>
          <w:tcPr>
            <w:tcW w:w="4378" w:type="dxa"/>
            <w:tcBorders>
              <w:top w:val="nil"/>
              <w:left w:val="nil"/>
              <w:bottom w:val="single" w:sz="4" w:space="0" w:color="auto"/>
              <w:right w:val="single" w:sz="4" w:space="0" w:color="auto"/>
            </w:tcBorders>
            <w:shd w:val="clear" w:color="000000" w:fill="FFFFFF"/>
            <w:hideMark/>
          </w:tcPr>
          <w:p w14:paraId="1192AEC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площадь жилых помещений, приходящаяся в среднем на одного жителя, - всего</w:t>
            </w:r>
          </w:p>
        </w:tc>
        <w:tc>
          <w:tcPr>
            <w:tcW w:w="1151" w:type="dxa"/>
            <w:tcBorders>
              <w:top w:val="nil"/>
              <w:left w:val="nil"/>
              <w:bottom w:val="single" w:sz="4" w:space="0" w:color="auto"/>
              <w:right w:val="single" w:sz="4" w:space="0" w:color="auto"/>
            </w:tcBorders>
            <w:shd w:val="clear" w:color="000000" w:fill="FFFFFF"/>
            <w:hideMark/>
          </w:tcPr>
          <w:p w14:paraId="4346B88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0B2185B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24</w:t>
            </w:r>
          </w:p>
        </w:tc>
        <w:tc>
          <w:tcPr>
            <w:tcW w:w="1276" w:type="dxa"/>
            <w:tcBorders>
              <w:top w:val="nil"/>
              <w:left w:val="nil"/>
              <w:bottom w:val="single" w:sz="4" w:space="0" w:color="000000"/>
              <w:right w:val="single" w:sz="4" w:space="0" w:color="000000"/>
            </w:tcBorders>
            <w:shd w:val="clear" w:color="auto" w:fill="auto"/>
            <w:noWrap/>
            <w:vAlign w:val="center"/>
            <w:hideMark/>
          </w:tcPr>
          <w:p w14:paraId="20133DD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21,1</w:t>
            </w:r>
          </w:p>
        </w:tc>
        <w:tc>
          <w:tcPr>
            <w:tcW w:w="1275" w:type="dxa"/>
            <w:tcBorders>
              <w:top w:val="nil"/>
              <w:left w:val="nil"/>
              <w:bottom w:val="single" w:sz="4" w:space="0" w:color="000000"/>
              <w:right w:val="single" w:sz="4" w:space="0" w:color="000000"/>
            </w:tcBorders>
            <w:shd w:val="clear" w:color="auto" w:fill="auto"/>
            <w:noWrap/>
            <w:vAlign w:val="center"/>
            <w:hideMark/>
          </w:tcPr>
          <w:p w14:paraId="1D38D0E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23,6</w:t>
            </w:r>
          </w:p>
        </w:tc>
        <w:tc>
          <w:tcPr>
            <w:tcW w:w="1275" w:type="dxa"/>
            <w:tcBorders>
              <w:top w:val="nil"/>
              <w:left w:val="nil"/>
              <w:bottom w:val="single" w:sz="4" w:space="0" w:color="000000"/>
              <w:right w:val="single" w:sz="4" w:space="0" w:color="000000"/>
            </w:tcBorders>
            <w:shd w:val="clear" w:color="auto" w:fill="auto"/>
            <w:noWrap/>
            <w:vAlign w:val="center"/>
            <w:hideMark/>
          </w:tcPr>
          <w:p w14:paraId="27B204C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24,4</w:t>
            </w:r>
          </w:p>
        </w:tc>
        <w:tc>
          <w:tcPr>
            <w:tcW w:w="1277" w:type="dxa"/>
            <w:tcBorders>
              <w:top w:val="nil"/>
              <w:left w:val="nil"/>
              <w:bottom w:val="single" w:sz="4" w:space="0" w:color="000000"/>
              <w:right w:val="single" w:sz="4" w:space="0" w:color="000000"/>
            </w:tcBorders>
            <w:shd w:val="clear" w:color="auto" w:fill="auto"/>
            <w:noWrap/>
            <w:vAlign w:val="center"/>
            <w:hideMark/>
          </w:tcPr>
          <w:p w14:paraId="736F2E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21,9</w:t>
            </w:r>
          </w:p>
        </w:tc>
        <w:tc>
          <w:tcPr>
            <w:tcW w:w="1276" w:type="dxa"/>
            <w:tcBorders>
              <w:top w:val="nil"/>
              <w:left w:val="nil"/>
              <w:bottom w:val="single" w:sz="4" w:space="0" w:color="000000"/>
              <w:right w:val="single" w:sz="4" w:space="0" w:color="000000"/>
            </w:tcBorders>
            <w:shd w:val="clear" w:color="auto" w:fill="auto"/>
            <w:noWrap/>
            <w:vAlign w:val="center"/>
            <w:hideMark/>
          </w:tcPr>
          <w:p w14:paraId="0B4858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22,0</w:t>
            </w:r>
          </w:p>
        </w:tc>
        <w:tc>
          <w:tcPr>
            <w:tcW w:w="1275" w:type="dxa"/>
            <w:tcBorders>
              <w:top w:val="nil"/>
              <w:left w:val="nil"/>
              <w:bottom w:val="single" w:sz="4" w:space="0" w:color="000000"/>
              <w:right w:val="single" w:sz="4" w:space="0" w:color="000000"/>
            </w:tcBorders>
            <w:shd w:val="clear" w:color="auto" w:fill="auto"/>
            <w:noWrap/>
            <w:vAlign w:val="center"/>
            <w:hideMark/>
          </w:tcPr>
          <w:p w14:paraId="716735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22,0</w:t>
            </w:r>
          </w:p>
        </w:tc>
      </w:tr>
      <w:tr w:rsidR="00996507" w:rsidRPr="00996507" w14:paraId="3B558C47"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967C8D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D90A49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площадь жилых помещений, приходящаяся в среднем на одного жителя, в том числе введенная в действие за один год</w:t>
            </w:r>
          </w:p>
        </w:tc>
        <w:tc>
          <w:tcPr>
            <w:tcW w:w="1151" w:type="dxa"/>
            <w:tcBorders>
              <w:top w:val="nil"/>
              <w:left w:val="nil"/>
              <w:bottom w:val="single" w:sz="4" w:space="0" w:color="auto"/>
              <w:right w:val="single" w:sz="4" w:space="0" w:color="auto"/>
            </w:tcBorders>
            <w:shd w:val="clear" w:color="000000" w:fill="FFFFFF"/>
            <w:hideMark/>
          </w:tcPr>
          <w:p w14:paraId="01070F7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06E8530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24.1</w:t>
            </w:r>
          </w:p>
        </w:tc>
        <w:tc>
          <w:tcPr>
            <w:tcW w:w="1276" w:type="dxa"/>
            <w:tcBorders>
              <w:top w:val="nil"/>
              <w:left w:val="nil"/>
              <w:bottom w:val="single" w:sz="4" w:space="0" w:color="000000"/>
              <w:right w:val="single" w:sz="4" w:space="0" w:color="000000"/>
            </w:tcBorders>
            <w:shd w:val="clear" w:color="auto" w:fill="auto"/>
            <w:noWrap/>
            <w:vAlign w:val="center"/>
            <w:hideMark/>
          </w:tcPr>
          <w:p w14:paraId="19C6A38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c>
          <w:tcPr>
            <w:tcW w:w="1275" w:type="dxa"/>
            <w:tcBorders>
              <w:top w:val="nil"/>
              <w:left w:val="nil"/>
              <w:bottom w:val="single" w:sz="4" w:space="0" w:color="000000"/>
              <w:right w:val="single" w:sz="4" w:space="0" w:color="000000"/>
            </w:tcBorders>
            <w:shd w:val="clear" w:color="auto" w:fill="auto"/>
            <w:noWrap/>
            <w:vAlign w:val="center"/>
            <w:hideMark/>
          </w:tcPr>
          <w:p w14:paraId="747CC29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w:t>
            </w:r>
          </w:p>
        </w:tc>
        <w:tc>
          <w:tcPr>
            <w:tcW w:w="1275" w:type="dxa"/>
            <w:tcBorders>
              <w:top w:val="nil"/>
              <w:left w:val="nil"/>
              <w:bottom w:val="single" w:sz="4" w:space="0" w:color="000000"/>
              <w:right w:val="single" w:sz="4" w:space="0" w:color="000000"/>
            </w:tcBorders>
            <w:shd w:val="clear" w:color="auto" w:fill="auto"/>
            <w:noWrap/>
            <w:vAlign w:val="center"/>
            <w:hideMark/>
          </w:tcPr>
          <w:p w14:paraId="714291D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w:t>
            </w:r>
          </w:p>
        </w:tc>
        <w:tc>
          <w:tcPr>
            <w:tcW w:w="1277" w:type="dxa"/>
            <w:tcBorders>
              <w:top w:val="nil"/>
              <w:left w:val="nil"/>
              <w:bottom w:val="single" w:sz="4" w:space="0" w:color="000000"/>
              <w:right w:val="single" w:sz="4" w:space="0" w:color="000000"/>
            </w:tcBorders>
            <w:shd w:val="clear" w:color="auto" w:fill="auto"/>
            <w:noWrap/>
            <w:vAlign w:val="center"/>
            <w:hideMark/>
          </w:tcPr>
          <w:p w14:paraId="21E2630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c>
          <w:tcPr>
            <w:tcW w:w="1276" w:type="dxa"/>
            <w:tcBorders>
              <w:top w:val="nil"/>
              <w:left w:val="nil"/>
              <w:bottom w:val="single" w:sz="4" w:space="0" w:color="000000"/>
              <w:right w:val="single" w:sz="4" w:space="0" w:color="000000"/>
            </w:tcBorders>
            <w:shd w:val="clear" w:color="auto" w:fill="auto"/>
            <w:noWrap/>
            <w:vAlign w:val="center"/>
            <w:hideMark/>
          </w:tcPr>
          <w:p w14:paraId="04FE407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c>
          <w:tcPr>
            <w:tcW w:w="1275" w:type="dxa"/>
            <w:tcBorders>
              <w:top w:val="nil"/>
              <w:left w:val="nil"/>
              <w:bottom w:val="single" w:sz="4" w:space="0" w:color="000000"/>
              <w:right w:val="single" w:sz="4" w:space="0" w:color="000000"/>
            </w:tcBorders>
            <w:shd w:val="clear" w:color="auto" w:fill="auto"/>
            <w:noWrap/>
            <w:vAlign w:val="center"/>
            <w:hideMark/>
          </w:tcPr>
          <w:p w14:paraId="28FADF4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w:t>
            </w:r>
          </w:p>
        </w:tc>
      </w:tr>
      <w:tr w:rsidR="00996507" w:rsidRPr="00996507" w14:paraId="5066F20C"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5BF34A9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F80A78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 расчете на 10 тыс. человек населения, - всего</w:t>
            </w:r>
          </w:p>
        </w:tc>
        <w:tc>
          <w:tcPr>
            <w:tcW w:w="1151" w:type="dxa"/>
            <w:tcBorders>
              <w:top w:val="nil"/>
              <w:left w:val="nil"/>
              <w:bottom w:val="single" w:sz="4" w:space="0" w:color="auto"/>
              <w:right w:val="single" w:sz="4" w:space="0" w:color="auto"/>
            </w:tcBorders>
            <w:shd w:val="clear" w:color="000000" w:fill="FFFFFF"/>
            <w:hideMark/>
          </w:tcPr>
          <w:p w14:paraId="25A7630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218F930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000000"/>
              <w:right w:val="single" w:sz="4" w:space="0" w:color="000000"/>
            </w:tcBorders>
            <w:shd w:val="clear" w:color="000000" w:fill="C0C0C0"/>
            <w:noWrap/>
            <w:vAlign w:val="center"/>
            <w:hideMark/>
          </w:tcPr>
          <w:p w14:paraId="1C0790C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16,1</w:t>
            </w:r>
          </w:p>
        </w:tc>
        <w:tc>
          <w:tcPr>
            <w:tcW w:w="1275" w:type="dxa"/>
            <w:tcBorders>
              <w:top w:val="nil"/>
              <w:left w:val="nil"/>
              <w:bottom w:val="single" w:sz="4" w:space="0" w:color="000000"/>
              <w:right w:val="single" w:sz="4" w:space="0" w:color="000000"/>
            </w:tcBorders>
            <w:shd w:val="clear" w:color="000000" w:fill="C0C0C0"/>
            <w:noWrap/>
            <w:vAlign w:val="center"/>
            <w:hideMark/>
          </w:tcPr>
          <w:p w14:paraId="694A5FC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16,2</w:t>
            </w:r>
          </w:p>
        </w:tc>
        <w:tc>
          <w:tcPr>
            <w:tcW w:w="1275" w:type="dxa"/>
            <w:tcBorders>
              <w:top w:val="nil"/>
              <w:left w:val="nil"/>
              <w:bottom w:val="single" w:sz="4" w:space="0" w:color="000000"/>
              <w:right w:val="single" w:sz="4" w:space="0" w:color="000000"/>
            </w:tcBorders>
            <w:shd w:val="clear" w:color="000000" w:fill="C0C0C0"/>
            <w:noWrap/>
            <w:vAlign w:val="center"/>
            <w:hideMark/>
          </w:tcPr>
          <w:p w14:paraId="65498A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16,5</w:t>
            </w:r>
          </w:p>
        </w:tc>
        <w:tc>
          <w:tcPr>
            <w:tcW w:w="1277" w:type="dxa"/>
            <w:tcBorders>
              <w:top w:val="nil"/>
              <w:left w:val="nil"/>
              <w:bottom w:val="single" w:sz="4" w:space="0" w:color="000000"/>
              <w:right w:val="single" w:sz="4" w:space="0" w:color="000000"/>
            </w:tcBorders>
            <w:shd w:val="clear" w:color="000000" w:fill="C0C0C0"/>
            <w:noWrap/>
            <w:vAlign w:val="center"/>
            <w:hideMark/>
          </w:tcPr>
          <w:p w14:paraId="5140C0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16,4</w:t>
            </w:r>
          </w:p>
        </w:tc>
        <w:tc>
          <w:tcPr>
            <w:tcW w:w="1276" w:type="dxa"/>
            <w:tcBorders>
              <w:top w:val="nil"/>
              <w:left w:val="nil"/>
              <w:bottom w:val="single" w:sz="4" w:space="0" w:color="000000"/>
              <w:right w:val="single" w:sz="4" w:space="0" w:color="000000"/>
            </w:tcBorders>
            <w:shd w:val="clear" w:color="000000" w:fill="C0C0C0"/>
            <w:noWrap/>
            <w:vAlign w:val="center"/>
            <w:hideMark/>
          </w:tcPr>
          <w:p w14:paraId="3C1865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16,2</w:t>
            </w:r>
          </w:p>
        </w:tc>
        <w:tc>
          <w:tcPr>
            <w:tcW w:w="1275" w:type="dxa"/>
            <w:tcBorders>
              <w:top w:val="nil"/>
              <w:left w:val="nil"/>
              <w:bottom w:val="single" w:sz="4" w:space="0" w:color="000000"/>
              <w:right w:val="single" w:sz="4" w:space="0" w:color="000000"/>
            </w:tcBorders>
            <w:shd w:val="clear" w:color="000000" w:fill="C0C0C0"/>
            <w:noWrap/>
            <w:vAlign w:val="center"/>
            <w:hideMark/>
          </w:tcPr>
          <w:p w14:paraId="0F0BBD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16,0</w:t>
            </w:r>
          </w:p>
        </w:tc>
      </w:tr>
      <w:tr w:rsidR="00996507" w:rsidRPr="00996507" w14:paraId="653D1925"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186094F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C40BDE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1151" w:type="dxa"/>
            <w:tcBorders>
              <w:top w:val="nil"/>
              <w:left w:val="nil"/>
              <w:bottom w:val="single" w:sz="4" w:space="0" w:color="auto"/>
              <w:right w:val="single" w:sz="4" w:space="0" w:color="auto"/>
            </w:tcBorders>
            <w:shd w:val="clear" w:color="000000" w:fill="FFFFFF"/>
            <w:hideMark/>
          </w:tcPr>
          <w:p w14:paraId="6AC2E4E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51D4F19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25.1</w:t>
            </w:r>
          </w:p>
        </w:tc>
        <w:tc>
          <w:tcPr>
            <w:tcW w:w="1276" w:type="dxa"/>
            <w:tcBorders>
              <w:top w:val="nil"/>
              <w:left w:val="nil"/>
              <w:bottom w:val="single" w:sz="4" w:space="0" w:color="000000"/>
              <w:right w:val="single" w:sz="4" w:space="0" w:color="000000"/>
            </w:tcBorders>
            <w:shd w:val="clear" w:color="000000" w:fill="C0C0C0"/>
            <w:noWrap/>
            <w:vAlign w:val="center"/>
            <w:hideMark/>
          </w:tcPr>
          <w:p w14:paraId="714464F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3,0</w:t>
            </w:r>
          </w:p>
        </w:tc>
        <w:tc>
          <w:tcPr>
            <w:tcW w:w="1275" w:type="dxa"/>
            <w:tcBorders>
              <w:top w:val="nil"/>
              <w:left w:val="nil"/>
              <w:bottom w:val="single" w:sz="4" w:space="0" w:color="000000"/>
              <w:right w:val="single" w:sz="4" w:space="0" w:color="000000"/>
            </w:tcBorders>
            <w:shd w:val="clear" w:color="000000" w:fill="C0C0C0"/>
            <w:noWrap/>
            <w:vAlign w:val="center"/>
            <w:hideMark/>
          </w:tcPr>
          <w:p w14:paraId="67E1A2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3,1</w:t>
            </w:r>
          </w:p>
        </w:tc>
        <w:tc>
          <w:tcPr>
            <w:tcW w:w="1275" w:type="dxa"/>
            <w:tcBorders>
              <w:top w:val="nil"/>
              <w:left w:val="nil"/>
              <w:bottom w:val="single" w:sz="4" w:space="0" w:color="000000"/>
              <w:right w:val="single" w:sz="4" w:space="0" w:color="000000"/>
            </w:tcBorders>
            <w:shd w:val="clear" w:color="000000" w:fill="C0C0C0"/>
            <w:noWrap/>
            <w:vAlign w:val="center"/>
            <w:hideMark/>
          </w:tcPr>
          <w:p w14:paraId="5619971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w:t>
            </w:r>
          </w:p>
        </w:tc>
        <w:tc>
          <w:tcPr>
            <w:tcW w:w="1277" w:type="dxa"/>
            <w:tcBorders>
              <w:top w:val="nil"/>
              <w:left w:val="nil"/>
              <w:bottom w:val="single" w:sz="4" w:space="0" w:color="000000"/>
              <w:right w:val="single" w:sz="4" w:space="0" w:color="000000"/>
            </w:tcBorders>
            <w:shd w:val="clear" w:color="000000" w:fill="C0C0C0"/>
            <w:noWrap/>
            <w:vAlign w:val="center"/>
            <w:hideMark/>
          </w:tcPr>
          <w:p w14:paraId="2EC6F9A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w:t>
            </w:r>
          </w:p>
        </w:tc>
        <w:tc>
          <w:tcPr>
            <w:tcW w:w="1276" w:type="dxa"/>
            <w:tcBorders>
              <w:top w:val="nil"/>
              <w:left w:val="nil"/>
              <w:bottom w:val="single" w:sz="4" w:space="0" w:color="000000"/>
              <w:right w:val="single" w:sz="4" w:space="0" w:color="000000"/>
            </w:tcBorders>
            <w:shd w:val="clear" w:color="000000" w:fill="C0C0C0"/>
            <w:noWrap/>
            <w:vAlign w:val="center"/>
            <w:hideMark/>
          </w:tcPr>
          <w:p w14:paraId="2264EF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3,4</w:t>
            </w:r>
          </w:p>
        </w:tc>
        <w:tc>
          <w:tcPr>
            <w:tcW w:w="1275" w:type="dxa"/>
            <w:tcBorders>
              <w:top w:val="nil"/>
              <w:left w:val="nil"/>
              <w:bottom w:val="single" w:sz="4" w:space="0" w:color="000000"/>
              <w:right w:val="single" w:sz="4" w:space="0" w:color="000000"/>
            </w:tcBorders>
            <w:shd w:val="clear" w:color="000000" w:fill="C0C0C0"/>
            <w:noWrap/>
            <w:vAlign w:val="center"/>
            <w:hideMark/>
          </w:tcPr>
          <w:p w14:paraId="154724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3,4</w:t>
            </w:r>
          </w:p>
        </w:tc>
      </w:tr>
      <w:tr w:rsidR="00996507" w:rsidRPr="00996507" w14:paraId="6C5424A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73FA980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FA71A7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жилищного строительства, индивидуального строительства</w:t>
            </w:r>
          </w:p>
        </w:tc>
        <w:tc>
          <w:tcPr>
            <w:tcW w:w="1151" w:type="dxa"/>
            <w:tcBorders>
              <w:top w:val="nil"/>
              <w:left w:val="nil"/>
              <w:bottom w:val="single" w:sz="4" w:space="0" w:color="auto"/>
              <w:right w:val="single" w:sz="4" w:space="0" w:color="auto"/>
            </w:tcBorders>
            <w:shd w:val="clear" w:color="000000" w:fill="FFFFFF"/>
            <w:hideMark/>
          </w:tcPr>
          <w:p w14:paraId="78AFEE1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104D1F7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25.1.1</w:t>
            </w:r>
          </w:p>
        </w:tc>
        <w:tc>
          <w:tcPr>
            <w:tcW w:w="1276" w:type="dxa"/>
            <w:tcBorders>
              <w:top w:val="nil"/>
              <w:left w:val="nil"/>
              <w:bottom w:val="single" w:sz="4" w:space="0" w:color="000000"/>
              <w:right w:val="single" w:sz="4" w:space="0" w:color="000000"/>
            </w:tcBorders>
            <w:shd w:val="clear" w:color="auto" w:fill="auto"/>
            <w:noWrap/>
            <w:vAlign w:val="center"/>
            <w:hideMark/>
          </w:tcPr>
          <w:p w14:paraId="79BC62C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28,2</w:t>
            </w:r>
          </w:p>
        </w:tc>
        <w:tc>
          <w:tcPr>
            <w:tcW w:w="1275" w:type="dxa"/>
            <w:tcBorders>
              <w:top w:val="nil"/>
              <w:left w:val="nil"/>
              <w:bottom w:val="single" w:sz="4" w:space="0" w:color="000000"/>
              <w:right w:val="single" w:sz="4" w:space="0" w:color="000000"/>
            </w:tcBorders>
            <w:shd w:val="clear" w:color="auto" w:fill="auto"/>
            <w:noWrap/>
            <w:vAlign w:val="center"/>
            <w:hideMark/>
          </w:tcPr>
          <w:p w14:paraId="4B27657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29,6</w:t>
            </w:r>
          </w:p>
        </w:tc>
        <w:tc>
          <w:tcPr>
            <w:tcW w:w="1275" w:type="dxa"/>
            <w:tcBorders>
              <w:top w:val="nil"/>
              <w:left w:val="nil"/>
              <w:bottom w:val="single" w:sz="4" w:space="0" w:color="000000"/>
              <w:right w:val="single" w:sz="4" w:space="0" w:color="000000"/>
            </w:tcBorders>
            <w:shd w:val="clear" w:color="auto" w:fill="auto"/>
            <w:noWrap/>
            <w:vAlign w:val="center"/>
            <w:hideMark/>
          </w:tcPr>
          <w:p w14:paraId="416D08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32,3</w:t>
            </w:r>
          </w:p>
        </w:tc>
        <w:tc>
          <w:tcPr>
            <w:tcW w:w="1277" w:type="dxa"/>
            <w:tcBorders>
              <w:top w:val="nil"/>
              <w:left w:val="nil"/>
              <w:bottom w:val="single" w:sz="4" w:space="0" w:color="000000"/>
              <w:right w:val="single" w:sz="4" w:space="0" w:color="000000"/>
            </w:tcBorders>
            <w:shd w:val="clear" w:color="auto" w:fill="auto"/>
            <w:noWrap/>
            <w:vAlign w:val="center"/>
            <w:hideMark/>
          </w:tcPr>
          <w:p w14:paraId="0EDB02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33,3</w:t>
            </w:r>
          </w:p>
        </w:tc>
        <w:tc>
          <w:tcPr>
            <w:tcW w:w="1276" w:type="dxa"/>
            <w:tcBorders>
              <w:top w:val="nil"/>
              <w:left w:val="nil"/>
              <w:bottom w:val="single" w:sz="4" w:space="0" w:color="000000"/>
              <w:right w:val="single" w:sz="4" w:space="0" w:color="000000"/>
            </w:tcBorders>
            <w:shd w:val="clear" w:color="auto" w:fill="auto"/>
            <w:noWrap/>
            <w:vAlign w:val="center"/>
            <w:hideMark/>
          </w:tcPr>
          <w:p w14:paraId="02F2A3E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34,2</w:t>
            </w:r>
          </w:p>
        </w:tc>
        <w:tc>
          <w:tcPr>
            <w:tcW w:w="1275" w:type="dxa"/>
            <w:tcBorders>
              <w:top w:val="nil"/>
              <w:left w:val="nil"/>
              <w:bottom w:val="single" w:sz="4" w:space="0" w:color="000000"/>
              <w:right w:val="single" w:sz="4" w:space="0" w:color="000000"/>
            </w:tcBorders>
            <w:shd w:val="clear" w:color="auto" w:fill="auto"/>
            <w:noWrap/>
            <w:vAlign w:val="center"/>
            <w:hideMark/>
          </w:tcPr>
          <w:p w14:paraId="318592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35,2</w:t>
            </w:r>
          </w:p>
        </w:tc>
      </w:tr>
      <w:tr w:rsidR="00996507" w:rsidRPr="00996507" w14:paraId="5CD8B9B5"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31028E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DFE5CA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комплексного освоения в целях жилищного строительства в расчете на 10 тыс. человек населения</w:t>
            </w:r>
          </w:p>
        </w:tc>
        <w:tc>
          <w:tcPr>
            <w:tcW w:w="1151" w:type="dxa"/>
            <w:tcBorders>
              <w:top w:val="nil"/>
              <w:left w:val="nil"/>
              <w:bottom w:val="single" w:sz="4" w:space="0" w:color="auto"/>
              <w:right w:val="single" w:sz="4" w:space="0" w:color="auto"/>
            </w:tcBorders>
            <w:shd w:val="clear" w:color="000000" w:fill="FFFFFF"/>
            <w:hideMark/>
          </w:tcPr>
          <w:p w14:paraId="3235E6D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58E65E7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25.2</w:t>
            </w:r>
          </w:p>
        </w:tc>
        <w:tc>
          <w:tcPr>
            <w:tcW w:w="1276" w:type="dxa"/>
            <w:tcBorders>
              <w:top w:val="nil"/>
              <w:left w:val="nil"/>
              <w:bottom w:val="single" w:sz="4" w:space="0" w:color="000000"/>
              <w:right w:val="single" w:sz="4" w:space="0" w:color="000000"/>
            </w:tcBorders>
            <w:shd w:val="clear" w:color="000000" w:fill="C0C0C0"/>
            <w:noWrap/>
            <w:vAlign w:val="center"/>
            <w:hideMark/>
          </w:tcPr>
          <w:p w14:paraId="18C3AF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638ABD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7251EF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1621A4A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23B55F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000F0FA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774967A6"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0159438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87F587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комплексного освоения в целях жилищного строительства</w:t>
            </w:r>
          </w:p>
        </w:tc>
        <w:tc>
          <w:tcPr>
            <w:tcW w:w="1151" w:type="dxa"/>
            <w:tcBorders>
              <w:top w:val="nil"/>
              <w:left w:val="nil"/>
              <w:bottom w:val="single" w:sz="4" w:space="0" w:color="auto"/>
              <w:right w:val="single" w:sz="4" w:space="0" w:color="auto"/>
            </w:tcBorders>
            <w:shd w:val="clear" w:color="000000" w:fill="FFFFFF"/>
            <w:hideMark/>
          </w:tcPr>
          <w:p w14:paraId="2870EA2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0ED4A0B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25.2.1</w:t>
            </w:r>
          </w:p>
        </w:tc>
        <w:tc>
          <w:tcPr>
            <w:tcW w:w="1276" w:type="dxa"/>
            <w:tcBorders>
              <w:top w:val="nil"/>
              <w:left w:val="nil"/>
              <w:bottom w:val="single" w:sz="4" w:space="0" w:color="000000"/>
              <w:right w:val="single" w:sz="4" w:space="0" w:color="000000"/>
            </w:tcBorders>
            <w:shd w:val="clear" w:color="auto" w:fill="auto"/>
            <w:noWrap/>
            <w:vAlign w:val="center"/>
            <w:hideMark/>
          </w:tcPr>
          <w:p w14:paraId="0E2609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6455090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2D4900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6498B0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50CAB04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0ADA646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53D69117"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561A550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B3C9B7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всего</w:t>
            </w:r>
          </w:p>
        </w:tc>
        <w:tc>
          <w:tcPr>
            <w:tcW w:w="1151" w:type="dxa"/>
            <w:tcBorders>
              <w:top w:val="nil"/>
              <w:left w:val="nil"/>
              <w:bottom w:val="single" w:sz="4" w:space="0" w:color="auto"/>
              <w:right w:val="single" w:sz="4" w:space="0" w:color="auto"/>
            </w:tcBorders>
            <w:shd w:val="clear" w:color="000000" w:fill="FFFFFF"/>
            <w:hideMark/>
          </w:tcPr>
          <w:p w14:paraId="6F25580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06B00EE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25.3</w:t>
            </w:r>
          </w:p>
        </w:tc>
        <w:tc>
          <w:tcPr>
            <w:tcW w:w="1276" w:type="dxa"/>
            <w:tcBorders>
              <w:top w:val="nil"/>
              <w:left w:val="nil"/>
              <w:bottom w:val="single" w:sz="4" w:space="0" w:color="000000"/>
              <w:right w:val="single" w:sz="4" w:space="0" w:color="000000"/>
            </w:tcBorders>
            <w:shd w:val="clear" w:color="auto" w:fill="auto"/>
            <w:noWrap/>
            <w:vAlign w:val="center"/>
            <w:hideMark/>
          </w:tcPr>
          <w:p w14:paraId="2B3819C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152,3</w:t>
            </w:r>
          </w:p>
        </w:tc>
        <w:tc>
          <w:tcPr>
            <w:tcW w:w="1275" w:type="dxa"/>
            <w:tcBorders>
              <w:top w:val="nil"/>
              <w:left w:val="nil"/>
              <w:bottom w:val="single" w:sz="4" w:space="0" w:color="000000"/>
              <w:right w:val="single" w:sz="4" w:space="0" w:color="000000"/>
            </w:tcBorders>
            <w:shd w:val="clear" w:color="auto" w:fill="auto"/>
            <w:noWrap/>
            <w:vAlign w:val="center"/>
            <w:hideMark/>
          </w:tcPr>
          <w:p w14:paraId="2241655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156,0</w:t>
            </w:r>
          </w:p>
        </w:tc>
        <w:tc>
          <w:tcPr>
            <w:tcW w:w="1275" w:type="dxa"/>
            <w:tcBorders>
              <w:top w:val="nil"/>
              <w:left w:val="nil"/>
              <w:bottom w:val="single" w:sz="4" w:space="0" w:color="000000"/>
              <w:right w:val="single" w:sz="4" w:space="0" w:color="000000"/>
            </w:tcBorders>
            <w:shd w:val="clear" w:color="auto" w:fill="auto"/>
            <w:noWrap/>
            <w:vAlign w:val="center"/>
            <w:hideMark/>
          </w:tcPr>
          <w:p w14:paraId="41D9C57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161,4</w:t>
            </w:r>
          </w:p>
        </w:tc>
        <w:tc>
          <w:tcPr>
            <w:tcW w:w="1277" w:type="dxa"/>
            <w:tcBorders>
              <w:top w:val="nil"/>
              <w:left w:val="nil"/>
              <w:bottom w:val="single" w:sz="4" w:space="0" w:color="000000"/>
              <w:right w:val="single" w:sz="4" w:space="0" w:color="000000"/>
            </w:tcBorders>
            <w:shd w:val="clear" w:color="auto" w:fill="auto"/>
            <w:noWrap/>
            <w:vAlign w:val="center"/>
            <w:hideMark/>
          </w:tcPr>
          <w:p w14:paraId="5A7896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163,4</w:t>
            </w:r>
          </w:p>
        </w:tc>
        <w:tc>
          <w:tcPr>
            <w:tcW w:w="1276" w:type="dxa"/>
            <w:tcBorders>
              <w:top w:val="nil"/>
              <w:left w:val="nil"/>
              <w:bottom w:val="single" w:sz="4" w:space="0" w:color="000000"/>
              <w:right w:val="single" w:sz="4" w:space="0" w:color="000000"/>
            </w:tcBorders>
            <w:shd w:val="clear" w:color="auto" w:fill="auto"/>
            <w:noWrap/>
            <w:vAlign w:val="center"/>
            <w:hideMark/>
          </w:tcPr>
          <w:p w14:paraId="5F32C8E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164,4</w:t>
            </w:r>
          </w:p>
        </w:tc>
        <w:tc>
          <w:tcPr>
            <w:tcW w:w="1275" w:type="dxa"/>
            <w:tcBorders>
              <w:top w:val="nil"/>
              <w:left w:val="nil"/>
              <w:bottom w:val="single" w:sz="4" w:space="0" w:color="000000"/>
              <w:right w:val="single" w:sz="4" w:space="0" w:color="000000"/>
            </w:tcBorders>
            <w:shd w:val="clear" w:color="auto" w:fill="auto"/>
            <w:noWrap/>
            <w:vAlign w:val="center"/>
            <w:hideMark/>
          </w:tcPr>
          <w:p w14:paraId="3A5116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165,3</w:t>
            </w:r>
          </w:p>
        </w:tc>
      </w:tr>
      <w:tr w:rsidR="00996507" w:rsidRPr="00996507" w14:paraId="3D3B1665"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6989075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8EC0C6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 расчете на 10 тыс. человек населения, в том числе земельных участков, представленных для жилищного строительства, индивидуального строительства и комплексного освоения в целях жилищного строительства</w:t>
            </w:r>
          </w:p>
        </w:tc>
        <w:tc>
          <w:tcPr>
            <w:tcW w:w="1151" w:type="dxa"/>
            <w:tcBorders>
              <w:top w:val="nil"/>
              <w:left w:val="nil"/>
              <w:bottom w:val="single" w:sz="4" w:space="0" w:color="auto"/>
              <w:right w:val="single" w:sz="4" w:space="0" w:color="auto"/>
            </w:tcBorders>
            <w:shd w:val="clear" w:color="000000" w:fill="FFFFFF"/>
            <w:hideMark/>
          </w:tcPr>
          <w:p w14:paraId="22A44C7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Гектар</w:t>
            </w:r>
          </w:p>
        </w:tc>
        <w:tc>
          <w:tcPr>
            <w:tcW w:w="992" w:type="dxa"/>
            <w:tcBorders>
              <w:top w:val="nil"/>
              <w:left w:val="nil"/>
              <w:bottom w:val="single" w:sz="4" w:space="0" w:color="auto"/>
              <w:right w:val="single" w:sz="4" w:space="0" w:color="auto"/>
            </w:tcBorders>
            <w:shd w:val="clear" w:color="000000" w:fill="FFFFFF"/>
            <w:hideMark/>
          </w:tcPr>
          <w:p w14:paraId="14165FE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25.4</w:t>
            </w:r>
          </w:p>
        </w:tc>
        <w:tc>
          <w:tcPr>
            <w:tcW w:w="1276" w:type="dxa"/>
            <w:tcBorders>
              <w:top w:val="nil"/>
              <w:left w:val="nil"/>
              <w:bottom w:val="single" w:sz="4" w:space="0" w:color="000000"/>
              <w:right w:val="single" w:sz="4" w:space="0" w:color="000000"/>
            </w:tcBorders>
            <w:shd w:val="clear" w:color="000000" w:fill="C0C0C0"/>
            <w:noWrap/>
            <w:vAlign w:val="center"/>
            <w:hideMark/>
          </w:tcPr>
          <w:p w14:paraId="3969DF4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3,0</w:t>
            </w:r>
          </w:p>
        </w:tc>
        <w:tc>
          <w:tcPr>
            <w:tcW w:w="1275" w:type="dxa"/>
            <w:tcBorders>
              <w:top w:val="nil"/>
              <w:left w:val="nil"/>
              <w:bottom w:val="single" w:sz="4" w:space="0" w:color="000000"/>
              <w:right w:val="single" w:sz="4" w:space="0" w:color="000000"/>
            </w:tcBorders>
            <w:shd w:val="clear" w:color="000000" w:fill="C0C0C0"/>
            <w:noWrap/>
            <w:vAlign w:val="center"/>
            <w:hideMark/>
          </w:tcPr>
          <w:p w14:paraId="2DA6C59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3,1</w:t>
            </w:r>
          </w:p>
        </w:tc>
        <w:tc>
          <w:tcPr>
            <w:tcW w:w="1275" w:type="dxa"/>
            <w:tcBorders>
              <w:top w:val="nil"/>
              <w:left w:val="nil"/>
              <w:bottom w:val="single" w:sz="4" w:space="0" w:color="000000"/>
              <w:right w:val="single" w:sz="4" w:space="0" w:color="000000"/>
            </w:tcBorders>
            <w:shd w:val="clear" w:color="000000" w:fill="C0C0C0"/>
            <w:noWrap/>
            <w:vAlign w:val="center"/>
            <w:hideMark/>
          </w:tcPr>
          <w:p w14:paraId="71F7DB5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w:t>
            </w:r>
          </w:p>
        </w:tc>
        <w:tc>
          <w:tcPr>
            <w:tcW w:w="1277" w:type="dxa"/>
            <w:tcBorders>
              <w:top w:val="nil"/>
              <w:left w:val="nil"/>
              <w:bottom w:val="single" w:sz="4" w:space="0" w:color="000000"/>
              <w:right w:val="single" w:sz="4" w:space="0" w:color="000000"/>
            </w:tcBorders>
            <w:shd w:val="clear" w:color="000000" w:fill="C0C0C0"/>
            <w:noWrap/>
            <w:vAlign w:val="center"/>
            <w:hideMark/>
          </w:tcPr>
          <w:p w14:paraId="4CA5B6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w:t>
            </w:r>
          </w:p>
        </w:tc>
        <w:tc>
          <w:tcPr>
            <w:tcW w:w="1276" w:type="dxa"/>
            <w:tcBorders>
              <w:top w:val="nil"/>
              <w:left w:val="nil"/>
              <w:bottom w:val="single" w:sz="4" w:space="0" w:color="000000"/>
              <w:right w:val="single" w:sz="4" w:space="0" w:color="000000"/>
            </w:tcBorders>
            <w:shd w:val="clear" w:color="000000" w:fill="C0C0C0"/>
            <w:noWrap/>
            <w:vAlign w:val="center"/>
            <w:hideMark/>
          </w:tcPr>
          <w:p w14:paraId="0C6954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3,4</w:t>
            </w:r>
          </w:p>
        </w:tc>
        <w:tc>
          <w:tcPr>
            <w:tcW w:w="1275" w:type="dxa"/>
            <w:tcBorders>
              <w:top w:val="nil"/>
              <w:left w:val="nil"/>
              <w:bottom w:val="single" w:sz="4" w:space="0" w:color="000000"/>
              <w:right w:val="single" w:sz="4" w:space="0" w:color="000000"/>
            </w:tcBorders>
            <w:shd w:val="clear" w:color="000000" w:fill="C0C0C0"/>
            <w:noWrap/>
            <w:vAlign w:val="center"/>
            <w:hideMark/>
          </w:tcPr>
          <w:p w14:paraId="3FE487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3,4</w:t>
            </w:r>
          </w:p>
        </w:tc>
      </w:tr>
      <w:tr w:rsidR="00996507" w:rsidRPr="00996507" w14:paraId="0110D09F" w14:textId="77777777" w:rsidTr="00996507">
        <w:trPr>
          <w:trHeight w:val="1590"/>
        </w:trPr>
        <w:tc>
          <w:tcPr>
            <w:tcW w:w="1701" w:type="dxa"/>
            <w:vMerge/>
            <w:tcBorders>
              <w:top w:val="nil"/>
              <w:left w:val="single" w:sz="4" w:space="0" w:color="auto"/>
              <w:bottom w:val="single" w:sz="4" w:space="0" w:color="auto"/>
              <w:right w:val="single" w:sz="4" w:space="0" w:color="auto"/>
            </w:tcBorders>
            <w:vAlign w:val="center"/>
            <w:hideMark/>
          </w:tcPr>
          <w:p w14:paraId="1ED706B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A2A900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151" w:type="dxa"/>
            <w:tcBorders>
              <w:top w:val="nil"/>
              <w:left w:val="nil"/>
              <w:bottom w:val="single" w:sz="4" w:space="0" w:color="auto"/>
              <w:right w:val="single" w:sz="4" w:space="0" w:color="auto"/>
            </w:tcBorders>
            <w:shd w:val="clear" w:color="000000" w:fill="FFFFFF"/>
            <w:hideMark/>
          </w:tcPr>
          <w:p w14:paraId="0DE315D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5BC9714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26</w:t>
            </w:r>
          </w:p>
        </w:tc>
        <w:tc>
          <w:tcPr>
            <w:tcW w:w="1276" w:type="dxa"/>
            <w:tcBorders>
              <w:top w:val="nil"/>
              <w:left w:val="nil"/>
              <w:bottom w:val="single" w:sz="4" w:space="0" w:color="000000"/>
              <w:right w:val="single" w:sz="4" w:space="0" w:color="000000"/>
            </w:tcBorders>
            <w:shd w:val="clear" w:color="000000" w:fill="C0C0C0"/>
            <w:noWrap/>
            <w:vAlign w:val="center"/>
            <w:hideMark/>
          </w:tcPr>
          <w:p w14:paraId="5A0CB0E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33EA5EA9"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413E58B4"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7" w:type="dxa"/>
            <w:tcBorders>
              <w:top w:val="nil"/>
              <w:left w:val="nil"/>
              <w:bottom w:val="single" w:sz="4" w:space="0" w:color="000000"/>
              <w:right w:val="single" w:sz="4" w:space="0" w:color="000000"/>
            </w:tcBorders>
            <w:shd w:val="clear" w:color="000000" w:fill="C0C0C0"/>
            <w:noWrap/>
            <w:vAlign w:val="center"/>
            <w:hideMark/>
          </w:tcPr>
          <w:p w14:paraId="0FDDCD08"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000000" w:fill="C0C0C0"/>
            <w:noWrap/>
            <w:vAlign w:val="center"/>
            <w:hideMark/>
          </w:tcPr>
          <w:p w14:paraId="4B0F650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28A29A93"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641953F1" w14:textId="77777777" w:rsidTr="00996507">
        <w:trPr>
          <w:trHeight w:val="2040"/>
        </w:trPr>
        <w:tc>
          <w:tcPr>
            <w:tcW w:w="1701" w:type="dxa"/>
            <w:vMerge/>
            <w:tcBorders>
              <w:top w:val="nil"/>
              <w:left w:val="single" w:sz="4" w:space="0" w:color="auto"/>
              <w:bottom w:val="single" w:sz="4" w:space="0" w:color="auto"/>
              <w:right w:val="single" w:sz="4" w:space="0" w:color="auto"/>
            </w:tcBorders>
            <w:vAlign w:val="center"/>
            <w:hideMark/>
          </w:tcPr>
          <w:p w14:paraId="7D2027B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5A0B46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151" w:type="dxa"/>
            <w:tcBorders>
              <w:top w:val="nil"/>
              <w:left w:val="nil"/>
              <w:bottom w:val="single" w:sz="4" w:space="0" w:color="auto"/>
              <w:right w:val="single" w:sz="4" w:space="0" w:color="auto"/>
            </w:tcBorders>
            <w:shd w:val="clear" w:color="000000" w:fill="FFFFFF"/>
            <w:hideMark/>
          </w:tcPr>
          <w:p w14:paraId="1134E04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348BF07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26.1</w:t>
            </w:r>
          </w:p>
        </w:tc>
        <w:tc>
          <w:tcPr>
            <w:tcW w:w="1276" w:type="dxa"/>
            <w:tcBorders>
              <w:top w:val="nil"/>
              <w:left w:val="nil"/>
              <w:bottom w:val="single" w:sz="4" w:space="0" w:color="000000"/>
              <w:right w:val="single" w:sz="4" w:space="0" w:color="000000"/>
            </w:tcBorders>
            <w:shd w:val="clear" w:color="auto" w:fill="auto"/>
            <w:noWrap/>
            <w:vAlign w:val="center"/>
            <w:hideMark/>
          </w:tcPr>
          <w:p w14:paraId="77959A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4162031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681E8E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773AC31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245AED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4F46A44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65FA5078" w14:textId="77777777" w:rsidTr="00996507">
        <w:trPr>
          <w:trHeight w:val="2040"/>
        </w:trPr>
        <w:tc>
          <w:tcPr>
            <w:tcW w:w="1701" w:type="dxa"/>
            <w:vMerge/>
            <w:tcBorders>
              <w:top w:val="nil"/>
              <w:left w:val="single" w:sz="4" w:space="0" w:color="auto"/>
              <w:bottom w:val="single" w:sz="4" w:space="0" w:color="auto"/>
              <w:right w:val="single" w:sz="4" w:space="0" w:color="auto"/>
            </w:tcBorders>
            <w:vAlign w:val="center"/>
            <w:hideMark/>
          </w:tcPr>
          <w:p w14:paraId="3AB6331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AD2104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1151" w:type="dxa"/>
            <w:tcBorders>
              <w:top w:val="nil"/>
              <w:left w:val="nil"/>
              <w:bottom w:val="single" w:sz="4" w:space="0" w:color="auto"/>
              <w:right w:val="single" w:sz="4" w:space="0" w:color="auto"/>
            </w:tcBorders>
            <w:shd w:val="clear" w:color="000000" w:fill="FFFFFF"/>
            <w:hideMark/>
          </w:tcPr>
          <w:p w14:paraId="67C8673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0E2C6B9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26.2</w:t>
            </w:r>
          </w:p>
        </w:tc>
        <w:tc>
          <w:tcPr>
            <w:tcW w:w="1276" w:type="dxa"/>
            <w:tcBorders>
              <w:top w:val="nil"/>
              <w:left w:val="nil"/>
              <w:bottom w:val="single" w:sz="4" w:space="0" w:color="000000"/>
              <w:right w:val="single" w:sz="4" w:space="0" w:color="000000"/>
            </w:tcBorders>
            <w:shd w:val="clear" w:color="auto" w:fill="auto"/>
            <w:noWrap/>
            <w:vAlign w:val="center"/>
            <w:hideMark/>
          </w:tcPr>
          <w:p w14:paraId="59286C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7EC613A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0FECBAD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07C8CDC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3D8A446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7C6FBED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4805C5A7" w14:textId="77777777" w:rsidTr="00996507">
        <w:trPr>
          <w:trHeight w:val="1785"/>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4EEDF52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Жилищно-коммунальное хозяйство</w:t>
            </w:r>
          </w:p>
        </w:tc>
        <w:tc>
          <w:tcPr>
            <w:tcW w:w="4378" w:type="dxa"/>
            <w:tcBorders>
              <w:top w:val="nil"/>
              <w:left w:val="nil"/>
              <w:bottom w:val="single" w:sz="4" w:space="0" w:color="auto"/>
              <w:right w:val="single" w:sz="4" w:space="0" w:color="auto"/>
            </w:tcBorders>
            <w:shd w:val="clear" w:color="000000" w:fill="FFFFFF"/>
            <w:hideMark/>
          </w:tcPr>
          <w:p w14:paraId="19E349D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51" w:type="dxa"/>
            <w:tcBorders>
              <w:top w:val="nil"/>
              <w:left w:val="nil"/>
              <w:bottom w:val="single" w:sz="4" w:space="0" w:color="auto"/>
              <w:right w:val="single" w:sz="4" w:space="0" w:color="auto"/>
            </w:tcBorders>
            <w:shd w:val="clear" w:color="000000" w:fill="FFFFFF"/>
            <w:hideMark/>
          </w:tcPr>
          <w:p w14:paraId="3F94811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3F28395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w:t>
            </w:r>
          </w:p>
        </w:tc>
        <w:tc>
          <w:tcPr>
            <w:tcW w:w="1276" w:type="dxa"/>
            <w:tcBorders>
              <w:top w:val="nil"/>
              <w:left w:val="nil"/>
              <w:bottom w:val="single" w:sz="4" w:space="0" w:color="000000"/>
              <w:right w:val="single" w:sz="4" w:space="0" w:color="000000"/>
            </w:tcBorders>
            <w:shd w:val="clear" w:color="000000" w:fill="C0C0C0"/>
            <w:noWrap/>
            <w:vAlign w:val="center"/>
            <w:hideMark/>
          </w:tcPr>
          <w:p w14:paraId="052CF2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86BC31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4929408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7" w:type="dxa"/>
            <w:tcBorders>
              <w:top w:val="nil"/>
              <w:left w:val="nil"/>
              <w:bottom w:val="single" w:sz="4" w:space="0" w:color="000000"/>
              <w:right w:val="single" w:sz="4" w:space="0" w:color="000000"/>
            </w:tcBorders>
            <w:shd w:val="clear" w:color="000000" w:fill="C0C0C0"/>
            <w:noWrap/>
            <w:vAlign w:val="center"/>
            <w:hideMark/>
          </w:tcPr>
          <w:p w14:paraId="4E9D1A5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6" w:type="dxa"/>
            <w:tcBorders>
              <w:top w:val="nil"/>
              <w:left w:val="nil"/>
              <w:bottom w:val="single" w:sz="4" w:space="0" w:color="000000"/>
              <w:right w:val="single" w:sz="4" w:space="0" w:color="000000"/>
            </w:tcBorders>
            <w:shd w:val="clear" w:color="000000" w:fill="C0C0C0"/>
            <w:noWrap/>
            <w:vAlign w:val="center"/>
            <w:hideMark/>
          </w:tcPr>
          <w:p w14:paraId="7C0938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08D3FF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r>
      <w:tr w:rsidR="00996507" w:rsidRPr="00996507" w14:paraId="351B4F42"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207C7E0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2FB644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1151" w:type="dxa"/>
            <w:tcBorders>
              <w:top w:val="nil"/>
              <w:left w:val="nil"/>
              <w:bottom w:val="single" w:sz="4" w:space="0" w:color="auto"/>
              <w:right w:val="single" w:sz="4" w:space="0" w:color="auto"/>
            </w:tcBorders>
            <w:shd w:val="clear" w:color="000000" w:fill="FFFFFF"/>
            <w:hideMark/>
          </w:tcPr>
          <w:p w14:paraId="6143B9A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7E3754F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27.1</w:t>
            </w:r>
          </w:p>
        </w:tc>
        <w:tc>
          <w:tcPr>
            <w:tcW w:w="1276" w:type="dxa"/>
            <w:tcBorders>
              <w:top w:val="nil"/>
              <w:left w:val="nil"/>
              <w:bottom w:val="single" w:sz="4" w:space="0" w:color="000000"/>
              <w:right w:val="single" w:sz="4" w:space="0" w:color="000000"/>
            </w:tcBorders>
            <w:shd w:val="clear" w:color="000000" w:fill="C0C0C0"/>
            <w:noWrap/>
            <w:vAlign w:val="center"/>
            <w:hideMark/>
          </w:tcPr>
          <w:p w14:paraId="2BC4C6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91,2</w:t>
            </w:r>
          </w:p>
        </w:tc>
        <w:tc>
          <w:tcPr>
            <w:tcW w:w="1275" w:type="dxa"/>
            <w:tcBorders>
              <w:top w:val="nil"/>
              <w:left w:val="nil"/>
              <w:bottom w:val="single" w:sz="4" w:space="0" w:color="000000"/>
              <w:right w:val="single" w:sz="4" w:space="0" w:color="000000"/>
            </w:tcBorders>
            <w:shd w:val="clear" w:color="000000" w:fill="C0C0C0"/>
            <w:noWrap/>
            <w:vAlign w:val="center"/>
            <w:hideMark/>
          </w:tcPr>
          <w:p w14:paraId="36FE27B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76,0</w:t>
            </w:r>
          </w:p>
        </w:tc>
        <w:tc>
          <w:tcPr>
            <w:tcW w:w="1275" w:type="dxa"/>
            <w:tcBorders>
              <w:top w:val="nil"/>
              <w:left w:val="nil"/>
              <w:bottom w:val="single" w:sz="4" w:space="0" w:color="000000"/>
              <w:right w:val="single" w:sz="4" w:space="0" w:color="000000"/>
            </w:tcBorders>
            <w:shd w:val="clear" w:color="000000" w:fill="C0C0C0"/>
            <w:noWrap/>
            <w:vAlign w:val="center"/>
            <w:hideMark/>
          </w:tcPr>
          <w:p w14:paraId="4F4717B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75,6</w:t>
            </w:r>
          </w:p>
        </w:tc>
        <w:tc>
          <w:tcPr>
            <w:tcW w:w="1277" w:type="dxa"/>
            <w:tcBorders>
              <w:top w:val="nil"/>
              <w:left w:val="nil"/>
              <w:bottom w:val="single" w:sz="4" w:space="0" w:color="000000"/>
              <w:right w:val="single" w:sz="4" w:space="0" w:color="000000"/>
            </w:tcBorders>
            <w:shd w:val="clear" w:color="000000" w:fill="C0C0C0"/>
            <w:noWrap/>
            <w:vAlign w:val="center"/>
            <w:hideMark/>
          </w:tcPr>
          <w:p w14:paraId="756669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75,1</w:t>
            </w:r>
          </w:p>
        </w:tc>
        <w:tc>
          <w:tcPr>
            <w:tcW w:w="1276" w:type="dxa"/>
            <w:tcBorders>
              <w:top w:val="nil"/>
              <w:left w:val="nil"/>
              <w:bottom w:val="single" w:sz="4" w:space="0" w:color="000000"/>
              <w:right w:val="single" w:sz="4" w:space="0" w:color="000000"/>
            </w:tcBorders>
            <w:shd w:val="clear" w:color="000000" w:fill="C0C0C0"/>
            <w:noWrap/>
            <w:vAlign w:val="center"/>
            <w:hideMark/>
          </w:tcPr>
          <w:p w14:paraId="74DFBF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74,8</w:t>
            </w:r>
          </w:p>
        </w:tc>
        <w:tc>
          <w:tcPr>
            <w:tcW w:w="1275" w:type="dxa"/>
            <w:tcBorders>
              <w:top w:val="nil"/>
              <w:left w:val="nil"/>
              <w:bottom w:val="single" w:sz="4" w:space="0" w:color="000000"/>
              <w:right w:val="single" w:sz="4" w:space="0" w:color="000000"/>
            </w:tcBorders>
            <w:shd w:val="clear" w:color="000000" w:fill="C0C0C0"/>
            <w:noWrap/>
            <w:vAlign w:val="center"/>
            <w:hideMark/>
          </w:tcPr>
          <w:p w14:paraId="46BF548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74,5</w:t>
            </w:r>
          </w:p>
        </w:tc>
      </w:tr>
      <w:tr w:rsidR="00996507" w:rsidRPr="00996507" w14:paraId="28A460F4"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73BC6CF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EAE3A3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1151" w:type="dxa"/>
            <w:tcBorders>
              <w:top w:val="nil"/>
              <w:left w:val="nil"/>
              <w:bottom w:val="single" w:sz="4" w:space="0" w:color="auto"/>
              <w:right w:val="single" w:sz="4" w:space="0" w:color="auto"/>
            </w:tcBorders>
            <w:shd w:val="clear" w:color="000000" w:fill="FFFFFF"/>
            <w:hideMark/>
          </w:tcPr>
          <w:p w14:paraId="1CFB55A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71109D3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27.2</w:t>
            </w:r>
          </w:p>
        </w:tc>
        <w:tc>
          <w:tcPr>
            <w:tcW w:w="1276" w:type="dxa"/>
            <w:tcBorders>
              <w:top w:val="nil"/>
              <w:left w:val="nil"/>
              <w:bottom w:val="single" w:sz="4" w:space="0" w:color="000000"/>
              <w:right w:val="single" w:sz="4" w:space="0" w:color="000000"/>
            </w:tcBorders>
            <w:shd w:val="clear" w:color="auto" w:fill="auto"/>
            <w:noWrap/>
            <w:vAlign w:val="center"/>
            <w:hideMark/>
          </w:tcPr>
          <w:p w14:paraId="256C026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1 039,0</w:t>
            </w:r>
          </w:p>
        </w:tc>
        <w:tc>
          <w:tcPr>
            <w:tcW w:w="1275" w:type="dxa"/>
            <w:tcBorders>
              <w:top w:val="nil"/>
              <w:left w:val="nil"/>
              <w:bottom w:val="single" w:sz="4" w:space="0" w:color="000000"/>
              <w:right w:val="single" w:sz="4" w:space="0" w:color="000000"/>
            </w:tcBorders>
            <w:shd w:val="clear" w:color="auto" w:fill="auto"/>
            <w:noWrap/>
            <w:vAlign w:val="center"/>
            <w:hideMark/>
          </w:tcPr>
          <w:p w14:paraId="3BA4DE8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884,0</w:t>
            </w:r>
          </w:p>
        </w:tc>
        <w:tc>
          <w:tcPr>
            <w:tcW w:w="1275" w:type="dxa"/>
            <w:tcBorders>
              <w:top w:val="nil"/>
              <w:left w:val="nil"/>
              <w:bottom w:val="single" w:sz="4" w:space="0" w:color="000000"/>
              <w:right w:val="single" w:sz="4" w:space="0" w:color="000000"/>
            </w:tcBorders>
            <w:shd w:val="clear" w:color="auto" w:fill="auto"/>
            <w:noWrap/>
            <w:vAlign w:val="center"/>
            <w:hideMark/>
          </w:tcPr>
          <w:p w14:paraId="3EFA4C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885,0</w:t>
            </w:r>
          </w:p>
        </w:tc>
        <w:tc>
          <w:tcPr>
            <w:tcW w:w="1277" w:type="dxa"/>
            <w:tcBorders>
              <w:top w:val="nil"/>
              <w:left w:val="nil"/>
              <w:bottom w:val="single" w:sz="4" w:space="0" w:color="000000"/>
              <w:right w:val="single" w:sz="4" w:space="0" w:color="000000"/>
            </w:tcBorders>
            <w:shd w:val="clear" w:color="auto" w:fill="auto"/>
            <w:noWrap/>
            <w:vAlign w:val="center"/>
            <w:hideMark/>
          </w:tcPr>
          <w:p w14:paraId="2343274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885,0</w:t>
            </w:r>
          </w:p>
        </w:tc>
        <w:tc>
          <w:tcPr>
            <w:tcW w:w="1276" w:type="dxa"/>
            <w:tcBorders>
              <w:top w:val="nil"/>
              <w:left w:val="nil"/>
              <w:bottom w:val="single" w:sz="4" w:space="0" w:color="000000"/>
              <w:right w:val="single" w:sz="4" w:space="0" w:color="000000"/>
            </w:tcBorders>
            <w:shd w:val="clear" w:color="auto" w:fill="auto"/>
            <w:noWrap/>
            <w:vAlign w:val="center"/>
            <w:hideMark/>
          </w:tcPr>
          <w:p w14:paraId="624658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887,0</w:t>
            </w:r>
          </w:p>
        </w:tc>
        <w:tc>
          <w:tcPr>
            <w:tcW w:w="1275" w:type="dxa"/>
            <w:tcBorders>
              <w:top w:val="nil"/>
              <w:left w:val="nil"/>
              <w:bottom w:val="single" w:sz="4" w:space="0" w:color="000000"/>
              <w:right w:val="single" w:sz="4" w:space="0" w:color="000000"/>
            </w:tcBorders>
            <w:shd w:val="clear" w:color="auto" w:fill="auto"/>
            <w:noWrap/>
            <w:vAlign w:val="center"/>
            <w:hideMark/>
          </w:tcPr>
          <w:p w14:paraId="3FBF4A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887,0</w:t>
            </w:r>
          </w:p>
        </w:tc>
      </w:tr>
      <w:tr w:rsidR="00996507" w:rsidRPr="00996507" w14:paraId="3712BCDC" w14:textId="77777777" w:rsidTr="00996507">
        <w:trPr>
          <w:trHeight w:val="1785"/>
        </w:trPr>
        <w:tc>
          <w:tcPr>
            <w:tcW w:w="1701" w:type="dxa"/>
            <w:vMerge/>
            <w:tcBorders>
              <w:top w:val="nil"/>
              <w:left w:val="single" w:sz="4" w:space="0" w:color="auto"/>
              <w:bottom w:val="single" w:sz="4" w:space="0" w:color="auto"/>
              <w:right w:val="single" w:sz="4" w:space="0" w:color="auto"/>
            </w:tcBorders>
            <w:vAlign w:val="center"/>
            <w:hideMark/>
          </w:tcPr>
          <w:p w14:paraId="45282E0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179D38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w:t>
            </w:r>
          </w:p>
        </w:tc>
        <w:tc>
          <w:tcPr>
            <w:tcW w:w="1151" w:type="dxa"/>
            <w:tcBorders>
              <w:top w:val="nil"/>
              <w:left w:val="nil"/>
              <w:bottom w:val="single" w:sz="4" w:space="0" w:color="auto"/>
              <w:right w:val="single" w:sz="4" w:space="0" w:color="auto"/>
            </w:tcBorders>
            <w:shd w:val="clear" w:color="000000" w:fill="FFFFFF"/>
            <w:hideMark/>
          </w:tcPr>
          <w:p w14:paraId="29B3A7F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6C40BAF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27.3</w:t>
            </w:r>
          </w:p>
        </w:tc>
        <w:tc>
          <w:tcPr>
            <w:tcW w:w="1276" w:type="dxa"/>
            <w:tcBorders>
              <w:top w:val="nil"/>
              <w:left w:val="nil"/>
              <w:bottom w:val="single" w:sz="4" w:space="0" w:color="000000"/>
              <w:right w:val="single" w:sz="4" w:space="0" w:color="000000"/>
            </w:tcBorders>
            <w:shd w:val="clear" w:color="000000" w:fill="C0C0C0"/>
            <w:noWrap/>
            <w:vAlign w:val="center"/>
            <w:hideMark/>
          </w:tcPr>
          <w:p w14:paraId="0A50E9E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0,2</w:t>
            </w:r>
          </w:p>
        </w:tc>
        <w:tc>
          <w:tcPr>
            <w:tcW w:w="1275" w:type="dxa"/>
            <w:tcBorders>
              <w:top w:val="nil"/>
              <w:left w:val="nil"/>
              <w:bottom w:val="single" w:sz="4" w:space="0" w:color="000000"/>
              <w:right w:val="single" w:sz="4" w:space="0" w:color="000000"/>
            </w:tcBorders>
            <w:shd w:val="clear" w:color="000000" w:fill="C0C0C0"/>
            <w:noWrap/>
            <w:vAlign w:val="center"/>
            <w:hideMark/>
          </w:tcPr>
          <w:p w14:paraId="5D29EC8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0,3</w:t>
            </w:r>
          </w:p>
        </w:tc>
        <w:tc>
          <w:tcPr>
            <w:tcW w:w="1275" w:type="dxa"/>
            <w:tcBorders>
              <w:top w:val="nil"/>
              <w:left w:val="nil"/>
              <w:bottom w:val="single" w:sz="4" w:space="0" w:color="000000"/>
              <w:right w:val="single" w:sz="4" w:space="0" w:color="000000"/>
            </w:tcBorders>
            <w:shd w:val="clear" w:color="000000" w:fill="C0C0C0"/>
            <w:noWrap/>
            <w:vAlign w:val="center"/>
            <w:hideMark/>
          </w:tcPr>
          <w:p w14:paraId="2C62E3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0,3</w:t>
            </w:r>
          </w:p>
        </w:tc>
        <w:tc>
          <w:tcPr>
            <w:tcW w:w="1277" w:type="dxa"/>
            <w:tcBorders>
              <w:top w:val="nil"/>
              <w:left w:val="nil"/>
              <w:bottom w:val="single" w:sz="4" w:space="0" w:color="000000"/>
              <w:right w:val="single" w:sz="4" w:space="0" w:color="000000"/>
            </w:tcBorders>
            <w:shd w:val="clear" w:color="000000" w:fill="C0C0C0"/>
            <w:noWrap/>
            <w:vAlign w:val="center"/>
            <w:hideMark/>
          </w:tcPr>
          <w:p w14:paraId="68BBF99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0,3</w:t>
            </w:r>
          </w:p>
        </w:tc>
        <w:tc>
          <w:tcPr>
            <w:tcW w:w="1276" w:type="dxa"/>
            <w:tcBorders>
              <w:top w:val="nil"/>
              <w:left w:val="nil"/>
              <w:bottom w:val="single" w:sz="4" w:space="0" w:color="000000"/>
              <w:right w:val="single" w:sz="4" w:space="0" w:color="000000"/>
            </w:tcBorders>
            <w:shd w:val="clear" w:color="000000" w:fill="C0C0C0"/>
            <w:noWrap/>
            <w:vAlign w:val="center"/>
            <w:hideMark/>
          </w:tcPr>
          <w:p w14:paraId="0E6398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0,3</w:t>
            </w:r>
          </w:p>
        </w:tc>
        <w:tc>
          <w:tcPr>
            <w:tcW w:w="1275" w:type="dxa"/>
            <w:tcBorders>
              <w:top w:val="nil"/>
              <w:left w:val="nil"/>
              <w:bottom w:val="single" w:sz="4" w:space="0" w:color="000000"/>
              <w:right w:val="single" w:sz="4" w:space="0" w:color="000000"/>
            </w:tcBorders>
            <w:shd w:val="clear" w:color="000000" w:fill="C0C0C0"/>
            <w:noWrap/>
            <w:vAlign w:val="center"/>
            <w:hideMark/>
          </w:tcPr>
          <w:p w14:paraId="1DEA0D7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0,4</w:t>
            </w:r>
          </w:p>
        </w:tc>
      </w:tr>
      <w:tr w:rsidR="00996507" w:rsidRPr="00996507" w14:paraId="1AC144E7" w14:textId="77777777" w:rsidTr="00996507">
        <w:trPr>
          <w:trHeight w:val="2040"/>
        </w:trPr>
        <w:tc>
          <w:tcPr>
            <w:tcW w:w="1701" w:type="dxa"/>
            <w:vMerge/>
            <w:tcBorders>
              <w:top w:val="nil"/>
              <w:left w:val="single" w:sz="4" w:space="0" w:color="auto"/>
              <w:bottom w:val="single" w:sz="4" w:space="0" w:color="auto"/>
              <w:right w:val="single" w:sz="4" w:space="0" w:color="auto"/>
            </w:tcBorders>
            <w:vAlign w:val="center"/>
            <w:hideMark/>
          </w:tcPr>
          <w:p w14:paraId="64E413B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CD564D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 кооперативом</w:t>
            </w:r>
          </w:p>
        </w:tc>
        <w:tc>
          <w:tcPr>
            <w:tcW w:w="1151" w:type="dxa"/>
            <w:tcBorders>
              <w:top w:val="nil"/>
              <w:left w:val="nil"/>
              <w:bottom w:val="single" w:sz="4" w:space="0" w:color="auto"/>
              <w:right w:val="single" w:sz="4" w:space="0" w:color="auto"/>
            </w:tcBorders>
            <w:shd w:val="clear" w:color="000000" w:fill="FFFFFF"/>
            <w:hideMark/>
          </w:tcPr>
          <w:p w14:paraId="418A74A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77A92D3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27.4</w:t>
            </w:r>
          </w:p>
        </w:tc>
        <w:tc>
          <w:tcPr>
            <w:tcW w:w="1276" w:type="dxa"/>
            <w:tcBorders>
              <w:top w:val="nil"/>
              <w:left w:val="nil"/>
              <w:bottom w:val="single" w:sz="4" w:space="0" w:color="000000"/>
              <w:right w:val="single" w:sz="4" w:space="0" w:color="000000"/>
            </w:tcBorders>
            <w:shd w:val="clear" w:color="auto" w:fill="auto"/>
            <w:noWrap/>
            <w:vAlign w:val="center"/>
            <w:hideMark/>
          </w:tcPr>
          <w:p w14:paraId="303954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2,0</w:t>
            </w:r>
          </w:p>
        </w:tc>
        <w:tc>
          <w:tcPr>
            <w:tcW w:w="1275" w:type="dxa"/>
            <w:tcBorders>
              <w:top w:val="nil"/>
              <w:left w:val="nil"/>
              <w:bottom w:val="single" w:sz="4" w:space="0" w:color="000000"/>
              <w:right w:val="single" w:sz="4" w:space="0" w:color="000000"/>
            </w:tcBorders>
            <w:shd w:val="clear" w:color="auto" w:fill="auto"/>
            <w:noWrap/>
            <w:vAlign w:val="center"/>
            <w:hideMark/>
          </w:tcPr>
          <w:p w14:paraId="2269B12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5" w:type="dxa"/>
            <w:tcBorders>
              <w:top w:val="nil"/>
              <w:left w:val="nil"/>
              <w:bottom w:val="single" w:sz="4" w:space="0" w:color="000000"/>
              <w:right w:val="single" w:sz="4" w:space="0" w:color="000000"/>
            </w:tcBorders>
            <w:shd w:val="clear" w:color="auto" w:fill="auto"/>
            <w:noWrap/>
            <w:vAlign w:val="center"/>
            <w:hideMark/>
          </w:tcPr>
          <w:p w14:paraId="4BBDAB7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7" w:type="dxa"/>
            <w:tcBorders>
              <w:top w:val="nil"/>
              <w:left w:val="nil"/>
              <w:bottom w:val="single" w:sz="4" w:space="0" w:color="000000"/>
              <w:right w:val="single" w:sz="4" w:space="0" w:color="000000"/>
            </w:tcBorders>
            <w:shd w:val="clear" w:color="auto" w:fill="auto"/>
            <w:noWrap/>
            <w:vAlign w:val="center"/>
            <w:hideMark/>
          </w:tcPr>
          <w:p w14:paraId="4667B19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6" w:type="dxa"/>
            <w:tcBorders>
              <w:top w:val="nil"/>
              <w:left w:val="nil"/>
              <w:bottom w:val="single" w:sz="4" w:space="0" w:color="000000"/>
              <w:right w:val="single" w:sz="4" w:space="0" w:color="000000"/>
            </w:tcBorders>
            <w:shd w:val="clear" w:color="auto" w:fill="auto"/>
            <w:noWrap/>
            <w:vAlign w:val="center"/>
            <w:hideMark/>
          </w:tcPr>
          <w:p w14:paraId="13150B5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5" w:type="dxa"/>
            <w:tcBorders>
              <w:top w:val="nil"/>
              <w:left w:val="nil"/>
              <w:bottom w:val="single" w:sz="4" w:space="0" w:color="000000"/>
              <w:right w:val="single" w:sz="4" w:space="0" w:color="000000"/>
            </w:tcBorders>
            <w:shd w:val="clear" w:color="auto" w:fill="auto"/>
            <w:noWrap/>
            <w:vAlign w:val="center"/>
            <w:hideMark/>
          </w:tcPr>
          <w:p w14:paraId="296174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5,0</w:t>
            </w:r>
          </w:p>
        </w:tc>
      </w:tr>
      <w:tr w:rsidR="00996507" w:rsidRPr="00996507" w14:paraId="1CA5AE2E"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037D192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13BA33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1151" w:type="dxa"/>
            <w:tcBorders>
              <w:top w:val="nil"/>
              <w:left w:val="nil"/>
              <w:bottom w:val="single" w:sz="4" w:space="0" w:color="auto"/>
              <w:right w:val="single" w:sz="4" w:space="0" w:color="auto"/>
            </w:tcBorders>
            <w:shd w:val="clear" w:color="000000" w:fill="FFFFFF"/>
            <w:hideMark/>
          </w:tcPr>
          <w:p w14:paraId="17F18D5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8C6F42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27.5</w:t>
            </w:r>
          </w:p>
        </w:tc>
        <w:tc>
          <w:tcPr>
            <w:tcW w:w="1276" w:type="dxa"/>
            <w:tcBorders>
              <w:top w:val="nil"/>
              <w:left w:val="nil"/>
              <w:bottom w:val="single" w:sz="4" w:space="0" w:color="000000"/>
              <w:right w:val="single" w:sz="4" w:space="0" w:color="000000"/>
            </w:tcBorders>
            <w:shd w:val="clear" w:color="000000" w:fill="C0C0C0"/>
            <w:noWrap/>
            <w:vAlign w:val="center"/>
            <w:hideMark/>
          </w:tcPr>
          <w:p w14:paraId="739252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w:t>
            </w:r>
          </w:p>
        </w:tc>
        <w:tc>
          <w:tcPr>
            <w:tcW w:w="1275" w:type="dxa"/>
            <w:tcBorders>
              <w:top w:val="nil"/>
              <w:left w:val="nil"/>
              <w:bottom w:val="single" w:sz="4" w:space="0" w:color="000000"/>
              <w:right w:val="single" w:sz="4" w:space="0" w:color="000000"/>
            </w:tcBorders>
            <w:shd w:val="clear" w:color="000000" w:fill="C0C0C0"/>
            <w:noWrap/>
            <w:vAlign w:val="center"/>
            <w:hideMark/>
          </w:tcPr>
          <w:p w14:paraId="4F7188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11,7</w:t>
            </w:r>
          </w:p>
        </w:tc>
        <w:tc>
          <w:tcPr>
            <w:tcW w:w="1275" w:type="dxa"/>
            <w:tcBorders>
              <w:top w:val="nil"/>
              <w:left w:val="nil"/>
              <w:bottom w:val="single" w:sz="4" w:space="0" w:color="000000"/>
              <w:right w:val="single" w:sz="4" w:space="0" w:color="000000"/>
            </w:tcBorders>
            <w:shd w:val="clear" w:color="000000" w:fill="C0C0C0"/>
            <w:noWrap/>
            <w:vAlign w:val="center"/>
            <w:hideMark/>
          </w:tcPr>
          <w:p w14:paraId="519618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10,5</w:t>
            </w:r>
          </w:p>
        </w:tc>
        <w:tc>
          <w:tcPr>
            <w:tcW w:w="1277" w:type="dxa"/>
            <w:tcBorders>
              <w:top w:val="nil"/>
              <w:left w:val="nil"/>
              <w:bottom w:val="single" w:sz="4" w:space="0" w:color="000000"/>
              <w:right w:val="single" w:sz="4" w:space="0" w:color="000000"/>
            </w:tcBorders>
            <w:shd w:val="clear" w:color="000000" w:fill="C0C0C0"/>
            <w:noWrap/>
            <w:vAlign w:val="center"/>
            <w:hideMark/>
          </w:tcPr>
          <w:p w14:paraId="0629D4A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10,8</w:t>
            </w:r>
          </w:p>
        </w:tc>
        <w:tc>
          <w:tcPr>
            <w:tcW w:w="1276" w:type="dxa"/>
            <w:tcBorders>
              <w:top w:val="nil"/>
              <w:left w:val="nil"/>
              <w:bottom w:val="single" w:sz="4" w:space="0" w:color="000000"/>
              <w:right w:val="single" w:sz="4" w:space="0" w:color="000000"/>
            </w:tcBorders>
            <w:shd w:val="clear" w:color="000000" w:fill="C0C0C0"/>
            <w:noWrap/>
            <w:vAlign w:val="center"/>
            <w:hideMark/>
          </w:tcPr>
          <w:p w14:paraId="0DCF085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10,7</w:t>
            </w:r>
          </w:p>
        </w:tc>
        <w:tc>
          <w:tcPr>
            <w:tcW w:w="1275" w:type="dxa"/>
            <w:tcBorders>
              <w:top w:val="nil"/>
              <w:left w:val="nil"/>
              <w:bottom w:val="single" w:sz="4" w:space="0" w:color="000000"/>
              <w:right w:val="single" w:sz="4" w:space="0" w:color="000000"/>
            </w:tcBorders>
            <w:shd w:val="clear" w:color="000000" w:fill="C0C0C0"/>
            <w:noWrap/>
            <w:vAlign w:val="center"/>
            <w:hideMark/>
          </w:tcPr>
          <w:p w14:paraId="5A80DCD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10,9</w:t>
            </w:r>
          </w:p>
        </w:tc>
      </w:tr>
      <w:tr w:rsidR="00996507" w:rsidRPr="00996507" w14:paraId="327EE16F"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1B17CE6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B5678B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1151" w:type="dxa"/>
            <w:tcBorders>
              <w:top w:val="nil"/>
              <w:left w:val="nil"/>
              <w:bottom w:val="single" w:sz="4" w:space="0" w:color="auto"/>
              <w:right w:val="single" w:sz="4" w:space="0" w:color="auto"/>
            </w:tcBorders>
            <w:shd w:val="clear" w:color="000000" w:fill="FFFFFF"/>
            <w:hideMark/>
          </w:tcPr>
          <w:p w14:paraId="3F621E3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322EB32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27.6</w:t>
            </w:r>
          </w:p>
        </w:tc>
        <w:tc>
          <w:tcPr>
            <w:tcW w:w="1276" w:type="dxa"/>
            <w:tcBorders>
              <w:top w:val="nil"/>
              <w:left w:val="nil"/>
              <w:bottom w:val="single" w:sz="4" w:space="0" w:color="000000"/>
              <w:right w:val="single" w:sz="4" w:space="0" w:color="000000"/>
            </w:tcBorders>
            <w:shd w:val="clear" w:color="auto" w:fill="auto"/>
            <w:noWrap/>
            <w:vAlign w:val="center"/>
            <w:hideMark/>
          </w:tcPr>
          <w:p w14:paraId="449B79F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38,0</w:t>
            </w:r>
          </w:p>
        </w:tc>
        <w:tc>
          <w:tcPr>
            <w:tcW w:w="1275" w:type="dxa"/>
            <w:tcBorders>
              <w:top w:val="nil"/>
              <w:left w:val="nil"/>
              <w:bottom w:val="single" w:sz="4" w:space="0" w:color="000000"/>
              <w:right w:val="single" w:sz="4" w:space="0" w:color="000000"/>
            </w:tcBorders>
            <w:shd w:val="clear" w:color="auto" w:fill="auto"/>
            <w:noWrap/>
            <w:vAlign w:val="center"/>
            <w:hideMark/>
          </w:tcPr>
          <w:p w14:paraId="1BA3E0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136,0</w:t>
            </w:r>
          </w:p>
        </w:tc>
        <w:tc>
          <w:tcPr>
            <w:tcW w:w="1275" w:type="dxa"/>
            <w:tcBorders>
              <w:top w:val="nil"/>
              <w:left w:val="nil"/>
              <w:bottom w:val="single" w:sz="4" w:space="0" w:color="000000"/>
              <w:right w:val="single" w:sz="4" w:space="0" w:color="000000"/>
            </w:tcBorders>
            <w:shd w:val="clear" w:color="auto" w:fill="auto"/>
            <w:noWrap/>
            <w:vAlign w:val="center"/>
            <w:hideMark/>
          </w:tcPr>
          <w:p w14:paraId="78DB6B6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123,0</w:t>
            </w:r>
          </w:p>
        </w:tc>
        <w:tc>
          <w:tcPr>
            <w:tcW w:w="1277" w:type="dxa"/>
            <w:tcBorders>
              <w:top w:val="nil"/>
              <w:left w:val="nil"/>
              <w:bottom w:val="single" w:sz="4" w:space="0" w:color="000000"/>
              <w:right w:val="single" w:sz="4" w:space="0" w:color="000000"/>
            </w:tcBorders>
            <w:shd w:val="clear" w:color="auto" w:fill="auto"/>
            <w:noWrap/>
            <w:vAlign w:val="center"/>
            <w:hideMark/>
          </w:tcPr>
          <w:p w14:paraId="14B3EE1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127,0</w:t>
            </w:r>
          </w:p>
        </w:tc>
        <w:tc>
          <w:tcPr>
            <w:tcW w:w="1276" w:type="dxa"/>
            <w:tcBorders>
              <w:top w:val="nil"/>
              <w:left w:val="nil"/>
              <w:bottom w:val="single" w:sz="4" w:space="0" w:color="000000"/>
              <w:right w:val="single" w:sz="4" w:space="0" w:color="000000"/>
            </w:tcBorders>
            <w:shd w:val="clear" w:color="auto" w:fill="auto"/>
            <w:noWrap/>
            <w:vAlign w:val="center"/>
            <w:hideMark/>
          </w:tcPr>
          <w:p w14:paraId="55C2A21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127,0</w:t>
            </w:r>
          </w:p>
        </w:tc>
        <w:tc>
          <w:tcPr>
            <w:tcW w:w="1275" w:type="dxa"/>
            <w:tcBorders>
              <w:top w:val="nil"/>
              <w:left w:val="nil"/>
              <w:bottom w:val="single" w:sz="4" w:space="0" w:color="000000"/>
              <w:right w:val="single" w:sz="4" w:space="0" w:color="000000"/>
            </w:tcBorders>
            <w:shd w:val="clear" w:color="auto" w:fill="auto"/>
            <w:noWrap/>
            <w:vAlign w:val="center"/>
            <w:hideMark/>
          </w:tcPr>
          <w:p w14:paraId="26D0C76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130,0</w:t>
            </w:r>
          </w:p>
        </w:tc>
      </w:tr>
      <w:tr w:rsidR="00996507" w:rsidRPr="00996507" w14:paraId="4CDDB3AD"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489B347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537BA1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1151" w:type="dxa"/>
            <w:tcBorders>
              <w:top w:val="nil"/>
              <w:left w:val="nil"/>
              <w:bottom w:val="single" w:sz="4" w:space="0" w:color="auto"/>
              <w:right w:val="single" w:sz="4" w:space="0" w:color="auto"/>
            </w:tcBorders>
            <w:shd w:val="clear" w:color="000000" w:fill="FFFFFF"/>
            <w:hideMark/>
          </w:tcPr>
          <w:p w14:paraId="45EA61B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4BB46CA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27.7</w:t>
            </w:r>
          </w:p>
        </w:tc>
        <w:tc>
          <w:tcPr>
            <w:tcW w:w="1276" w:type="dxa"/>
            <w:tcBorders>
              <w:top w:val="nil"/>
              <w:left w:val="nil"/>
              <w:bottom w:val="single" w:sz="4" w:space="0" w:color="000000"/>
              <w:right w:val="single" w:sz="4" w:space="0" w:color="000000"/>
            </w:tcBorders>
            <w:shd w:val="clear" w:color="000000" w:fill="C0C0C0"/>
            <w:noWrap/>
            <w:vAlign w:val="center"/>
            <w:hideMark/>
          </w:tcPr>
          <w:p w14:paraId="63B8DF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5,3</w:t>
            </w:r>
          </w:p>
        </w:tc>
        <w:tc>
          <w:tcPr>
            <w:tcW w:w="1275" w:type="dxa"/>
            <w:tcBorders>
              <w:top w:val="nil"/>
              <w:left w:val="nil"/>
              <w:bottom w:val="single" w:sz="4" w:space="0" w:color="000000"/>
              <w:right w:val="single" w:sz="4" w:space="0" w:color="000000"/>
            </w:tcBorders>
            <w:shd w:val="clear" w:color="000000" w:fill="C0C0C0"/>
            <w:noWrap/>
            <w:vAlign w:val="center"/>
            <w:hideMark/>
          </w:tcPr>
          <w:p w14:paraId="466C41C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10,4</w:t>
            </w:r>
          </w:p>
        </w:tc>
        <w:tc>
          <w:tcPr>
            <w:tcW w:w="1275" w:type="dxa"/>
            <w:tcBorders>
              <w:top w:val="nil"/>
              <w:left w:val="nil"/>
              <w:bottom w:val="single" w:sz="4" w:space="0" w:color="000000"/>
              <w:right w:val="single" w:sz="4" w:space="0" w:color="000000"/>
            </w:tcBorders>
            <w:shd w:val="clear" w:color="000000" w:fill="C0C0C0"/>
            <w:noWrap/>
            <w:vAlign w:val="center"/>
            <w:hideMark/>
          </w:tcPr>
          <w:p w14:paraId="4224739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12,0</w:t>
            </w:r>
          </w:p>
        </w:tc>
        <w:tc>
          <w:tcPr>
            <w:tcW w:w="1277" w:type="dxa"/>
            <w:tcBorders>
              <w:top w:val="nil"/>
              <w:left w:val="nil"/>
              <w:bottom w:val="single" w:sz="4" w:space="0" w:color="000000"/>
              <w:right w:val="single" w:sz="4" w:space="0" w:color="000000"/>
            </w:tcBorders>
            <w:shd w:val="clear" w:color="000000" w:fill="C0C0C0"/>
            <w:noWrap/>
            <w:vAlign w:val="center"/>
            <w:hideMark/>
          </w:tcPr>
          <w:p w14:paraId="0B7445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12,2</w:t>
            </w:r>
          </w:p>
        </w:tc>
        <w:tc>
          <w:tcPr>
            <w:tcW w:w="1276" w:type="dxa"/>
            <w:tcBorders>
              <w:top w:val="nil"/>
              <w:left w:val="nil"/>
              <w:bottom w:val="single" w:sz="4" w:space="0" w:color="000000"/>
              <w:right w:val="single" w:sz="4" w:space="0" w:color="000000"/>
            </w:tcBorders>
            <w:shd w:val="clear" w:color="000000" w:fill="C0C0C0"/>
            <w:noWrap/>
            <w:vAlign w:val="center"/>
            <w:hideMark/>
          </w:tcPr>
          <w:p w14:paraId="06A29A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12,8</w:t>
            </w:r>
          </w:p>
        </w:tc>
        <w:tc>
          <w:tcPr>
            <w:tcW w:w="1275" w:type="dxa"/>
            <w:tcBorders>
              <w:top w:val="nil"/>
              <w:left w:val="nil"/>
              <w:bottom w:val="single" w:sz="4" w:space="0" w:color="000000"/>
              <w:right w:val="single" w:sz="4" w:space="0" w:color="000000"/>
            </w:tcBorders>
            <w:shd w:val="clear" w:color="000000" w:fill="C0C0C0"/>
            <w:noWrap/>
            <w:vAlign w:val="center"/>
            <w:hideMark/>
          </w:tcPr>
          <w:p w14:paraId="2710DC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13,0</w:t>
            </w:r>
          </w:p>
        </w:tc>
      </w:tr>
      <w:tr w:rsidR="00996507" w:rsidRPr="00996507" w14:paraId="626B096D"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7042D16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E69642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1151" w:type="dxa"/>
            <w:tcBorders>
              <w:top w:val="nil"/>
              <w:left w:val="nil"/>
              <w:bottom w:val="single" w:sz="4" w:space="0" w:color="auto"/>
              <w:right w:val="single" w:sz="4" w:space="0" w:color="auto"/>
            </w:tcBorders>
            <w:shd w:val="clear" w:color="000000" w:fill="FFFFFF"/>
            <w:hideMark/>
          </w:tcPr>
          <w:p w14:paraId="3C33AA9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25246A2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27.8</w:t>
            </w:r>
          </w:p>
        </w:tc>
        <w:tc>
          <w:tcPr>
            <w:tcW w:w="1276" w:type="dxa"/>
            <w:tcBorders>
              <w:top w:val="nil"/>
              <w:left w:val="nil"/>
              <w:bottom w:val="single" w:sz="4" w:space="0" w:color="000000"/>
              <w:right w:val="single" w:sz="4" w:space="0" w:color="000000"/>
            </w:tcBorders>
            <w:shd w:val="clear" w:color="auto" w:fill="auto"/>
            <w:noWrap/>
            <w:vAlign w:val="center"/>
            <w:hideMark/>
          </w:tcPr>
          <w:p w14:paraId="010A1BD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60,0</w:t>
            </w:r>
          </w:p>
        </w:tc>
        <w:tc>
          <w:tcPr>
            <w:tcW w:w="1275" w:type="dxa"/>
            <w:tcBorders>
              <w:top w:val="nil"/>
              <w:left w:val="nil"/>
              <w:bottom w:val="single" w:sz="4" w:space="0" w:color="000000"/>
              <w:right w:val="single" w:sz="4" w:space="0" w:color="000000"/>
            </w:tcBorders>
            <w:shd w:val="clear" w:color="auto" w:fill="auto"/>
            <w:noWrap/>
            <w:vAlign w:val="center"/>
            <w:hideMark/>
          </w:tcPr>
          <w:p w14:paraId="7BDAB24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121,0</w:t>
            </w:r>
          </w:p>
        </w:tc>
        <w:tc>
          <w:tcPr>
            <w:tcW w:w="1275" w:type="dxa"/>
            <w:tcBorders>
              <w:top w:val="nil"/>
              <w:left w:val="nil"/>
              <w:bottom w:val="single" w:sz="4" w:space="0" w:color="000000"/>
              <w:right w:val="single" w:sz="4" w:space="0" w:color="000000"/>
            </w:tcBorders>
            <w:shd w:val="clear" w:color="auto" w:fill="auto"/>
            <w:noWrap/>
            <w:vAlign w:val="center"/>
            <w:hideMark/>
          </w:tcPr>
          <w:p w14:paraId="0FF5A62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141,0</w:t>
            </w:r>
          </w:p>
        </w:tc>
        <w:tc>
          <w:tcPr>
            <w:tcW w:w="1277" w:type="dxa"/>
            <w:tcBorders>
              <w:top w:val="nil"/>
              <w:left w:val="nil"/>
              <w:bottom w:val="single" w:sz="4" w:space="0" w:color="000000"/>
              <w:right w:val="single" w:sz="4" w:space="0" w:color="000000"/>
            </w:tcBorders>
            <w:shd w:val="clear" w:color="auto" w:fill="auto"/>
            <w:noWrap/>
            <w:vAlign w:val="center"/>
            <w:hideMark/>
          </w:tcPr>
          <w:p w14:paraId="5DF42E7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144,0</w:t>
            </w:r>
          </w:p>
        </w:tc>
        <w:tc>
          <w:tcPr>
            <w:tcW w:w="1276" w:type="dxa"/>
            <w:tcBorders>
              <w:top w:val="nil"/>
              <w:left w:val="nil"/>
              <w:bottom w:val="single" w:sz="4" w:space="0" w:color="000000"/>
              <w:right w:val="single" w:sz="4" w:space="0" w:color="000000"/>
            </w:tcBorders>
            <w:shd w:val="clear" w:color="auto" w:fill="auto"/>
            <w:noWrap/>
            <w:vAlign w:val="center"/>
            <w:hideMark/>
          </w:tcPr>
          <w:p w14:paraId="7BA74E3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152,0</w:t>
            </w:r>
          </w:p>
        </w:tc>
        <w:tc>
          <w:tcPr>
            <w:tcW w:w="1275" w:type="dxa"/>
            <w:tcBorders>
              <w:top w:val="nil"/>
              <w:left w:val="nil"/>
              <w:bottom w:val="single" w:sz="4" w:space="0" w:color="000000"/>
              <w:right w:val="single" w:sz="4" w:space="0" w:color="000000"/>
            </w:tcBorders>
            <w:shd w:val="clear" w:color="auto" w:fill="auto"/>
            <w:noWrap/>
            <w:vAlign w:val="center"/>
            <w:hideMark/>
          </w:tcPr>
          <w:p w14:paraId="5C707CA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155,0</w:t>
            </w:r>
          </w:p>
        </w:tc>
      </w:tr>
      <w:tr w:rsidR="00996507" w:rsidRPr="00996507" w14:paraId="44CE7BF9" w14:textId="77777777" w:rsidTr="00996507">
        <w:trPr>
          <w:trHeight w:val="1920"/>
        </w:trPr>
        <w:tc>
          <w:tcPr>
            <w:tcW w:w="1701" w:type="dxa"/>
            <w:vMerge/>
            <w:tcBorders>
              <w:top w:val="nil"/>
              <w:left w:val="single" w:sz="4" w:space="0" w:color="auto"/>
              <w:bottom w:val="single" w:sz="4" w:space="0" w:color="auto"/>
              <w:right w:val="single" w:sz="4" w:space="0" w:color="auto"/>
            </w:tcBorders>
            <w:vAlign w:val="center"/>
            <w:hideMark/>
          </w:tcPr>
          <w:p w14:paraId="3F5596F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18DE2B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1151" w:type="dxa"/>
            <w:tcBorders>
              <w:top w:val="nil"/>
              <w:left w:val="nil"/>
              <w:bottom w:val="single" w:sz="4" w:space="0" w:color="auto"/>
              <w:right w:val="single" w:sz="4" w:space="0" w:color="auto"/>
            </w:tcBorders>
            <w:shd w:val="clear" w:color="000000" w:fill="FFFFFF"/>
            <w:hideMark/>
          </w:tcPr>
          <w:p w14:paraId="4B40586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7E8C6F4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27.9</w:t>
            </w:r>
          </w:p>
        </w:tc>
        <w:tc>
          <w:tcPr>
            <w:tcW w:w="1276" w:type="dxa"/>
            <w:tcBorders>
              <w:top w:val="nil"/>
              <w:left w:val="nil"/>
              <w:bottom w:val="single" w:sz="4" w:space="0" w:color="000000"/>
              <w:right w:val="single" w:sz="4" w:space="0" w:color="000000"/>
            </w:tcBorders>
            <w:shd w:val="clear" w:color="000000" w:fill="C0C0C0"/>
            <w:noWrap/>
            <w:vAlign w:val="center"/>
            <w:hideMark/>
          </w:tcPr>
          <w:p w14:paraId="6C95433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5,3</w:t>
            </w:r>
          </w:p>
        </w:tc>
        <w:tc>
          <w:tcPr>
            <w:tcW w:w="1275" w:type="dxa"/>
            <w:tcBorders>
              <w:top w:val="nil"/>
              <w:left w:val="nil"/>
              <w:bottom w:val="single" w:sz="4" w:space="0" w:color="000000"/>
              <w:right w:val="single" w:sz="4" w:space="0" w:color="000000"/>
            </w:tcBorders>
            <w:shd w:val="clear" w:color="000000" w:fill="C0C0C0"/>
            <w:noWrap/>
            <w:vAlign w:val="center"/>
            <w:hideMark/>
          </w:tcPr>
          <w:p w14:paraId="35417C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9,8</w:t>
            </w:r>
          </w:p>
        </w:tc>
        <w:tc>
          <w:tcPr>
            <w:tcW w:w="1275" w:type="dxa"/>
            <w:tcBorders>
              <w:top w:val="nil"/>
              <w:left w:val="nil"/>
              <w:bottom w:val="single" w:sz="4" w:space="0" w:color="000000"/>
              <w:right w:val="single" w:sz="4" w:space="0" w:color="000000"/>
            </w:tcBorders>
            <w:shd w:val="clear" w:color="000000" w:fill="C0C0C0"/>
            <w:noWrap/>
            <w:vAlign w:val="center"/>
            <w:hideMark/>
          </w:tcPr>
          <w:p w14:paraId="2C546E7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11,3</w:t>
            </w:r>
          </w:p>
        </w:tc>
        <w:tc>
          <w:tcPr>
            <w:tcW w:w="1277" w:type="dxa"/>
            <w:tcBorders>
              <w:top w:val="nil"/>
              <w:left w:val="nil"/>
              <w:bottom w:val="single" w:sz="4" w:space="0" w:color="000000"/>
              <w:right w:val="single" w:sz="4" w:space="0" w:color="000000"/>
            </w:tcBorders>
            <w:shd w:val="clear" w:color="000000" w:fill="C0C0C0"/>
            <w:noWrap/>
            <w:vAlign w:val="center"/>
            <w:hideMark/>
          </w:tcPr>
          <w:p w14:paraId="3E1E900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11,4</w:t>
            </w:r>
          </w:p>
        </w:tc>
        <w:tc>
          <w:tcPr>
            <w:tcW w:w="1276" w:type="dxa"/>
            <w:tcBorders>
              <w:top w:val="nil"/>
              <w:left w:val="nil"/>
              <w:bottom w:val="single" w:sz="4" w:space="0" w:color="000000"/>
              <w:right w:val="single" w:sz="4" w:space="0" w:color="000000"/>
            </w:tcBorders>
            <w:shd w:val="clear" w:color="000000" w:fill="C0C0C0"/>
            <w:noWrap/>
            <w:vAlign w:val="center"/>
            <w:hideMark/>
          </w:tcPr>
          <w:p w14:paraId="3587B9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12,0</w:t>
            </w:r>
          </w:p>
        </w:tc>
        <w:tc>
          <w:tcPr>
            <w:tcW w:w="1275" w:type="dxa"/>
            <w:tcBorders>
              <w:top w:val="nil"/>
              <w:left w:val="nil"/>
              <w:bottom w:val="single" w:sz="4" w:space="0" w:color="000000"/>
              <w:right w:val="single" w:sz="4" w:space="0" w:color="000000"/>
            </w:tcBorders>
            <w:shd w:val="clear" w:color="000000" w:fill="C0C0C0"/>
            <w:noWrap/>
            <w:vAlign w:val="center"/>
            <w:hideMark/>
          </w:tcPr>
          <w:p w14:paraId="32E636B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12,2</w:t>
            </w:r>
          </w:p>
        </w:tc>
      </w:tr>
      <w:tr w:rsidR="00996507" w:rsidRPr="00996507" w14:paraId="7FB2B35A" w14:textId="77777777" w:rsidTr="00996507">
        <w:trPr>
          <w:trHeight w:val="1920"/>
        </w:trPr>
        <w:tc>
          <w:tcPr>
            <w:tcW w:w="1701" w:type="dxa"/>
            <w:vMerge/>
            <w:tcBorders>
              <w:top w:val="nil"/>
              <w:left w:val="single" w:sz="4" w:space="0" w:color="auto"/>
              <w:bottom w:val="single" w:sz="4" w:space="0" w:color="auto"/>
              <w:right w:val="single" w:sz="4" w:space="0" w:color="auto"/>
            </w:tcBorders>
            <w:vAlign w:val="center"/>
            <w:hideMark/>
          </w:tcPr>
          <w:p w14:paraId="4076E9B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CF08DF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1151" w:type="dxa"/>
            <w:tcBorders>
              <w:top w:val="nil"/>
              <w:left w:val="nil"/>
              <w:bottom w:val="single" w:sz="4" w:space="0" w:color="auto"/>
              <w:right w:val="single" w:sz="4" w:space="0" w:color="auto"/>
            </w:tcBorders>
            <w:shd w:val="clear" w:color="000000" w:fill="FFFFFF"/>
            <w:hideMark/>
          </w:tcPr>
          <w:p w14:paraId="2382DB9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E2F767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27.10</w:t>
            </w:r>
          </w:p>
        </w:tc>
        <w:tc>
          <w:tcPr>
            <w:tcW w:w="1276" w:type="dxa"/>
            <w:tcBorders>
              <w:top w:val="nil"/>
              <w:left w:val="nil"/>
              <w:bottom w:val="single" w:sz="4" w:space="0" w:color="000000"/>
              <w:right w:val="single" w:sz="4" w:space="0" w:color="000000"/>
            </w:tcBorders>
            <w:shd w:val="clear" w:color="auto" w:fill="auto"/>
            <w:noWrap/>
            <w:vAlign w:val="center"/>
            <w:hideMark/>
          </w:tcPr>
          <w:p w14:paraId="2DE187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60,0</w:t>
            </w:r>
          </w:p>
        </w:tc>
        <w:tc>
          <w:tcPr>
            <w:tcW w:w="1275" w:type="dxa"/>
            <w:tcBorders>
              <w:top w:val="nil"/>
              <w:left w:val="nil"/>
              <w:bottom w:val="single" w:sz="4" w:space="0" w:color="000000"/>
              <w:right w:val="single" w:sz="4" w:space="0" w:color="000000"/>
            </w:tcBorders>
            <w:shd w:val="clear" w:color="auto" w:fill="auto"/>
            <w:noWrap/>
            <w:vAlign w:val="center"/>
            <w:hideMark/>
          </w:tcPr>
          <w:p w14:paraId="401A2CE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114,0</w:t>
            </w:r>
          </w:p>
        </w:tc>
        <w:tc>
          <w:tcPr>
            <w:tcW w:w="1275" w:type="dxa"/>
            <w:tcBorders>
              <w:top w:val="nil"/>
              <w:left w:val="nil"/>
              <w:bottom w:val="single" w:sz="4" w:space="0" w:color="000000"/>
              <w:right w:val="single" w:sz="4" w:space="0" w:color="000000"/>
            </w:tcBorders>
            <w:shd w:val="clear" w:color="auto" w:fill="auto"/>
            <w:noWrap/>
            <w:vAlign w:val="center"/>
            <w:hideMark/>
          </w:tcPr>
          <w:p w14:paraId="4738627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132,0</w:t>
            </w:r>
          </w:p>
        </w:tc>
        <w:tc>
          <w:tcPr>
            <w:tcW w:w="1277" w:type="dxa"/>
            <w:tcBorders>
              <w:top w:val="nil"/>
              <w:left w:val="nil"/>
              <w:bottom w:val="single" w:sz="4" w:space="0" w:color="000000"/>
              <w:right w:val="single" w:sz="4" w:space="0" w:color="000000"/>
            </w:tcBorders>
            <w:shd w:val="clear" w:color="auto" w:fill="auto"/>
            <w:noWrap/>
            <w:vAlign w:val="center"/>
            <w:hideMark/>
          </w:tcPr>
          <w:p w14:paraId="592762C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134,0</w:t>
            </w:r>
          </w:p>
        </w:tc>
        <w:tc>
          <w:tcPr>
            <w:tcW w:w="1276" w:type="dxa"/>
            <w:tcBorders>
              <w:top w:val="nil"/>
              <w:left w:val="nil"/>
              <w:bottom w:val="single" w:sz="4" w:space="0" w:color="000000"/>
              <w:right w:val="single" w:sz="4" w:space="0" w:color="000000"/>
            </w:tcBorders>
            <w:shd w:val="clear" w:color="auto" w:fill="auto"/>
            <w:noWrap/>
            <w:vAlign w:val="center"/>
            <w:hideMark/>
          </w:tcPr>
          <w:p w14:paraId="570622F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142,0</w:t>
            </w:r>
          </w:p>
        </w:tc>
        <w:tc>
          <w:tcPr>
            <w:tcW w:w="1275" w:type="dxa"/>
            <w:tcBorders>
              <w:top w:val="nil"/>
              <w:left w:val="nil"/>
              <w:bottom w:val="single" w:sz="4" w:space="0" w:color="000000"/>
              <w:right w:val="single" w:sz="4" w:space="0" w:color="000000"/>
            </w:tcBorders>
            <w:shd w:val="clear" w:color="auto" w:fill="auto"/>
            <w:noWrap/>
            <w:vAlign w:val="center"/>
            <w:hideMark/>
          </w:tcPr>
          <w:p w14:paraId="21777AE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145,0</w:t>
            </w:r>
          </w:p>
        </w:tc>
      </w:tr>
      <w:tr w:rsidR="00996507" w:rsidRPr="00996507" w14:paraId="4EA65500"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5976FD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DA982F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число многоквартирных домов в городском округе (муниципальном районе), собственники помещений в которых должны выбирать способ управления данными домами</w:t>
            </w:r>
          </w:p>
        </w:tc>
        <w:tc>
          <w:tcPr>
            <w:tcW w:w="1151" w:type="dxa"/>
            <w:tcBorders>
              <w:top w:val="nil"/>
              <w:left w:val="nil"/>
              <w:bottom w:val="single" w:sz="4" w:space="0" w:color="auto"/>
              <w:right w:val="single" w:sz="4" w:space="0" w:color="auto"/>
            </w:tcBorders>
            <w:shd w:val="clear" w:color="000000" w:fill="FFFFFF"/>
            <w:hideMark/>
          </w:tcPr>
          <w:p w14:paraId="0B11EFA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4A22F2A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27.11</w:t>
            </w:r>
          </w:p>
        </w:tc>
        <w:tc>
          <w:tcPr>
            <w:tcW w:w="1276" w:type="dxa"/>
            <w:tcBorders>
              <w:top w:val="nil"/>
              <w:left w:val="nil"/>
              <w:bottom w:val="single" w:sz="4" w:space="0" w:color="000000"/>
              <w:right w:val="single" w:sz="4" w:space="0" w:color="000000"/>
            </w:tcBorders>
            <w:shd w:val="clear" w:color="auto" w:fill="auto"/>
            <w:noWrap/>
            <w:vAlign w:val="center"/>
            <w:hideMark/>
          </w:tcPr>
          <w:p w14:paraId="39C360C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1 139,0</w:t>
            </w:r>
          </w:p>
        </w:tc>
        <w:tc>
          <w:tcPr>
            <w:tcW w:w="1275" w:type="dxa"/>
            <w:tcBorders>
              <w:top w:val="nil"/>
              <w:left w:val="nil"/>
              <w:bottom w:val="single" w:sz="4" w:space="0" w:color="000000"/>
              <w:right w:val="single" w:sz="4" w:space="0" w:color="000000"/>
            </w:tcBorders>
            <w:shd w:val="clear" w:color="auto" w:fill="auto"/>
            <w:noWrap/>
            <w:vAlign w:val="center"/>
            <w:hideMark/>
          </w:tcPr>
          <w:p w14:paraId="1764C56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1 163,0</w:t>
            </w:r>
          </w:p>
        </w:tc>
        <w:tc>
          <w:tcPr>
            <w:tcW w:w="1275" w:type="dxa"/>
            <w:tcBorders>
              <w:top w:val="nil"/>
              <w:left w:val="nil"/>
              <w:bottom w:val="single" w:sz="4" w:space="0" w:color="000000"/>
              <w:right w:val="single" w:sz="4" w:space="0" w:color="000000"/>
            </w:tcBorders>
            <w:shd w:val="clear" w:color="auto" w:fill="auto"/>
            <w:noWrap/>
            <w:vAlign w:val="center"/>
            <w:hideMark/>
          </w:tcPr>
          <w:p w14:paraId="0FF4E3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1 171,0</w:t>
            </w:r>
          </w:p>
        </w:tc>
        <w:tc>
          <w:tcPr>
            <w:tcW w:w="1277" w:type="dxa"/>
            <w:tcBorders>
              <w:top w:val="nil"/>
              <w:left w:val="nil"/>
              <w:bottom w:val="single" w:sz="4" w:space="0" w:color="000000"/>
              <w:right w:val="single" w:sz="4" w:space="0" w:color="000000"/>
            </w:tcBorders>
            <w:shd w:val="clear" w:color="auto" w:fill="auto"/>
            <w:noWrap/>
            <w:vAlign w:val="center"/>
            <w:hideMark/>
          </w:tcPr>
          <w:p w14:paraId="40BDB20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1 179,0</w:t>
            </w:r>
          </w:p>
        </w:tc>
        <w:tc>
          <w:tcPr>
            <w:tcW w:w="1276" w:type="dxa"/>
            <w:tcBorders>
              <w:top w:val="nil"/>
              <w:left w:val="nil"/>
              <w:bottom w:val="single" w:sz="4" w:space="0" w:color="000000"/>
              <w:right w:val="single" w:sz="4" w:space="0" w:color="000000"/>
            </w:tcBorders>
            <w:shd w:val="clear" w:color="auto" w:fill="auto"/>
            <w:noWrap/>
            <w:vAlign w:val="center"/>
            <w:hideMark/>
          </w:tcPr>
          <w:p w14:paraId="4863E32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1 186,0</w:t>
            </w:r>
          </w:p>
        </w:tc>
        <w:tc>
          <w:tcPr>
            <w:tcW w:w="1275" w:type="dxa"/>
            <w:tcBorders>
              <w:top w:val="nil"/>
              <w:left w:val="nil"/>
              <w:bottom w:val="single" w:sz="4" w:space="0" w:color="000000"/>
              <w:right w:val="single" w:sz="4" w:space="0" w:color="000000"/>
            </w:tcBorders>
            <w:shd w:val="clear" w:color="auto" w:fill="auto"/>
            <w:noWrap/>
            <w:vAlign w:val="center"/>
            <w:hideMark/>
          </w:tcPr>
          <w:p w14:paraId="3B0F225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1 191,0</w:t>
            </w:r>
          </w:p>
        </w:tc>
      </w:tr>
      <w:tr w:rsidR="00996507" w:rsidRPr="00996507" w14:paraId="566833D6"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5E17CD9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2363B7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многоквартирных домов, в которых собственники помещений выбрали и реализуют способ управления многоквартирными домами</w:t>
            </w:r>
          </w:p>
        </w:tc>
        <w:tc>
          <w:tcPr>
            <w:tcW w:w="1151" w:type="dxa"/>
            <w:tcBorders>
              <w:top w:val="nil"/>
              <w:left w:val="nil"/>
              <w:bottom w:val="single" w:sz="4" w:space="0" w:color="auto"/>
              <w:right w:val="single" w:sz="4" w:space="0" w:color="auto"/>
            </w:tcBorders>
            <w:shd w:val="clear" w:color="000000" w:fill="FFFFFF"/>
            <w:hideMark/>
          </w:tcPr>
          <w:p w14:paraId="0593635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02572C7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27.12</w:t>
            </w:r>
          </w:p>
        </w:tc>
        <w:tc>
          <w:tcPr>
            <w:tcW w:w="1276" w:type="dxa"/>
            <w:tcBorders>
              <w:top w:val="nil"/>
              <w:left w:val="nil"/>
              <w:bottom w:val="single" w:sz="4" w:space="0" w:color="000000"/>
              <w:right w:val="single" w:sz="4" w:space="0" w:color="000000"/>
            </w:tcBorders>
            <w:shd w:val="clear" w:color="auto" w:fill="auto"/>
            <w:noWrap/>
            <w:vAlign w:val="center"/>
            <w:hideMark/>
          </w:tcPr>
          <w:p w14:paraId="6552AB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1 139,0</w:t>
            </w:r>
          </w:p>
        </w:tc>
        <w:tc>
          <w:tcPr>
            <w:tcW w:w="1275" w:type="dxa"/>
            <w:tcBorders>
              <w:top w:val="nil"/>
              <w:left w:val="nil"/>
              <w:bottom w:val="single" w:sz="4" w:space="0" w:color="000000"/>
              <w:right w:val="single" w:sz="4" w:space="0" w:color="000000"/>
            </w:tcBorders>
            <w:shd w:val="clear" w:color="auto" w:fill="auto"/>
            <w:noWrap/>
            <w:vAlign w:val="center"/>
            <w:hideMark/>
          </w:tcPr>
          <w:p w14:paraId="2F8928A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1 163,0</w:t>
            </w:r>
          </w:p>
        </w:tc>
        <w:tc>
          <w:tcPr>
            <w:tcW w:w="1275" w:type="dxa"/>
            <w:tcBorders>
              <w:top w:val="nil"/>
              <w:left w:val="nil"/>
              <w:bottom w:val="single" w:sz="4" w:space="0" w:color="000000"/>
              <w:right w:val="single" w:sz="4" w:space="0" w:color="000000"/>
            </w:tcBorders>
            <w:shd w:val="clear" w:color="auto" w:fill="auto"/>
            <w:noWrap/>
            <w:vAlign w:val="center"/>
            <w:hideMark/>
          </w:tcPr>
          <w:p w14:paraId="3BE9B4D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1 171,0</w:t>
            </w:r>
          </w:p>
        </w:tc>
        <w:tc>
          <w:tcPr>
            <w:tcW w:w="1277" w:type="dxa"/>
            <w:tcBorders>
              <w:top w:val="nil"/>
              <w:left w:val="nil"/>
              <w:bottom w:val="single" w:sz="4" w:space="0" w:color="000000"/>
              <w:right w:val="single" w:sz="4" w:space="0" w:color="000000"/>
            </w:tcBorders>
            <w:shd w:val="clear" w:color="auto" w:fill="auto"/>
            <w:noWrap/>
            <w:vAlign w:val="center"/>
            <w:hideMark/>
          </w:tcPr>
          <w:p w14:paraId="0FCC311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1 179,0</w:t>
            </w:r>
          </w:p>
        </w:tc>
        <w:tc>
          <w:tcPr>
            <w:tcW w:w="1276" w:type="dxa"/>
            <w:tcBorders>
              <w:top w:val="nil"/>
              <w:left w:val="nil"/>
              <w:bottom w:val="single" w:sz="4" w:space="0" w:color="000000"/>
              <w:right w:val="single" w:sz="4" w:space="0" w:color="000000"/>
            </w:tcBorders>
            <w:shd w:val="clear" w:color="auto" w:fill="auto"/>
            <w:noWrap/>
            <w:vAlign w:val="center"/>
            <w:hideMark/>
          </w:tcPr>
          <w:p w14:paraId="278513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1 186,0</w:t>
            </w:r>
          </w:p>
        </w:tc>
        <w:tc>
          <w:tcPr>
            <w:tcW w:w="1275" w:type="dxa"/>
            <w:tcBorders>
              <w:top w:val="nil"/>
              <w:left w:val="nil"/>
              <w:bottom w:val="single" w:sz="4" w:space="0" w:color="000000"/>
              <w:right w:val="single" w:sz="4" w:space="0" w:color="000000"/>
            </w:tcBorders>
            <w:shd w:val="clear" w:color="auto" w:fill="auto"/>
            <w:noWrap/>
            <w:vAlign w:val="center"/>
            <w:hideMark/>
          </w:tcPr>
          <w:p w14:paraId="374B14C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1 191,0</w:t>
            </w:r>
          </w:p>
        </w:tc>
      </w:tr>
      <w:tr w:rsidR="00996507" w:rsidRPr="00996507" w14:paraId="6B2A1CF7" w14:textId="77777777" w:rsidTr="00996507">
        <w:trPr>
          <w:trHeight w:val="3728"/>
        </w:trPr>
        <w:tc>
          <w:tcPr>
            <w:tcW w:w="1701" w:type="dxa"/>
            <w:vMerge/>
            <w:tcBorders>
              <w:top w:val="nil"/>
              <w:left w:val="single" w:sz="4" w:space="0" w:color="auto"/>
              <w:bottom w:val="single" w:sz="4" w:space="0" w:color="auto"/>
              <w:right w:val="single" w:sz="4" w:space="0" w:color="auto"/>
            </w:tcBorders>
            <w:vAlign w:val="center"/>
            <w:hideMark/>
          </w:tcPr>
          <w:p w14:paraId="76997F0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9AABA5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25BB2EB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8FBE23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28</w:t>
            </w:r>
          </w:p>
        </w:tc>
        <w:tc>
          <w:tcPr>
            <w:tcW w:w="1276" w:type="dxa"/>
            <w:tcBorders>
              <w:top w:val="nil"/>
              <w:left w:val="nil"/>
              <w:bottom w:val="single" w:sz="4" w:space="0" w:color="000000"/>
              <w:right w:val="single" w:sz="4" w:space="0" w:color="000000"/>
            </w:tcBorders>
            <w:shd w:val="clear" w:color="000000" w:fill="C0C0C0"/>
            <w:noWrap/>
            <w:vAlign w:val="center"/>
            <w:hideMark/>
          </w:tcPr>
          <w:p w14:paraId="1223547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44,4</w:t>
            </w:r>
          </w:p>
        </w:tc>
        <w:tc>
          <w:tcPr>
            <w:tcW w:w="1275" w:type="dxa"/>
            <w:tcBorders>
              <w:top w:val="nil"/>
              <w:left w:val="nil"/>
              <w:bottom w:val="single" w:sz="4" w:space="0" w:color="000000"/>
              <w:right w:val="single" w:sz="4" w:space="0" w:color="000000"/>
            </w:tcBorders>
            <w:shd w:val="clear" w:color="000000" w:fill="C0C0C0"/>
            <w:noWrap/>
            <w:vAlign w:val="center"/>
            <w:hideMark/>
          </w:tcPr>
          <w:p w14:paraId="706C414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66,7</w:t>
            </w:r>
          </w:p>
        </w:tc>
        <w:tc>
          <w:tcPr>
            <w:tcW w:w="1275" w:type="dxa"/>
            <w:tcBorders>
              <w:top w:val="nil"/>
              <w:left w:val="nil"/>
              <w:bottom w:val="single" w:sz="4" w:space="0" w:color="000000"/>
              <w:right w:val="single" w:sz="4" w:space="0" w:color="000000"/>
            </w:tcBorders>
            <w:shd w:val="clear" w:color="000000" w:fill="C0C0C0"/>
            <w:noWrap/>
            <w:vAlign w:val="center"/>
            <w:hideMark/>
          </w:tcPr>
          <w:p w14:paraId="041232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66,7</w:t>
            </w:r>
          </w:p>
        </w:tc>
        <w:tc>
          <w:tcPr>
            <w:tcW w:w="1277" w:type="dxa"/>
            <w:tcBorders>
              <w:top w:val="nil"/>
              <w:left w:val="nil"/>
              <w:bottom w:val="single" w:sz="4" w:space="0" w:color="000000"/>
              <w:right w:val="single" w:sz="4" w:space="0" w:color="000000"/>
            </w:tcBorders>
            <w:shd w:val="clear" w:color="000000" w:fill="C0C0C0"/>
            <w:noWrap/>
            <w:vAlign w:val="center"/>
            <w:hideMark/>
          </w:tcPr>
          <w:p w14:paraId="492D87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66,7</w:t>
            </w:r>
          </w:p>
        </w:tc>
        <w:tc>
          <w:tcPr>
            <w:tcW w:w="1276" w:type="dxa"/>
            <w:tcBorders>
              <w:top w:val="nil"/>
              <w:left w:val="nil"/>
              <w:bottom w:val="single" w:sz="4" w:space="0" w:color="000000"/>
              <w:right w:val="single" w:sz="4" w:space="0" w:color="000000"/>
            </w:tcBorders>
            <w:shd w:val="clear" w:color="000000" w:fill="C0C0C0"/>
            <w:noWrap/>
            <w:vAlign w:val="center"/>
            <w:hideMark/>
          </w:tcPr>
          <w:p w14:paraId="72A9D1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66,7</w:t>
            </w:r>
          </w:p>
        </w:tc>
        <w:tc>
          <w:tcPr>
            <w:tcW w:w="1275" w:type="dxa"/>
            <w:tcBorders>
              <w:top w:val="nil"/>
              <w:left w:val="nil"/>
              <w:bottom w:val="single" w:sz="4" w:space="0" w:color="000000"/>
              <w:right w:val="single" w:sz="4" w:space="0" w:color="000000"/>
            </w:tcBorders>
            <w:shd w:val="clear" w:color="000000" w:fill="C0C0C0"/>
            <w:noWrap/>
            <w:vAlign w:val="center"/>
            <w:hideMark/>
          </w:tcPr>
          <w:p w14:paraId="77D6168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66,7</w:t>
            </w:r>
          </w:p>
        </w:tc>
      </w:tr>
      <w:tr w:rsidR="00996507" w:rsidRPr="00996507" w14:paraId="658F5638" w14:textId="77777777" w:rsidTr="00996507">
        <w:trPr>
          <w:trHeight w:val="2295"/>
        </w:trPr>
        <w:tc>
          <w:tcPr>
            <w:tcW w:w="1701" w:type="dxa"/>
            <w:vMerge/>
            <w:tcBorders>
              <w:top w:val="nil"/>
              <w:left w:val="single" w:sz="4" w:space="0" w:color="auto"/>
              <w:bottom w:val="single" w:sz="4" w:space="0" w:color="auto"/>
              <w:right w:val="single" w:sz="4" w:space="0" w:color="auto"/>
            </w:tcBorders>
            <w:vAlign w:val="center"/>
            <w:hideMark/>
          </w:tcPr>
          <w:p w14:paraId="49A6224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57E8D1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организаций коммунального комплекса, осуществляющих оказание коммунальных услуг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p>
        </w:tc>
        <w:tc>
          <w:tcPr>
            <w:tcW w:w="1151" w:type="dxa"/>
            <w:tcBorders>
              <w:top w:val="nil"/>
              <w:left w:val="nil"/>
              <w:bottom w:val="single" w:sz="4" w:space="0" w:color="auto"/>
              <w:right w:val="single" w:sz="4" w:space="0" w:color="auto"/>
            </w:tcBorders>
            <w:shd w:val="clear" w:color="000000" w:fill="FFFFFF"/>
            <w:hideMark/>
          </w:tcPr>
          <w:p w14:paraId="62F83A4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7E1484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28.1</w:t>
            </w:r>
          </w:p>
        </w:tc>
        <w:tc>
          <w:tcPr>
            <w:tcW w:w="1276" w:type="dxa"/>
            <w:tcBorders>
              <w:top w:val="nil"/>
              <w:left w:val="nil"/>
              <w:bottom w:val="single" w:sz="4" w:space="0" w:color="000000"/>
              <w:right w:val="single" w:sz="4" w:space="0" w:color="000000"/>
            </w:tcBorders>
            <w:shd w:val="clear" w:color="auto" w:fill="auto"/>
            <w:noWrap/>
            <w:vAlign w:val="center"/>
            <w:hideMark/>
          </w:tcPr>
          <w:p w14:paraId="489DCC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4,0</w:t>
            </w:r>
          </w:p>
        </w:tc>
        <w:tc>
          <w:tcPr>
            <w:tcW w:w="1275" w:type="dxa"/>
            <w:tcBorders>
              <w:top w:val="nil"/>
              <w:left w:val="nil"/>
              <w:bottom w:val="single" w:sz="4" w:space="0" w:color="000000"/>
              <w:right w:val="single" w:sz="4" w:space="0" w:color="000000"/>
            </w:tcBorders>
            <w:shd w:val="clear" w:color="auto" w:fill="auto"/>
            <w:noWrap/>
            <w:vAlign w:val="center"/>
            <w:hideMark/>
          </w:tcPr>
          <w:p w14:paraId="68C91FA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w:t>
            </w:r>
          </w:p>
        </w:tc>
        <w:tc>
          <w:tcPr>
            <w:tcW w:w="1275" w:type="dxa"/>
            <w:tcBorders>
              <w:top w:val="nil"/>
              <w:left w:val="nil"/>
              <w:bottom w:val="single" w:sz="4" w:space="0" w:color="000000"/>
              <w:right w:val="single" w:sz="4" w:space="0" w:color="000000"/>
            </w:tcBorders>
            <w:shd w:val="clear" w:color="auto" w:fill="auto"/>
            <w:noWrap/>
            <w:vAlign w:val="center"/>
            <w:hideMark/>
          </w:tcPr>
          <w:p w14:paraId="06D08D6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w:t>
            </w:r>
          </w:p>
        </w:tc>
        <w:tc>
          <w:tcPr>
            <w:tcW w:w="1277" w:type="dxa"/>
            <w:tcBorders>
              <w:top w:val="nil"/>
              <w:left w:val="nil"/>
              <w:bottom w:val="single" w:sz="4" w:space="0" w:color="000000"/>
              <w:right w:val="single" w:sz="4" w:space="0" w:color="000000"/>
            </w:tcBorders>
            <w:shd w:val="clear" w:color="auto" w:fill="auto"/>
            <w:noWrap/>
            <w:vAlign w:val="center"/>
            <w:hideMark/>
          </w:tcPr>
          <w:p w14:paraId="09CCAD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w:t>
            </w:r>
          </w:p>
        </w:tc>
        <w:tc>
          <w:tcPr>
            <w:tcW w:w="1276" w:type="dxa"/>
            <w:tcBorders>
              <w:top w:val="nil"/>
              <w:left w:val="nil"/>
              <w:bottom w:val="single" w:sz="4" w:space="0" w:color="000000"/>
              <w:right w:val="single" w:sz="4" w:space="0" w:color="000000"/>
            </w:tcBorders>
            <w:shd w:val="clear" w:color="auto" w:fill="auto"/>
            <w:noWrap/>
            <w:vAlign w:val="center"/>
            <w:hideMark/>
          </w:tcPr>
          <w:p w14:paraId="0C1BDF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w:t>
            </w:r>
          </w:p>
        </w:tc>
        <w:tc>
          <w:tcPr>
            <w:tcW w:w="1275" w:type="dxa"/>
            <w:tcBorders>
              <w:top w:val="nil"/>
              <w:left w:val="nil"/>
              <w:bottom w:val="single" w:sz="4" w:space="0" w:color="000000"/>
              <w:right w:val="single" w:sz="4" w:space="0" w:color="000000"/>
            </w:tcBorders>
            <w:shd w:val="clear" w:color="auto" w:fill="auto"/>
            <w:noWrap/>
            <w:vAlign w:val="center"/>
            <w:hideMark/>
          </w:tcPr>
          <w:p w14:paraId="24582BA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w:t>
            </w:r>
          </w:p>
        </w:tc>
      </w:tr>
      <w:tr w:rsidR="00996507" w:rsidRPr="00996507" w14:paraId="6F371853"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46EB972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712BA3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число организаций коммунального комплекса</w:t>
            </w:r>
          </w:p>
        </w:tc>
        <w:tc>
          <w:tcPr>
            <w:tcW w:w="1151" w:type="dxa"/>
            <w:tcBorders>
              <w:top w:val="nil"/>
              <w:left w:val="nil"/>
              <w:bottom w:val="single" w:sz="4" w:space="0" w:color="auto"/>
              <w:right w:val="single" w:sz="4" w:space="0" w:color="auto"/>
            </w:tcBorders>
            <w:shd w:val="clear" w:color="000000" w:fill="FFFFFF"/>
            <w:hideMark/>
          </w:tcPr>
          <w:p w14:paraId="047DA96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3D9298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28.2</w:t>
            </w:r>
          </w:p>
        </w:tc>
        <w:tc>
          <w:tcPr>
            <w:tcW w:w="1276" w:type="dxa"/>
            <w:tcBorders>
              <w:top w:val="nil"/>
              <w:left w:val="nil"/>
              <w:bottom w:val="single" w:sz="4" w:space="0" w:color="000000"/>
              <w:right w:val="single" w:sz="4" w:space="0" w:color="000000"/>
            </w:tcBorders>
            <w:shd w:val="clear" w:color="auto" w:fill="auto"/>
            <w:noWrap/>
            <w:vAlign w:val="center"/>
            <w:hideMark/>
          </w:tcPr>
          <w:p w14:paraId="1D1A76E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c>
          <w:tcPr>
            <w:tcW w:w="1275" w:type="dxa"/>
            <w:tcBorders>
              <w:top w:val="nil"/>
              <w:left w:val="nil"/>
              <w:bottom w:val="single" w:sz="4" w:space="0" w:color="000000"/>
              <w:right w:val="single" w:sz="4" w:space="0" w:color="000000"/>
            </w:tcBorders>
            <w:shd w:val="clear" w:color="auto" w:fill="auto"/>
            <w:noWrap/>
            <w:vAlign w:val="center"/>
            <w:hideMark/>
          </w:tcPr>
          <w:p w14:paraId="1B5086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c>
          <w:tcPr>
            <w:tcW w:w="1275" w:type="dxa"/>
            <w:tcBorders>
              <w:top w:val="nil"/>
              <w:left w:val="nil"/>
              <w:bottom w:val="single" w:sz="4" w:space="0" w:color="000000"/>
              <w:right w:val="single" w:sz="4" w:space="0" w:color="000000"/>
            </w:tcBorders>
            <w:shd w:val="clear" w:color="auto" w:fill="auto"/>
            <w:noWrap/>
            <w:vAlign w:val="center"/>
            <w:hideMark/>
          </w:tcPr>
          <w:p w14:paraId="7B51907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c>
          <w:tcPr>
            <w:tcW w:w="1277" w:type="dxa"/>
            <w:tcBorders>
              <w:top w:val="nil"/>
              <w:left w:val="nil"/>
              <w:bottom w:val="single" w:sz="4" w:space="0" w:color="000000"/>
              <w:right w:val="single" w:sz="4" w:space="0" w:color="000000"/>
            </w:tcBorders>
            <w:shd w:val="clear" w:color="auto" w:fill="auto"/>
            <w:noWrap/>
            <w:vAlign w:val="center"/>
            <w:hideMark/>
          </w:tcPr>
          <w:p w14:paraId="031F0A9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c>
          <w:tcPr>
            <w:tcW w:w="1276" w:type="dxa"/>
            <w:tcBorders>
              <w:top w:val="nil"/>
              <w:left w:val="nil"/>
              <w:bottom w:val="single" w:sz="4" w:space="0" w:color="000000"/>
              <w:right w:val="single" w:sz="4" w:space="0" w:color="000000"/>
            </w:tcBorders>
            <w:shd w:val="clear" w:color="auto" w:fill="auto"/>
            <w:noWrap/>
            <w:vAlign w:val="center"/>
            <w:hideMark/>
          </w:tcPr>
          <w:p w14:paraId="58E5AD3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c>
          <w:tcPr>
            <w:tcW w:w="1275" w:type="dxa"/>
            <w:tcBorders>
              <w:top w:val="nil"/>
              <w:left w:val="nil"/>
              <w:bottom w:val="single" w:sz="4" w:space="0" w:color="000000"/>
              <w:right w:val="single" w:sz="4" w:space="0" w:color="000000"/>
            </w:tcBorders>
            <w:shd w:val="clear" w:color="auto" w:fill="auto"/>
            <w:noWrap/>
            <w:vAlign w:val="center"/>
            <w:hideMark/>
          </w:tcPr>
          <w:p w14:paraId="7E326A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w:t>
            </w:r>
          </w:p>
        </w:tc>
      </w:tr>
      <w:tr w:rsidR="00996507" w:rsidRPr="00996507" w14:paraId="66B74191"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2FAD25A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08A817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151" w:type="dxa"/>
            <w:tcBorders>
              <w:top w:val="nil"/>
              <w:left w:val="nil"/>
              <w:bottom w:val="single" w:sz="4" w:space="0" w:color="auto"/>
              <w:right w:val="single" w:sz="4" w:space="0" w:color="auto"/>
            </w:tcBorders>
            <w:shd w:val="clear" w:color="000000" w:fill="FFFFFF"/>
            <w:hideMark/>
          </w:tcPr>
          <w:p w14:paraId="7C95672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0AA23FF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29</w:t>
            </w:r>
          </w:p>
        </w:tc>
        <w:tc>
          <w:tcPr>
            <w:tcW w:w="1276" w:type="dxa"/>
            <w:tcBorders>
              <w:top w:val="nil"/>
              <w:left w:val="nil"/>
              <w:bottom w:val="single" w:sz="4" w:space="0" w:color="000000"/>
              <w:right w:val="single" w:sz="4" w:space="0" w:color="000000"/>
            </w:tcBorders>
            <w:shd w:val="clear" w:color="000000" w:fill="C0C0C0"/>
            <w:noWrap/>
            <w:vAlign w:val="center"/>
            <w:hideMark/>
          </w:tcPr>
          <w:p w14:paraId="0D7CE4F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0B6973D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78E905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7" w:type="dxa"/>
            <w:tcBorders>
              <w:top w:val="nil"/>
              <w:left w:val="nil"/>
              <w:bottom w:val="single" w:sz="4" w:space="0" w:color="000000"/>
              <w:right w:val="single" w:sz="4" w:space="0" w:color="000000"/>
            </w:tcBorders>
            <w:shd w:val="clear" w:color="000000" w:fill="C0C0C0"/>
            <w:noWrap/>
            <w:vAlign w:val="center"/>
            <w:hideMark/>
          </w:tcPr>
          <w:p w14:paraId="634550F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6" w:type="dxa"/>
            <w:tcBorders>
              <w:top w:val="nil"/>
              <w:left w:val="nil"/>
              <w:bottom w:val="single" w:sz="4" w:space="0" w:color="000000"/>
              <w:right w:val="single" w:sz="4" w:space="0" w:color="000000"/>
            </w:tcBorders>
            <w:shd w:val="clear" w:color="000000" w:fill="C0C0C0"/>
            <w:noWrap/>
            <w:vAlign w:val="center"/>
            <w:hideMark/>
          </w:tcPr>
          <w:p w14:paraId="754121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EA478B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w:t>
            </w:r>
          </w:p>
        </w:tc>
      </w:tr>
      <w:tr w:rsidR="00996507" w:rsidRPr="00996507" w14:paraId="4C53D15E"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1F5B500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D1951F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Число многоквартирных домов, расположенных на земельных участках, в отношении которых осуществлен государственный кадастровый учет</w:t>
            </w:r>
          </w:p>
        </w:tc>
        <w:tc>
          <w:tcPr>
            <w:tcW w:w="1151" w:type="dxa"/>
            <w:tcBorders>
              <w:top w:val="nil"/>
              <w:left w:val="nil"/>
              <w:bottom w:val="single" w:sz="4" w:space="0" w:color="auto"/>
              <w:right w:val="single" w:sz="4" w:space="0" w:color="auto"/>
            </w:tcBorders>
            <w:shd w:val="clear" w:color="000000" w:fill="FFFFFF"/>
            <w:hideMark/>
          </w:tcPr>
          <w:p w14:paraId="1F6B3B0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6FC3D5B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29.1</w:t>
            </w:r>
          </w:p>
        </w:tc>
        <w:tc>
          <w:tcPr>
            <w:tcW w:w="1276" w:type="dxa"/>
            <w:tcBorders>
              <w:top w:val="nil"/>
              <w:left w:val="nil"/>
              <w:bottom w:val="single" w:sz="4" w:space="0" w:color="000000"/>
              <w:right w:val="single" w:sz="4" w:space="0" w:color="000000"/>
            </w:tcBorders>
            <w:shd w:val="clear" w:color="auto" w:fill="auto"/>
            <w:noWrap/>
            <w:vAlign w:val="center"/>
            <w:hideMark/>
          </w:tcPr>
          <w:p w14:paraId="46EA3E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1 141,0</w:t>
            </w:r>
          </w:p>
        </w:tc>
        <w:tc>
          <w:tcPr>
            <w:tcW w:w="1275" w:type="dxa"/>
            <w:tcBorders>
              <w:top w:val="nil"/>
              <w:left w:val="nil"/>
              <w:bottom w:val="single" w:sz="4" w:space="0" w:color="000000"/>
              <w:right w:val="single" w:sz="4" w:space="0" w:color="000000"/>
            </w:tcBorders>
            <w:shd w:val="clear" w:color="auto" w:fill="auto"/>
            <w:noWrap/>
            <w:vAlign w:val="center"/>
            <w:hideMark/>
          </w:tcPr>
          <w:p w14:paraId="23721B2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1 163,0</w:t>
            </w:r>
          </w:p>
        </w:tc>
        <w:tc>
          <w:tcPr>
            <w:tcW w:w="1275" w:type="dxa"/>
            <w:tcBorders>
              <w:top w:val="nil"/>
              <w:left w:val="nil"/>
              <w:bottom w:val="single" w:sz="4" w:space="0" w:color="000000"/>
              <w:right w:val="single" w:sz="4" w:space="0" w:color="000000"/>
            </w:tcBorders>
            <w:shd w:val="clear" w:color="auto" w:fill="auto"/>
            <w:noWrap/>
            <w:vAlign w:val="center"/>
            <w:hideMark/>
          </w:tcPr>
          <w:p w14:paraId="6B879CF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1 171,0</w:t>
            </w:r>
          </w:p>
        </w:tc>
        <w:tc>
          <w:tcPr>
            <w:tcW w:w="1277" w:type="dxa"/>
            <w:tcBorders>
              <w:top w:val="nil"/>
              <w:left w:val="nil"/>
              <w:bottom w:val="single" w:sz="4" w:space="0" w:color="000000"/>
              <w:right w:val="single" w:sz="4" w:space="0" w:color="000000"/>
            </w:tcBorders>
            <w:shd w:val="clear" w:color="auto" w:fill="auto"/>
            <w:noWrap/>
            <w:vAlign w:val="center"/>
            <w:hideMark/>
          </w:tcPr>
          <w:p w14:paraId="4C9EE4F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1 179,0</w:t>
            </w:r>
          </w:p>
        </w:tc>
        <w:tc>
          <w:tcPr>
            <w:tcW w:w="1276" w:type="dxa"/>
            <w:tcBorders>
              <w:top w:val="nil"/>
              <w:left w:val="nil"/>
              <w:bottom w:val="single" w:sz="4" w:space="0" w:color="000000"/>
              <w:right w:val="single" w:sz="4" w:space="0" w:color="000000"/>
            </w:tcBorders>
            <w:shd w:val="clear" w:color="auto" w:fill="auto"/>
            <w:noWrap/>
            <w:vAlign w:val="center"/>
            <w:hideMark/>
          </w:tcPr>
          <w:p w14:paraId="06C1A0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1 186,0</w:t>
            </w:r>
          </w:p>
        </w:tc>
        <w:tc>
          <w:tcPr>
            <w:tcW w:w="1275" w:type="dxa"/>
            <w:tcBorders>
              <w:top w:val="nil"/>
              <w:left w:val="nil"/>
              <w:bottom w:val="single" w:sz="4" w:space="0" w:color="000000"/>
              <w:right w:val="single" w:sz="4" w:space="0" w:color="000000"/>
            </w:tcBorders>
            <w:shd w:val="clear" w:color="auto" w:fill="auto"/>
            <w:noWrap/>
            <w:vAlign w:val="center"/>
            <w:hideMark/>
          </w:tcPr>
          <w:p w14:paraId="4D2CD77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1 191,0</w:t>
            </w:r>
          </w:p>
        </w:tc>
      </w:tr>
      <w:tr w:rsidR="00996507" w:rsidRPr="00996507" w14:paraId="65B0F2D5" w14:textId="77777777" w:rsidTr="00996507">
        <w:trPr>
          <w:trHeight w:val="300"/>
        </w:trPr>
        <w:tc>
          <w:tcPr>
            <w:tcW w:w="1701" w:type="dxa"/>
            <w:vMerge/>
            <w:tcBorders>
              <w:top w:val="nil"/>
              <w:left w:val="single" w:sz="4" w:space="0" w:color="auto"/>
              <w:bottom w:val="single" w:sz="4" w:space="0" w:color="auto"/>
              <w:right w:val="single" w:sz="4" w:space="0" w:color="auto"/>
            </w:tcBorders>
            <w:vAlign w:val="center"/>
            <w:hideMark/>
          </w:tcPr>
          <w:p w14:paraId="4693DFC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1FC02C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Общее количество многоквартирных домов</w:t>
            </w:r>
          </w:p>
        </w:tc>
        <w:tc>
          <w:tcPr>
            <w:tcW w:w="1151" w:type="dxa"/>
            <w:tcBorders>
              <w:top w:val="nil"/>
              <w:left w:val="nil"/>
              <w:bottom w:val="single" w:sz="4" w:space="0" w:color="auto"/>
              <w:right w:val="single" w:sz="4" w:space="0" w:color="auto"/>
            </w:tcBorders>
            <w:shd w:val="clear" w:color="000000" w:fill="FFFFFF"/>
            <w:hideMark/>
          </w:tcPr>
          <w:p w14:paraId="2C04267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Единица</w:t>
            </w:r>
          </w:p>
        </w:tc>
        <w:tc>
          <w:tcPr>
            <w:tcW w:w="992" w:type="dxa"/>
            <w:tcBorders>
              <w:top w:val="nil"/>
              <w:left w:val="nil"/>
              <w:bottom w:val="single" w:sz="4" w:space="0" w:color="auto"/>
              <w:right w:val="single" w:sz="4" w:space="0" w:color="auto"/>
            </w:tcBorders>
            <w:shd w:val="clear" w:color="000000" w:fill="FFFFFF"/>
            <w:hideMark/>
          </w:tcPr>
          <w:p w14:paraId="3644CC0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29.2</w:t>
            </w:r>
          </w:p>
        </w:tc>
        <w:tc>
          <w:tcPr>
            <w:tcW w:w="1276" w:type="dxa"/>
            <w:tcBorders>
              <w:top w:val="nil"/>
              <w:left w:val="nil"/>
              <w:bottom w:val="single" w:sz="4" w:space="0" w:color="000000"/>
              <w:right w:val="single" w:sz="4" w:space="0" w:color="000000"/>
            </w:tcBorders>
            <w:shd w:val="clear" w:color="auto" w:fill="auto"/>
            <w:noWrap/>
            <w:vAlign w:val="center"/>
            <w:hideMark/>
          </w:tcPr>
          <w:p w14:paraId="0854A4E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1 141,0</w:t>
            </w:r>
          </w:p>
        </w:tc>
        <w:tc>
          <w:tcPr>
            <w:tcW w:w="1275" w:type="dxa"/>
            <w:tcBorders>
              <w:top w:val="nil"/>
              <w:left w:val="nil"/>
              <w:bottom w:val="single" w:sz="4" w:space="0" w:color="000000"/>
              <w:right w:val="single" w:sz="4" w:space="0" w:color="000000"/>
            </w:tcBorders>
            <w:shd w:val="clear" w:color="auto" w:fill="auto"/>
            <w:noWrap/>
            <w:vAlign w:val="center"/>
            <w:hideMark/>
          </w:tcPr>
          <w:p w14:paraId="324702C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1 163,0</w:t>
            </w:r>
          </w:p>
        </w:tc>
        <w:tc>
          <w:tcPr>
            <w:tcW w:w="1275" w:type="dxa"/>
            <w:tcBorders>
              <w:top w:val="nil"/>
              <w:left w:val="nil"/>
              <w:bottom w:val="single" w:sz="4" w:space="0" w:color="000000"/>
              <w:right w:val="single" w:sz="4" w:space="0" w:color="000000"/>
            </w:tcBorders>
            <w:shd w:val="clear" w:color="auto" w:fill="auto"/>
            <w:noWrap/>
            <w:vAlign w:val="center"/>
            <w:hideMark/>
          </w:tcPr>
          <w:p w14:paraId="6941F2A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1 171,0</w:t>
            </w:r>
          </w:p>
        </w:tc>
        <w:tc>
          <w:tcPr>
            <w:tcW w:w="1277" w:type="dxa"/>
            <w:tcBorders>
              <w:top w:val="nil"/>
              <w:left w:val="nil"/>
              <w:bottom w:val="single" w:sz="4" w:space="0" w:color="000000"/>
              <w:right w:val="single" w:sz="4" w:space="0" w:color="000000"/>
            </w:tcBorders>
            <w:shd w:val="clear" w:color="auto" w:fill="auto"/>
            <w:noWrap/>
            <w:vAlign w:val="center"/>
            <w:hideMark/>
          </w:tcPr>
          <w:p w14:paraId="22075F5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1 179,0</w:t>
            </w:r>
          </w:p>
        </w:tc>
        <w:tc>
          <w:tcPr>
            <w:tcW w:w="1276" w:type="dxa"/>
            <w:tcBorders>
              <w:top w:val="nil"/>
              <w:left w:val="nil"/>
              <w:bottom w:val="single" w:sz="4" w:space="0" w:color="000000"/>
              <w:right w:val="single" w:sz="4" w:space="0" w:color="000000"/>
            </w:tcBorders>
            <w:shd w:val="clear" w:color="auto" w:fill="auto"/>
            <w:noWrap/>
            <w:vAlign w:val="center"/>
            <w:hideMark/>
          </w:tcPr>
          <w:p w14:paraId="0FE06E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1 186,0</w:t>
            </w:r>
          </w:p>
        </w:tc>
        <w:tc>
          <w:tcPr>
            <w:tcW w:w="1275" w:type="dxa"/>
            <w:tcBorders>
              <w:top w:val="nil"/>
              <w:left w:val="nil"/>
              <w:bottom w:val="single" w:sz="4" w:space="0" w:color="000000"/>
              <w:right w:val="single" w:sz="4" w:space="0" w:color="000000"/>
            </w:tcBorders>
            <w:shd w:val="clear" w:color="auto" w:fill="auto"/>
            <w:noWrap/>
            <w:vAlign w:val="center"/>
            <w:hideMark/>
          </w:tcPr>
          <w:p w14:paraId="2FEB01C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1 191,0</w:t>
            </w:r>
          </w:p>
        </w:tc>
      </w:tr>
      <w:tr w:rsidR="00996507" w:rsidRPr="00996507" w14:paraId="172907D4" w14:textId="77777777" w:rsidTr="00996507">
        <w:trPr>
          <w:trHeight w:val="1275"/>
        </w:trPr>
        <w:tc>
          <w:tcPr>
            <w:tcW w:w="1701" w:type="dxa"/>
            <w:vMerge/>
            <w:tcBorders>
              <w:top w:val="nil"/>
              <w:left w:val="single" w:sz="4" w:space="0" w:color="auto"/>
              <w:bottom w:val="single" w:sz="4" w:space="0" w:color="auto"/>
              <w:right w:val="single" w:sz="4" w:space="0" w:color="auto"/>
            </w:tcBorders>
            <w:vAlign w:val="center"/>
            <w:hideMark/>
          </w:tcPr>
          <w:p w14:paraId="5060BBA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A0BF38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51" w:type="dxa"/>
            <w:tcBorders>
              <w:top w:val="nil"/>
              <w:left w:val="nil"/>
              <w:bottom w:val="single" w:sz="4" w:space="0" w:color="auto"/>
              <w:right w:val="single" w:sz="4" w:space="0" w:color="auto"/>
            </w:tcBorders>
            <w:shd w:val="clear" w:color="000000" w:fill="FFFFFF"/>
            <w:hideMark/>
          </w:tcPr>
          <w:p w14:paraId="278B21B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F98695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000000"/>
              <w:right w:val="single" w:sz="4" w:space="0" w:color="000000"/>
            </w:tcBorders>
            <w:shd w:val="clear" w:color="auto" w:fill="auto"/>
            <w:noWrap/>
            <w:vAlign w:val="center"/>
            <w:hideMark/>
          </w:tcPr>
          <w:p w14:paraId="350E8AA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32,8</w:t>
            </w:r>
          </w:p>
        </w:tc>
        <w:tc>
          <w:tcPr>
            <w:tcW w:w="1275" w:type="dxa"/>
            <w:tcBorders>
              <w:top w:val="nil"/>
              <w:left w:val="nil"/>
              <w:bottom w:val="single" w:sz="4" w:space="0" w:color="000000"/>
              <w:right w:val="single" w:sz="4" w:space="0" w:color="000000"/>
            </w:tcBorders>
            <w:shd w:val="clear" w:color="auto" w:fill="auto"/>
            <w:noWrap/>
            <w:vAlign w:val="center"/>
            <w:hideMark/>
          </w:tcPr>
          <w:p w14:paraId="09EAAE5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33,9</w:t>
            </w:r>
          </w:p>
        </w:tc>
        <w:tc>
          <w:tcPr>
            <w:tcW w:w="1275" w:type="dxa"/>
            <w:tcBorders>
              <w:top w:val="nil"/>
              <w:left w:val="nil"/>
              <w:bottom w:val="single" w:sz="4" w:space="0" w:color="000000"/>
              <w:right w:val="single" w:sz="4" w:space="0" w:color="000000"/>
            </w:tcBorders>
            <w:shd w:val="clear" w:color="auto" w:fill="auto"/>
            <w:noWrap/>
            <w:vAlign w:val="center"/>
            <w:hideMark/>
          </w:tcPr>
          <w:p w14:paraId="0B2E3E5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57,1</w:t>
            </w:r>
          </w:p>
        </w:tc>
        <w:tc>
          <w:tcPr>
            <w:tcW w:w="1277" w:type="dxa"/>
            <w:tcBorders>
              <w:top w:val="nil"/>
              <w:left w:val="nil"/>
              <w:bottom w:val="single" w:sz="4" w:space="0" w:color="000000"/>
              <w:right w:val="single" w:sz="4" w:space="0" w:color="000000"/>
            </w:tcBorders>
            <w:shd w:val="clear" w:color="auto" w:fill="auto"/>
            <w:noWrap/>
            <w:vAlign w:val="center"/>
            <w:hideMark/>
          </w:tcPr>
          <w:p w14:paraId="081AF63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58,6</w:t>
            </w:r>
          </w:p>
        </w:tc>
        <w:tc>
          <w:tcPr>
            <w:tcW w:w="1276" w:type="dxa"/>
            <w:tcBorders>
              <w:top w:val="nil"/>
              <w:left w:val="nil"/>
              <w:bottom w:val="single" w:sz="4" w:space="0" w:color="000000"/>
              <w:right w:val="single" w:sz="4" w:space="0" w:color="000000"/>
            </w:tcBorders>
            <w:shd w:val="clear" w:color="auto" w:fill="auto"/>
            <w:noWrap/>
            <w:vAlign w:val="center"/>
            <w:hideMark/>
          </w:tcPr>
          <w:p w14:paraId="0D65391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60,1</w:t>
            </w:r>
          </w:p>
        </w:tc>
        <w:tc>
          <w:tcPr>
            <w:tcW w:w="1275" w:type="dxa"/>
            <w:tcBorders>
              <w:top w:val="nil"/>
              <w:left w:val="nil"/>
              <w:bottom w:val="single" w:sz="4" w:space="0" w:color="000000"/>
              <w:right w:val="single" w:sz="4" w:space="0" w:color="000000"/>
            </w:tcBorders>
            <w:shd w:val="clear" w:color="auto" w:fill="auto"/>
            <w:noWrap/>
            <w:vAlign w:val="center"/>
            <w:hideMark/>
          </w:tcPr>
          <w:p w14:paraId="7F4BB9E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61,6</w:t>
            </w:r>
          </w:p>
        </w:tc>
      </w:tr>
      <w:tr w:rsidR="00996507" w:rsidRPr="00996507" w14:paraId="2A51BFFC" w14:textId="77777777" w:rsidTr="00996507">
        <w:trPr>
          <w:trHeight w:val="1590"/>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1C1E093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Организация муниципального управления</w:t>
            </w:r>
          </w:p>
        </w:tc>
        <w:tc>
          <w:tcPr>
            <w:tcW w:w="4378" w:type="dxa"/>
            <w:tcBorders>
              <w:top w:val="nil"/>
              <w:left w:val="nil"/>
              <w:bottom w:val="single" w:sz="4" w:space="0" w:color="auto"/>
              <w:right w:val="single" w:sz="4" w:space="0" w:color="auto"/>
            </w:tcBorders>
            <w:shd w:val="clear" w:color="000000" w:fill="FFFFFF"/>
            <w:hideMark/>
          </w:tcPr>
          <w:p w14:paraId="4753409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51" w:type="dxa"/>
            <w:tcBorders>
              <w:top w:val="nil"/>
              <w:left w:val="nil"/>
              <w:bottom w:val="single" w:sz="4" w:space="0" w:color="auto"/>
              <w:right w:val="single" w:sz="4" w:space="0" w:color="auto"/>
            </w:tcBorders>
            <w:shd w:val="clear" w:color="000000" w:fill="FFFFFF"/>
            <w:hideMark/>
          </w:tcPr>
          <w:p w14:paraId="5FE2C07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18FF8C7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31</w:t>
            </w:r>
          </w:p>
        </w:tc>
        <w:tc>
          <w:tcPr>
            <w:tcW w:w="1276" w:type="dxa"/>
            <w:tcBorders>
              <w:top w:val="nil"/>
              <w:left w:val="nil"/>
              <w:bottom w:val="single" w:sz="4" w:space="0" w:color="000000"/>
              <w:right w:val="single" w:sz="4" w:space="0" w:color="000000"/>
            </w:tcBorders>
            <w:shd w:val="clear" w:color="000000" w:fill="C0C0C0"/>
            <w:noWrap/>
            <w:vAlign w:val="center"/>
            <w:hideMark/>
          </w:tcPr>
          <w:p w14:paraId="1EBCCA9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57,4</w:t>
            </w:r>
          </w:p>
        </w:tc>
        <w:tc>
          <w:tcPr>
            <w:tcW w:w="1275" w:type="dxa"/>
            <w:tcBorders>
              <w:top w:val="nil"/>
              <w:left w:val="nil"/>
              <w:bottom w:val="single" w:sz="4" w:space="0" w:color="000000"/>
              <w:right w:val="single" w:sz="4" w:space="0" w:color="000000"/>
            </w:tcBorders>
            <w:shd w:val="clear" w:color="000000" w:fill="C0C0C0"/>
            <w:noWrap/>
            <w:vAlign w:val="center"/>
            <w:hideMark/>
          </w:tcPr>
          <w:p w14:paraId="4BB5958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49,1</w:t>
            </w:r>
          </w:p>
        </w:tc>
        <w:tc>
          <w:tcPr>
            <w:tcW w:w="1275" w:type="dxa"/>
            <w:tcBorders>
              <w:top w:val="nil"/>
              <w:left w:val="nil"/>
              <w:bottom w:val="single" w:sz="4" w:space="0" w:color="000000"/>
              <w:right w:val="single" w:sz="4" w:space="0" w:color="000000"/>
            </w:tcBorders>
            <w:shd w:val="clear" w:color="000000" w:fill="C0C0C0"/>
            <w:noWrap/>
            <w:vAlign w:val="center"/>
            <w:hideMark/>
          </w:tcPr>
          <w:p w14:paraId="1036CB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44,7</w:t>
            </w:r>
          </w:p>
        </w:tc>
        <w:tc>
          <w:tcPr>
            <w:tcW w:w="1277" w:type="dxa"/>
            <w:tcBorders>
              <w:top w:val="nil"/>
              <w:left w:val="nil"/>
              <w:bottom w:val="single" w:sz="4" w:space="0" w:color="000000"/>
              <w:right w:val="single" w:sz="4" w:space="0" w:color="000000"/>
            </w:tcBorders>
            <w:shd w:val="clear" w:color="000000" w:fill="C0C0C0"/>
            <w:noWrap/>
            <w:vAlign w:val="center"/>
            <w:hideMark/>
          </w:tcPr>
          <w:p w14:paraId="2121AEE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61,0</w:t>
            </w:r>
          </w:p>
        </w:tc>
        <w:tc>
          <w:tcPr>
            <w:tcW w:w="1276" w:type="dxa"/>
            <w:tcBorders>
              <w:top w:val="nil"/>
              <w:left w:val="nil"/>
              <w:bottom w:val="single" w:sz="4" w:space="0" w:color="000000"/>
              <w:right w:val="single" w:sz="4" w:space="0" w:color="000000"/>
            </w:tcBorders>
            <w:shd w:val="clear" w:color="000000" w:fill="C0C0C0"/>
            <w:noWrap/>
            <w:vAlign w:val="center"/>
            <w:hideMark/>
          </w:tcPr>
          <w:p w14:paraId="243F7F4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62,0</w:t>
            </w:r>
          </w:p>
        </w:tc>
        <w:tc>
          <w:tcPr>
            <w:tcW w:w="1275" w:type="dxa"/>
            <w:tcBorders>
              <w:top w:val="nil"/>
              <w:left w:val="nil"/>
              <w:bottom w:val="single" w:sz="4" w:space="0" w:color="000000"/>
              <w:right w:val="single" w:sz="4" w:space="0" w:color="000000"/>
            </w:tcBorders>
            <w:shd w:val="clear" w:color="000000" w:fill="C0C0C0"/>
            <w:noWrap/>
            <w:vAlign w:val="center"/>
            <w:hideMark/>
          </w:tcPr>
          <w:p w14:paraId="33038D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62,1</w:t>
            </w:r>
          </w:p>
        </w:tc>
      </w:tr>
      <w:tr w:rsidR="00996507" w:rsidRPr="00996507" w14:paraId="22EBCC52"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1D3EF2A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2F09F4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Величина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1151" w:type="dxa"/>
            <w:tcBorders>
              <w:top w:val="nil"/>
              <w:left w:val="nil"/>
              <w:bottom w:val="single" w:sz="4" w:space="0" w:color="auto"/>
              <w:right w:val="single" w:sz="4" w:space="0" w:color="auto"/>
            </w:tcBorders>
            <w:shd w:val="clear" w:color="000000" w:fill="FFFFFF"/>
            <w:hideMark/>
          </w:tcPr>
          <w:p w14:paraId="341C3F9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3AC140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31.1</w:t>
            </w:r>
          </w:p>
        </w:tc>
        <w:tc>
          <w:tcPr>
            <w:tcW w:w="1276" w:type="dxa"/>
            <w:tcBorders>
              <w:top w:val="nil"/>
              <w:left w:val="nil"/>
              <w:bottom w:val="single" w:sz="4" w:space="0" w:color="000000"/>
              <w:right w:val="single" w:sz="4" w:space="0" w:color="000000"/>
            </w:tcBorders>
            <w:shd w:val="clear" w:color="auto" w:fill="auto"/>
            <w:noWrap/>
            <w:vAlign w:val="center"/>
            <w:hideMark/>
          </w:tcPr>
          <w:p w14:paraId="22D17FF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2678 752,1</w:t>
            </w:r>
          </w:p>
        </w:tc>
        <w:tc>
          <w:tcPr>
            <w:tcW w:w="1275" w:type="dxa"/>
            <w:tcBorders>
              <w:top w:val="nil"/>
              <w:left w:val="nil"/>
              <w:bottom w:val="single" w:sz="4" w:space="0" w:color="000000"/>
              <w:right w:val="single" w:sz="4" w:space="0" w:color="000000"/>
            </w:tcBorders>
            <w:shd w:val="clear" w:color="auto" w:fill="auto"/>
            <w:noWrap/>
            <w:vAlign w:val="center"/>
            <w:hideMark/>
          </w:tcPr>
          <w:p w14:paraId="5A2830C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2383 058,1</w:t>
            </w:r>
          </w:p>
        </w:tc>
        <w:tc>
          <w:tcPr>
            <w:tcW w:w="1275" w:type="dxa"/>
            <w:tcBorders>
              <w:top w:val="nil"/>
              <w:left w:val="nil"/>
              <w:bottom w:val="single" w:sz="4" w:space="0" w:color="000000"/>
              <w:right w:val="single" w:sz="4" w:space="0" w:color="000000"/>
            </w:tcBorders>
            <w:shd w:val="clear" w:color="auto" w:fill="auto"/>
            <w:noWrap/>
            <w:vAlign w:val="center"/>
            <w:hideMark/>
          </w:tcPr>
          <w:p w14:paraId="52E425A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2373 054,8</w:t>
            </w:r>
          </w:p>
        </w:tc>
        <w:tc>
          <w:tcPr>
            <w:tcW w:w="1277" w:type="dxa"/>
            <w:tcBorders>
              <w:top w:val="nil"/>
              <w:left w:val="nil"/>
              <w:bottom w:val="single" w:sz="4" w:space="0" w:color="000000"/>
              <w:right w:val="single" w:sz="4" w:space="0" w:color="000000"/>
            </w:tcBorders>
            <w:shd w:val="clear" w:color="auto" w:fill="auto"/>
            <w:noWrap/>
            <w:vAlign w:val="center"/>
            <w:hideMark/>
          </w:tcPr>
          <w:p w14:paraId="1585259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2365 635,0</w:t>
            </w:r>
          </w:p>
        </w:tc>
        <w:tc>
          <w:tcPr>
            <w:tcW w:w="1276" w:type="dxa"/>
            <w:tcBorders>
              <w:top w:val="nil"/>
              <w:left w:val="nil"/>
              <w:bottom w:val="single" w:sz="4" w:space="0" w:color="000000"/>
              <w:right w:val="single" w:sz="4" w:space="0" w:color="000000"/>
            </w:tcBorders>
            <w:shd w:val="clear" w:color="auto" w:fill="auto"/>
            <w:noWrap/>
            <w:vAlign w:val="center"/>
            <w:hideMark/>
          </w:tcPr>
          <w:p w14:paraId="300045A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2398 723,3</w:t>
            </w:r>
          </w:p>
        </w:tc>
        <w:tc>
          <w:tcPr>
            <w:tcW w:w="1275" w:type="dxa"/>
            <w:tcBorders>
              <w:top w:val="nil"/>
              <w:left w:val="nil"/>
              <w:bottom w:val="single" w:sz="4" w:space="0" w:color="000000"/>
              <w:right w:val="single" w:sz="4" w:space="0" w:color="000000"/>
            </w:tcBorders>
            <w:shd w:val="clear" w:color="auto" w:fill="auto"/>
            <w:noWrap/>
            <w:vAlign w:val="center"/>
            <w:hideMark/>
          </w:tcPr>
          <w:p w14:paraId="157E220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2433 588,4</w:t>
            </w:r>
          </w:p>
        </w:tc>
      </w:tr>
      <w:tr w:rsidR="00996507" w:rsidRPr="00996507" w14:paraId="2ABF4559"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B0A299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5FEABB2E"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Общий объем собственных доходов бюджета муниципального образования (без учета субвенций)</w:t>
            </w:r>
          </w:p>
        </w:tc>
        <w:tc>
          <w:tcPr>
            <w:tcW w:w="1151" w:type="dxa"/>
            <w:tcBorders>
              <w:top w:val="nil"/>
              <w:left w:val="nil"/>
              <w:bottom w:val="single" w:sz="4" w:space="0" w:color="auto"/>
              <w:right w:val="single" w:sz="4" w:space="0" w:color="auto"/>
            </w:tcBorders>
            <w:shd w:val="clear" w:color="000000" w:fill="FFFFFF"/>
            <w:hideMark/>
          </w:tcPr>
          <w:p w14:paraId="4B1BC3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0325262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31.2</w:t>
            </w:r>
          </w:p>
        </w:tc>
        <w:tc>
          <w:tcPr>
            <w:tcW w:w="1276" w:type="dxa"/>
            <w:tcBorders>
              <w:top w:val="nil"/>
              <w:left w:val="nil"/>
              <w:bottom w:val="single" w:sz="4" w:space="0" w:color="000000"/>
              <w:right w:val="single" w:sz="4" w:space="0" w:color="000000"/>
            </w:tcBorders>
            <w:shd w:val="clear" w:color="auto" w:fill="auto"/>
            <w:noWrap/>
            <w:vAlign w:val="center"/>
            <w:hideMark/>
          </w:tcPr>
          <w:p w14:paraId="4334B1A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4668 534,4</w:t>
            </w:r>
          </w:p>
        </w:tc>
        <w:tc>
          <w:tcPr>
            <w:tcW w:w="1275" w:type="dxa"/>
            <w:tcBorders>
              <w:top w:val="nil"/>
              <w:left w:val="nil"/>
              <w:bottom w:val="single" w:sz="4" w:space="0" w:color="000000"/>
              <w:right w:val="single" w:sz="4" w:space="0" w:color="000000"/>
            </w:tcBorders>
            <w:shd w:val="clear" w:color="auto" w:fill="auto"/>
            <w:noWrap/>
            <w:vAlign w:val="center"/>
            <w:hideMark/>
          </w:tcPr>
          <w:p w14:paraId="579042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4855 005,8</w:t>
            </w:r>
          </w:p>
        </w:tc>
        <w:tc>
          <w:tcPr>
            <w:tcW w:w="1275" w:type="dxa"/>
            <w:tcBorders>
              <w:top w:val="nil"/>
              <w:left w:val="nil"/>
              <w:bottom w:val="single" w:sz="4" w:space="0" w:color="000000"/>
              <w:right w:val="single" w:sz="4" w:space="0" w:color="000000"/>
            </w:tcBorders>
            <w:shd w:val="clear" w:color="auto" w:fill="auto"/>
            <w:noWrap/>
            <w:vAlign w:val="center"/>
            <w:hideMark/>
          </w:tcPr>
          <w:p w14:paraId="5456788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5314 697,0</w:t>
            </w:r>
          </w:p>
        </w:tc>
        <w:tc>
          <w:tcPr>
            <w:tcW w:w="1277" w:type="dxa"/>
            <w:tcBorders>
              <w:top w:val="nil"/>
              <w:left w:val="nil"/>
              <w:bottom w:val="single" w:sz="4" w:space="0" w:color="000000"/>
              <w:right w:val="single" w:sz="4" w:space="0" w:color="000000"/>
            </w:tcBorders>
            <w:shd w:val="clear" w:color="auto" w:fill="auto"/>
            <w:noWrap/>
            <w:vAlign w:val="center"/>
            <w:hideMark/>
          </w:tcPr>
          <w:p w14:paraId="145BF58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3875 845,9</w:t>
            </w:r>
          </w:p>
        </w:tc>
        <w:tc>
          <w:tcPr>
            <w:tcW w:w="1276" w:type="dxa"/>
            <w:tcBorders>
              <w:top w:val="nil"/>
              <w:left w:val="nil"/>
              <w:bottom w:val="single" w:sz="4" w:space="0" w:color="000000"/>
              <w:right w:val="single" w:sz="4" w:space="0" w:color="000000"/>
            </w:tcBorders>
            <w:shd w:val="clear" w:color="auto" w:fill="auto"/>
            <w:noWrap/>
            <w:vAlign w:val="center"/>
            <w:hideMark/>
          </w:tcPr>
          <w:p w14:paraId="26E6B48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3870 528,6</w:t>
            </w:r>
          </w:p>
        </w:tc>
        <w:tc>
          <w:tcPr>
            <w:tcW w:w="1275" w:type="dxa"/>
            <w:tcBorders>
              <w:top w:val="nil"/>
              <w:left w:val="nil"/>
              <w:bottom w:val="single" w:sz="4" w:space="0" w:color="000000"/>
              <w:right w:val="single" w:sz="4" w:space="0" w:color="000000"/>
            </w:tcBorders>
            <w:shd w:val="clear" w:color="auto" w:fill="auto"/>
            <w:noWrap/>
            <w:vAlign w:val="center"/>
            <w:hideMark/>
          </w:tcPr>
          <w:p w14:paraId="7BA958C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3920 469,8</w:t>
            </w:r>
          </w:p>
        </w:tc>
      </w:tr>
      <w:tr w:rsidR="00996507" w:rsidRPr="00996507" w14:paraId="34E2DFEC"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06D441A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7E645E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51" w:type="dxa"/>
            <w:tcBorders>
              <w:top w:val="nil"/>
              <w:left w:val="nil"/>
              <w:bottom w:val="single" w:sz="4" w:space="0" w:color="auto"/>
              <w:right w:val="single" w:sz="4" w:space="0" w:color="auto"/>
            </w:tcBorders>
            <w:shd w:val="clear" w:color="000000" w:fill="FFFFFF"/>
            <w:hideMark/>
          </w:tcPr>
          <w:p w14:paraId="7813AFC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64AC2A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32</w:t>
            </w:r>
          </w:p>
        </w:tc>
        <w:tc>
          <w:tcPr>
            <w:tcW w:w="1276" w:type="dxa"/>
            <w:tcBorders>
              <w:top w:val="nil"/>
              <w:left w:val="nil"/>
              <w:bottom w:val="single" w:sz="4" w:space="0" w:color="000000"/>
              <w:right w:val="single" w:sz="4" w:space="0" w:color="000000"/>
            </w:tcBorders>
            <w:shd w:val="clear" w:color="000000" w:fill="C0C0C0"/>
            <w:noWrap/>
            <w:vAlign w:val="center"/>
            <w:hideMark/>
          </w:tcPr>
          <w:p w14:paraId="1D1B43D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A062C2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9D9A67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7" w:type="dxa"/>
            <w:tcBorders>
              <w:top w:val="nil"/>
              <w:left w:val="nil"/>
              <w:bottom w:val="single" w:sz="4" w:space="0" w:color="000000"/>
              <w:right w:val="single" w:sz="4" w:space="0" w:color="000000"/>
            </w:tcBorders>
            <w:shd w:val="clear" w:color="000000" w:fill="C0C0C0"/>
            <w:noWrap/>
            <w:vAlign w:val="center"/>
            <w:hideMark/>
          </w:tcPr>
          <w:p w14:paraId="4DD427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6" w:type="dxa"/>
            <w:tcBorders>
              <w:top w:val="nil"/>
              <w:left w:val="nil"/>
              <w:bottom w:val="single" w:sz="4" w:space="0" w:color="000000"/>
              <w:right w:val="single" w:sz="4" w:space="0" w:color="000000"/>
            </w:tcBorders>
            <w:shd w:val="clear" w:color="000000" w:fill="C0C0C0"/>
            <w:noWrap/>
            <w:vAlign w:val="center"/>
            <w:hideMark/>
          </w:tcPr>
          <w:p w14:paraId="5EFE43E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B7F120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r>
      <w:tr w:rsidR="00996507" w:rsidRPr="00996507" w14:paraId="327DB19F"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EB52A9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730A6A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Полная учетная стоимость основных фондов организаций муниципальной формы собственности, находящихся в стадии банкротства на конец года</w:t>
            </w:r>
          </w:p>
        </w:tc>
        <w:tc>
          <w:tcPr>
            <w:tcW w:w="1151" w:type="dxa"/>
            <w:tcBorders>
              <w:top w:val="nil"/>
              <w:left w:val="nil"/>
              <w:bottom w:val="single" w:sz="4" w:space="0" w:color="auto"/>
              <w:right w:val="single" w:sz="4" w:space="0" w:color="auto"/>
            </w:tcBorders>
            <w:shd w:val="clear" w:color="000000" w:fill="FFFFFF"/>
            <w:hideMark/>
          </w:tcPr>
          <w:p w14:paraId="7074F6A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52275D2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32.1</w:t>
            </w:r>
          </w:p>
        </w:tc>
        <w:tc>
          <w:tcPr>
            <w:tcW w:w="1276" w:type="dxa"/>
            <w:tcBorders>
              <w:top w:val="nil"/>
              <w:left w:val="nil"/>
              <w:bottom w:val="single" w:sz="4" w:space="0" w:color="000000"/>
              <w:right w:val="single" w:sz="4" w:space="0" w:color="000000"/>
            </w:tcBorders>
            <w:shd w:val="clear" w:color="auto" w:fill="auto"/>
            <w:noWrap/>
            <w:vAlign w:val="center"/>
            <w:hideMark/>
          </w:tcPr>
          <w:p w14:paraId="4B2D7E0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2B47C8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7BD927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54BCBA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6755301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4A22C21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077A9C80"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1B13E77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5A4B89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Полная учетная стоимость основных фондов организаций муниципальной формы собственности</w:t>
            </w:r>
          </w:p>
        </w:tc>
        <w:tc>
          <w:tcPr>
            <w:tcW w:w="1151" w:type="dxa"/>
            <w:tcBorders>
              <w:top w:val="nil"/>
              <w:left w:val="nil"/>
              <w:bottom w:val="single" w:sz="4" w:space="0" w:color="auto"/>
              <w:right w:val="single" w:sz="4" w:space="0" w:color="auto"/>
            </w:tcBorders>
            <w:shd w:val="clear" w:color="000000" w:fill="FFFFFF"/>
            <w:hideMark/>
          </w:tcPr>
          <w:p w14:paraId="7B4A87A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75438CE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32.2</w:t>
            </w:r>
          </w:p>
        </w:tc>
        <w:tc>
          <w:tcPr>
            <w:tcW w:w="1276" w:type="dxa"/>
            <w:tcBorders>
              <w:top w:val="nil"/>
              <w:left w:val="nil"/>
              <w:bottom w:val="single" w:sz="4" w:space="0" w:color="000000"/>
              <w:right w:val="single" w:sz="4" w:space="0" w:color="000000"/>
            </w:tcBorders>
            <w:shd w:val="clear" w:color="auto" w:fill="auto"/>
            <w:noWrap/>
            <w:vAlign w:val="center"/>
            <w:hideMark/>
          </w:tcPr>
          <w:p w14:paraId="3B81556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20447 950,0</w:t>
            </w:r>
          </w:p>
        </w:tc>
        <w:tc>
          <w:tcPr>
            <w:tcW w:w="1275" w:type="dxa"/>
            <w:tcBorders>
              <w:top w:val="nil"/>
              <w:left w:val="nil"/>
              <w:bottom w:val="single" w:sz="4" w:space="0" w:color="000000"/>
              <w:right w:val="single" w:sz="4" w:space="0" w:color="000000"/>
            </w:tcBorders>
            <w:shd w:val="clear" w:color="auto" w:fill="auto"/>
            <w:noWrap/>
            <w:vAlign w:val="center"/>
            <w:hideMark/>
          </w:tcPr>
          <w:p w14:paraId="6BB6486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17269 817,0</w:t>
            </w:r>
          </w:p>
        </w:tc>
        <w:tc>
          <w:tcPr>
            <w:tcW w:w="1275" w:type="dxa"/>
            <w:tcBorders>
              <w:top w:val="nil"/>
              <w:left w:val="nil"/>
              <w:bottom w:val="single" w:sz="4" w:space="0" w:color="000000"/>
              <w:right w:val="single" w:sz="4" w:space="0" w:color="000000"/>
            </w:tcBorders>
            <w:shd w:val="clear" w:color="auto" w:fill="auto"/>
            <w:noWrap/>
            <w:vAlign w:val="center"/>
            <w:hideMark/>
          </w:tcPr>
          <w:p w14:paraId="4B0383A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17732 769,0</w:t>
            </w:r>
          </w:p>
        </w:tc>
        <w:tc>
          <w:tcPr>
            <w:tcW w:w="1277" w:type="dxa"/>
            <w:tcBorders>
              <w:top w:val="nil"/>
              <w:left w:val="nil"/>
              <w:bottom w:val="single" w:sz="4" w:space="0" w:color="000000"/>
              <w:right w:val="single" w:sz="4" w:space="0" w:color="000000"/>
            </w:tcBorders>
            <w:shd w:val="clear" w:color="auto" w:fill="auto"/>
            <w:noWrap/>
            <w:vAlign w:val="center"/>
            <w:hideMark/>
          </w:tcPr>
          <w:p w14:paraId="60DEBCB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21099 168,5</w:t>
            </w:r>
          </w:p>
        </w:tc>
        <w:tc>
          <w:tcPr>
            <w:tcW w:w="1276" w:type="dxa"/>
            <w:tcBorders>
              <w:top w:val="nil"/>
              <w:left w:val="nil"/>
              <w:bottom w:val="single" w:sz="4" w:space="0" w:color="000000"/>
              <w:right w:val="single" w:sz="4" w:space="0" w:color="000000"/>
            </w:tcBorders>
            <w:shd w:val="clear" w:color="auto" w:fill="auto"/>
            <w:noWrap/>
            <w:vAlign w:val="center"/>
            <w:hideMark/>
          </w:tcPr>
          <w:p w14:paraId="5BFB906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21147 649,8</w:t>
            </w:r>
          </w:p>
        </w:tc>
        <w:tc>
          <w:tcPr>
            <w:tcW w:w="1275" w:type="dxa"/>
            <w:tcBorders>
              <w:top w:val="nil"/>
              <w:left w:val="nil"/>
              <w:bottom w:val="single" w:sz="4" w:space="0" w:color="000000"/>
              <w:right w:val="single" w:sz="4" w:space="0" w:color="000000"/>
            </w:tcBorders>
            <w:shd w:val="clear" w:color="auto" w:fill="auto"/>
            <w:noWrap/>
            <w:vAlign w:val="center"/>
            <w:hideMark/>
          </w:tcPr>
          <w:p w14:paraId="5CDF8EE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22183 862,2</w:t>
            </w:r>
          </w:p>
        </w:tc>
      </w:tr>
      <w:tr w:rsidR="00996507" w:rsidRPr="00996507" w14:paraId="370220B6"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5D286C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8898DE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5015E2A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72A53E1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33</w:t>
            </w:r>
          </w:p>
        </w:tc>
        <w:tc>
          <w:tcPr>
            <w:tcW w:w="1276" w:type="dxa"/>
            <w:tcBorders>
              <w:top w:val="nil"/>
              <w:left w:val="nil"/>
              <w:bottom w:val="single" w:sz="4" w:space="0" w:color="000000"/>
              <w:right w:val="single" w:sz="4" w:space="0" w:color="000000"/>
            </w:tcBorders>
            <w:shd w:val="clear" w:color="auto" w:fill="auto"/>
            <w:noWrap/>
            <w:vAlign w:val="center"/>
            <w:hideMark/>
          </w:tcPr>
          <w:p w14:paraId="484BEA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1736 173,7</w:t>
            </w:r>
          </w:p>
        </w:tc>
        <w:tc>
          <w:tcPr>
            <w:tcW w:w="1275" w:type="dxa"/>
            <w:tcBorders>
              <w:top w:val="nil"/>
              <w:left w:val="nil"/>
              <w:bottom w:val="single" w:sz="4" w:space="0" w:color="000000"/>
              <w:right w:val="single" w:sz="4" w:space="0" w:color="000000"/>
            </w:tcBorders>
            <w:shd w:val="clear" w:color="auto" w:fill="auto"/>
            <w:noWrap/>
            <w:vAlign w:val="center"/>
            <w:hideMark/>
          </w:tcPr>
          <w:p w14:paraId="2366505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1597 279,8</w:t>
            </w:r>
          </w:p>
        </w:tc>
        <w:tc>
          <w:tcPr>
            <w:tcW w:w="1275" w:type="dxa"/>
            <w:tcBorders>
              <w:top w:val="nil"/>
              <w:left w:val="nil"/>
              <w:bottom w:val="single" w:sz="4" w:space="0" w:color="000000"/>
              <w:right w:val="single" w:sz="4" w:space="0" w:color="000000"/>
            </w:tcBorders>
            <w:shd w:val="clear" w:color="auto" w:fill="auto"/>
            <w:noWrap/>
            <w:vAlign w:val="center"/>
            <w:hideMark/>
          </w:tcPr>
          <w:p w14:paraId="2724470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1503 765,8</w:t>
            </w:r>
          </w:p>
        </w:tc>
        <w:tc>
          <w:tcPr>
            <w:tcW w:w="1277" w:type="dxa"/>
            <w:tcBorders>
              <w:top w:val="nil"/>
              <w:left w:val="nil"/>
              <w:bottom w:val="single" w:sz="4" w:space="0" w:color="000000"/>
              <w:right w:val="single" w:sz="4" w:space="0" w:color="000000"/>
            </w:tcBorders>
            <w:shd w:val="clear" w:color="auto" w:fill="auto"/>
            <w:noWrap/>
            <w:vAlign w:val="center"/>
            <w:hideMark/>
          </w:tcPr>
          <w:p w14:paraId="35C5F7A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1480 000,0</w:t>
            </w:r>
          </w:p>
        </w:tc>
        <w:tc>
          <w:tcPr>
            <w:tcW w:w="1276" w:type="dxa"/>
            <w:tcBorders>
              <w:top w:val="nil"/>
              <w:left w:val="nil"/>
              <w:bottom w:val="single" w:sz="4" w:space="0" w:color="000000"/>
              <w:right w:val="single" w:sz="4" w:space="0" w:color="000000"/>
            </w:tcBorders>
            <w:shd w:val="clear" w:color="auto" w:fill="auto"/>
            <w:noWrap/>
            <w:vAlign w:val="center"/>
            <w:hideMark/>
          </w:tcPr>
          <w:p w14:paraId="06BB14F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1450 000,0</w:t>
            </w:r>
          </w:p>
        </w:tc>
        <w:tc>
          <w:tcPr>
            <w:tcW w:w="1275" w:type="dxa"/>
            <w:tcBorders>
              <w:top w:val="nil"/>
              <w:left w:val="nil"/>
              <w:bottom w:val="single" w:sz="4" w:space="0" w:color="000000"/>
              <w:right w:val="single" w:sz="4" w:space="0" w:color="000000"/>
            </w:tcBorders>
            <w:shd w:val="clear" w:color="auto" w:fill="auto"/>
            <w:noWrap/>
            <w:vAlign w:val="center"/>
            <w:hideMark/>
          </w:tcPr>
          <w:p w14:paraId="52202A4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1400 000,0</w:t>
            </w:r>
          </w:p>
        </w:tc>
      </w:tr>
      <w:tr w:rsidR="00996507" w:rsidRPr="00996507" w14:paraId="5E0A71D6" w14:textId="77777777" w:rsidTr="00996507">
        <w:trPr>
          <w:trHeight w:val="1530"/>
        </w:trPr>
        <w:tc>
          <w:tcPr>
            <w:tcW w:w="1701" w:type="dxa"/>
            <w:vMerge/>
            <w:tcBorders>
              <w:top w:val="nil"/>
              <w:left w:val="single" w:sz="4" w:space="0" w:color="auto"/>
              <w:bottom w:val="single" w:sz="4" w:space="0" w:color="auto"/>
              <w:right w:val="single" w:sz="4" w:space="0" w:color="auto"/>
            </w:tcBorders>
            <w:vAlign w:val="center"/>
            <w:hideMark/>
          </w:tcPr>
          <w:p w14:paraId="67ADADD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CF24AF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51" w:type="dxa"/>
            <w:tcBorders>
              <w:top w:val="nil"/>
              <w:left w:val="nil"/>
              <w:bottom w:val="single" w:sz="4" w:space="0" w:color="auto"/>
              <w:right w:val="single" w:sz="4" w:space="0" w:color="auto"/>
            </w:tcBorders>
            <w:shd w:val="clear" w:color="000000" w:fill="FFFFFF"/>
            <w:hideMark/>
          </w:tcPr>
          <w:p w14:paraId="46330BB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w:t>
            </w:r>
          </w:p>
        </w:tc>
        <w:tc>
          <w:tcPr>
            <w:tcW w:w="992" w:type="dxa"/>
            <w:tcBorders>
              <w:top w:val="nil"/>
              <w:left w:val="nil"/>
              <w:bottom w:val="single" w:sz="4" w:space="0" w:color="auto"/>
              <w:right w:val="single" w:sz="4" w:space="0" w:color="auto"/>
            </w:tcBorders>
            <w:shd w:val="clear" w:color="000000" w:fill="FFFFFF"/>
            <w:hideMark/>
          </w:tcPr>
          <w:p w14:paraId="2F54925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34</w:t>
            </w:r>
          </w:p>
        </w:tc>
        <w:tc>
          <w:tcPr>
            <w:tcW w:w="1276" w:type="dxa"/>
            <w:tcBorders>
              <w:top w:val="nil"/>
              <w:left w:val="nil"/>
              <w:bottom w:val="single" w:sz="4" w:space="0" w:color="000000"/>
              <w:right w:val="single" w:sz="4" w:space="0" w:color="000000"/>
            </w:tcBorders>
            <w:shd w:val="clear" w:color="000000" w:fill="C0C0C0"/>
            <w:noWrap/>
            <w:vAlign w:val="center"/>
            <w:hideMark/>
          </w:tcPr>
          <w:p w14:paraId="5A7E01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2F09577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146D31C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000000" w:fill="C0C0C0"/>
            <w:noWrap/>
            <w:vAlign w:val="center"/>
            <w:hideMark/>
          </w:tcPr>
          <w:p w14:paraId="3C1C101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000000" w:fill="C0C0C0"/>
            <w:noWrap/>
            <w:vAlign w:val="center"/>
            <w:hideMark/>
          </w:tcPr>
          <w:p w14:paraId="1BA2FA6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000000" w:fill="C0C0C0"/>
            <w:noWrap/>
            <w:vAlign w:val="center"/>
            <w:hideMark/>
          </w:tcPr>
          <w:p w14:paraId="566E3C4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3AFA8C08"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51BE11F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3C4B1F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Величина просроченной кредиторской задолженности по оплате труда (включая начисления на оплату труда) муниципальных учреждений (на конец года)</w:t>
            </w:r>
          </w:p>
        </w:tc>
        <w:tc>
          <w:tcPr>
            <w:tcW w:w="1151" w:type="dxa"/>
            <w:tcBorders>
              <w:top w:val="nil"/>
              <w:left w:val="nil"/>
              <w:bottom w:val="single" w:sz="4" w:space="0" w:color="auto"/>
              <w:right w:val="single" w:sz="4" w:space="0" w:color="auto"/>
            </w:tcBorders>
            <w:shd w:val="clear" w:color="000000" w:fill="FFFFFF"/>
            <w:hideMark/>
          </w:tcPr>
          <w:p w14:paraId="2BEBF3C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15F4B34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34.1</w:t>
            </w:r>
          </w:p>
        </w:tc>
        <w:tc>
          <w:tcPr>
            <w:tcW w:w="1276" w:type="dxa"/>
            <w:tcBorders>
              <w:top w:val="nil"/>
              <w:left w:val="nil"/>
              <w:bottom w:val="single" w:sz="4" w:space="0" w:color="000000"/>
              <w:right w:val="single" w:sz="4" w:space="0" w:color="000000"/>
            </w:tcBorders>
            <w:shd w:val="clear" w:color="auto" w:fill="auto"/>
            <w:noWrap/>
            <w:vAlign w:val="center"/>
            <w:hideMark/>
          </w:tcPr>
          <w:p w14:paraId="678D65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36791C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5F3CD32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3B7D89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5A131F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2AAFF2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r w:rsidR="00996507" w:rsidRPr="00996507" w14:paraId="5A4CCAD8"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38DAEE7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1FA2F3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Общий объем расходов муниципального образования на оплату труда (включая начисления на оплату труда) муниципальных учреждений</w:t>
            </w:r>
          </w:p>
        </w:tc>
        <w:tc>
          <w:tcPr>
            <w:tcW w:w="1151" w:type="dxa"/>
            <w:tcBorders>
              <w:top w:val="nil"/>
              <w:left w:val="nil"/>
              <w:bottom w:val="single" w:sz="4" w:space="0" w:color="auto"/>
              <w:right w:val="single" w:sz="4" w:space="0" w:color="auto"/>
            </w:tcBorders>
            <w:shd w:val="clear" w:color="000000" w:fill="FFFFFF"/>
            <w:hideMark/>
          </w:tcPr>
          <w:p w14:paraId="35F2BD8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3C5DCEB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34.2</w:t>
            </w:r>
          </w:p>
        </w:tc>
        <w:tc>
          <w:tcPr>
            <w:tcW w:w="1276" w:type="dxa"/>
            <w:tcBorders>
              <w:top w:val="nil"/>
              <w:left w:val="nil"/>
              <w:bottom w:val="single" w:sz="4" w:space="0" w:color="000000"/>
              <w:right w:val="single" w:sz="4" w:space="0" w:color="000000"/>
            </w:tcBorders>
            <w:shd w:val="clear" w:color="auto" w:fill="auto"/>
            <w:noWrap/>
            <w:vAlign w:val="center"/>
            <w:hideMark/>
          </w:tcPr>
          <w:p w14:paraId="75D11BA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3256 312,1</w:t>
            </w:r>
          </w:p>
        </w:tc>
        <w:tc>
          <w:tcPr>
            <w:tcW w:w="1275" w:type="dxa"/>
            <w:tcBorders>
              <w:top w:val="nil"/>
              <w:left w:val="nil"/>
              <w:bottom w:val="single" w:sz="4" w:space="0" w:color="000000"/>
              <w:right w:val="single" w:sz="4" w:space="0" w:color="000000"/>
            </w:tcBorders>
            <w:shd w:val="clear" w:color="auto" w:fill="auto"/>
            <w:noWrap/>
            <w:vAlign w:val="center"/>
            <w:hideMark/>
          </w:tcPr>
          <w:p w14:paraId="721F8E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3428 509,6</w:t>
            </w:r>
          </w:p>
        </w:tc>
        <w:tc>
          <w:tcPr>
            <w:tcW w:w="1275" w:type="dxa"/>
            <w:tcBorders>
              <w:top w:val="nil"/>
              <w:left w:val="nil"/>
              <w:bottom w:val="single" w:sz="4" w:space="0" w:color="000000"/>
              <w:right w:val="single" w:sz="4" w:space="0" w:color="000000"/>
            </w:tcBorders>
            <w:shd w:val="clear" w:color="auto" w:fill="auto"/>
            <w:noWrap/>
            <w:vAlign w:val="center"/>
            <w:hideMark/>
          </w:tcPr>
          <w:p w14:paraId="3FB2FEA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3649 127,3</w:t>
            </w:r>
          </w:p>
        </w:tc>
        <w:tc>
          <w:tcPr>
            <w:tcW w:w="1277" w:type="dxa"/>
            <w:tcBorders>
              <w:top w:val="nil"/>
              <w:left w:val="nil"/>
              <w:bottom w:val="single" w:sz="4" w:space="0" w:color="000000"/>
              <w:right w:val="single" w:sz="4" w:space="0" w:color="000000"/>
            </w:tcBorders>
            <w:shd w:val="clear" w:color="auto" w:fill="auto"/>
            <w:noWrap/>
            <w:vAlign w:val="center"/>
            <w:hideMark/>
          </w:tcPr>
          <w:p w14:paraId="50DF8C4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3722 170,9</w:t>
            </w:r>
          </w:p>
        </w:tc>
        <w:tc>
          <w:tcPr>
            <w:tcW w:w="1276" w:type="dxa"/>
            <w:tcBorders>
              <w:top w:val="nil"/>
              <w:left w:val="nil"/>
              <w:bottom w:val="single" w:sz="4" w:space="0" w:color="000000"/>
              <w:right w:val="single" w:sz="4" w:space="0" w:color="000000"/>
            </w:tcBorders>
            <w:shd w:val="clear" w:color="auto" w:fill="auto"/>
            <w:noWrap/>
            <w:vAlign w:val="center"/>
            <w:hideMark/>
          </w:tcPr>
          <w:p w14:paraId="2B1665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3615 071,1</w:t>
            </w:r>
          </w:p>
        </w:tc>
        <w:tc>
          <w:tcPr>
            <w:tcW w:w="1275" w:type="dxa"/>
            <w:tcBorders>
              <w:top w:val="nil"/>
              <w:left w:val="nil"/>
              <w:bottom w:val="single" w:sz="4" w:space="0" w:color="000000"/>
              <w:right w:val="single" w:sz="4" w:space="0" w:color="000000"/>
            </w:tcBorders>
            <w:shd w:val="clear" w:color="auto" w:fill="auto"/>
            <w:noWrap/>
            <w:vAlign w:val="center"/>
            <w:hideMark/>
          </w:tcPr>
          <w:p w14:paraId="152F7FF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3474 478,7</w:t>
            </w:r>
          </w:p>
        </w:tc>
      </w:tr>
      <w:tr w:rsidR="00996507" w:rsidRPr="00996507" w14:paraId="7BF875AD"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4F0EAF7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16D35E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55B9AD1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Рубль</w:t>
            </w:r>
          </w:p>
        </w:tc>
        <w:tc>
          <w:tcPr>
            <w:tcW w:w="992" w:type="dxa"/>
            <w:tcBorders>
              <w:top w:val="nil"/>
              <w:left w:val="nil"/>
              <w:bottom w:val="single" w:sz="4" w:space="0" w:color="auto"/>
              <w:right w:val="single" w:sz="4" w:space="0" w:color="auto"/>
            </w:tcBorders>
            <w:shd w:val="clear" w:color="000000" w:fill="FFFFFF"/>
            <w:hideMark/>
          </w:tcPr>
          <w:p w14:paraId="4F31505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35</w:t>
            </w:r>
          </w:p>
        </w:tc>
        <w:tc>
          <w:tcPr>
            <w:tcW w:w="1276" w:type="dxa"/>
            <w:tcBorders>
              <w:top w:val="nil"/>
              <w:left w:val="nil"/>
              <w:bottom w:val="single" w:sz="4" w:space="0" w:color="000000"/>
              <w:right w:val="single" w:sz="4" w:space="0" w:color="000000"/>
            </w:tcBorders>
            <w:shd w:val="clear" w:color="000000" w:fill="C0C0C0"/>
            <w:noWrap/>
            <w:vAlign w:val="center"/>
            <w:hideMark/>
          </w:tcPr>
          <w:p w14:paraId="31E35BB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4 661,8</w:t>
            </w:r>
          </w:p>
        </w:tc>
        <w:tc>
          <w:tcPr>
            <w:tcW w:w="1275" w:type="dxa"/>
            <w:tcBorders>
              <w:top w:val="nil"/>
              <w:left w:val="nil"/>
              <w:bottom w:val="single" w:sz="4" w:space="0" w:color="000000"/>
              <w:right w:val="single" w:sz="4" w:space="0" w:color="000000"/>
            </w:tcBorders>
            <w:shd w:val="clear" w:color="000000" w:fill="C0C0C0"/>
            <w:noWrap/>
            <w:vAlign w:val="center"/>
            <w:hideMark/>
          </w:tcPr>
          <w:p w14:paraId="7A4253F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4 576,0</w:t>
            </w:r>
          </w:p>
        </w:tc>
        <w:tc>
          <w:tcPr>
            <w:tcW w:w="1275" w:type="dxa"/>
            <w:tcBorders>
              <w:top w:val="nil"/>
              <w:left w:val="nil"/>
              <w:bottom w:val="single" w:sz="4" w:space="0" w:color="000000"/>
              <w:right w:val="single" w:sz="4" w:space="0" w:color="000000"/>
            </w:tcBorders>
            <w:shd w:val="clear" w:color="000000" w:fill="C0C0C0"/>
            <w:noWrap/>
            <w:vAlign w:val="center"/>
            <w:hideMark/>
          </w:tcPr>
          <w:p w14:paraId="5D9C3EC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4 591,8</w:t>
            </w:r>
          </w:p>
        </w:tc>
        <w:tc>
          <w:tcPr>
            <w:tcW w:w="1277" w:type="dxa"/>
            <w:tcBorders>
              <w:top w:val="nil"/>
              <w:left w:val="nil"/>
              <w:bottom w:val="single" w:sz="4" w:space="0" w:color="000000"/>
              <w:right w:val="single" w:sz="4" w:space="0" w:color="000000"/>
            </w:tcBorders>
            <w:shd w:val="clear" w:color="000000" w:fill="C0C0C0"/>
            <w:noWrap/>
            <w:vAlign w:val="center"/>
            <w:hideMark/>
          </w:tcPr>
          <w:p w14:paraId="4E21A23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4 805,3</w:t>
            </w:r>
          </w:p>
        </w:tc>
        <w:tc>
          <w:tcPr>
            <w:tcW w:w="1276" w:type="dxa"/>
            <w:tcBorders>
              <w:top w:val="nil"/>
              <w:left w:val="nil"/>
              <w:bottom w:val="single" w:sz="4" w:space="0" w:color="000000"/>
              <w:right w:val="single" w:sz="4" w:space="0" w:color="000000"/>
            </w:tcBorders>
            <w:shd w:val="clear" w:color="000000" w:fill="C0C0C0"/>
            <w:noWrap/>
            <w:vAlign w:val="center"/>
            <w:hideMark/>
          </w:tcPr>
          <w:p w14:paraId="7B59528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4 690,7</w:t>
            </w:r>
          </w:p>
        </w:tc>
        <w:tc>
          <w:tcPr>
            <w:tcW w:w="1275" w:type="dxa"/>
            <w:tcBorders>
              <w:top w:val="nil"/>
              <w:left w:val="nil"/>
              <w:bottom w:val="single" w:sz="4" w:space="0" w:color="000000"/>
              <w:right w:val="single" w:sz="4" w:space="0" w:color="000000"/>
            </w:tcBorders>
            <w:shd w:val="clear" w:color="000000" w:fill="C0C0C0"/>
            <w:noWrap/>
            <w:vAlign w:val="center"/>
            <w:hideMark/>
          </w:tcPr>
          <w:p w14:paraId="2CC0D00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4 444,1</w:t>
            </w:r>
          </w:p>
        </w:tc>
      </w:tr>
      <w:tr w:rsidR="00996507" w:rsidRPr="00996507" w14:paraId="65DD548D"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5C75A5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BE1BC6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Общий объем расходов бюджета муниципального образования на содержание работников органов местного самоуправления, всего</w:t>
            </w:r>
          </w:p>
        </w:tc>
        <w:tc>
          <w:tcPr>
            <w:tcW w:w="1151" w:type="dxa"/>
            <w:tcBorders>
              <w:top w:val="nil"/>
              <w:left w:val="nil"/>
              <w:bottom w:val="single" w:sz="4" w:space="0" w:color="auto"/>
              <w:right w:val="single" w:sz="4" w:space="0" w:color="auto"/>
            </w:tcBorders>
            <w:shd w:val="clear" w:color="000000" w:fill="FFFFFF"/>
            <w:hideMark/>
          </w:tcPr>
          <w:p w14:paraId="2E05C4D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рублей</w:t>
            </w:r>
          </w:p>
        </w:tc>
        <w:tc>
          <w:tcPr>
            <w:tcW w:w="992" w:type="dxa"/>
            <w:tcBorders>
              <w:top w:val="nil"/>
              <w:left w:val="nil"/>
              <w:bottom w:val="single" w:sz="4" w:space="0" w:color="auto"/>
              <w:right w:val="single" w:sz="4" w:space="0" w:color="auto"/>
            </w:tcBorders>
            <w:shd w:val="clear" w:color="000000" w:fill="FFFFFF"/>
            <w:hideMark/>
          </w:tcPr>
          <w:p w14:paraId="2E5D248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35.1</w:t>
            </w:r>
          </w:p>
        </w:tc>
        <w:tc>
          <w:tcPr>
            <w:tcW w:w="1276" w:type="dxa"/>
            <w:tcBorders>
              <w:top w:val="nil"/>
              <w:left w:val="nil"/>
              <w:bottom w:val="single" w:sz="4" w:space="0" w:color="000000"/>
              <w:right w:val="single" w:sz="4" w:space="0" w:color="000000"/>
            </w:tcBorders>
            <w:shd w:val="clear" w:color="auto" w:fill="auto"/>
            <w:noWrap/>
            <w:vAlign w:val="center"/>
            <w:hideMark/>
          </w:tcPr>
          <w:p w14:paraId="464F20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440 076,0</w:t>
            </w:r>
          </w:p>
        </w:tc>
        <w:tc>
          <w:tcPr>
            <w:tcW w:w="1275" w:type="dxa"/>
            <w:tcBorders>
              <w:top w:val="nil"/>
              <w:left w:val="nil"/>
              <w:bottom w:val="single" w:sz="4" w:space="0" w:color="000000"/>
              <w:right w:val="single" w:sz="4" w:space="0" w:color="000000"/>
            </w:tcBorders>
            <w:shd w:val="clear" w:color="auto" w:fill="auto"/>
            <w:noWrap/>
            <w:vAlign w:val="center"/>
            <w:hideMark/>
          </w:tcPr>
          <w:p w14:paraId="6495A6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439 754,5</w:t>
            </w:r>
          </w:p>
        </w:tc>
        <w:tc>
          <w:tcPr>
            <w:tcW w:w="1275" w:type="dxa"/>
            <w:tcBorders>
              <w:top w:val="nil"/>
              <w:left w:val="nil"/>
              <w:bottom w:val="single" w:sz="4" w:space="0" w:color="000000"/>
              <w:right w:val="single" w:sz="4" w:space="0" w:color="000000"/>
            </w:tcBorders>
            <w:shd w:val="clear" w:color="auto" w:fill="auto"/>
            <w:noWrap/>
            <w:vAlign w:val="center"/>
            <w:hideMark/>
          </w:tcPr>
          <w:p w14:paraId="5C26EEE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449 140,7</w:t>
            </w:r>
          </w:p>
        </w:tc>
        <w:tc>
          <w:tcPr>
            <w:tcW w:w="1277" w:type="dxa"/>
            <w:tcBorders>
              <w:top w:val="nil"/>
              <w:left w:val="nil"/>
              <w:bottom w:val="single" w:sz="4" w:space="0" w:color="000000"/>
              <w:right w:val="single" w:sz="4" w:space="0" w:color="000000"/>
            </w:tcBorders>
            <w:shd w:val="clear" w:color="auto" w:fill="auto"/>
            <w:noWrap/>
            <w:vAlign w:val="center"/>
            <w:hideMark/>
          </w:tcPr>
          <w:p w14:paraId="5CA790B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478 610,9</w:t>
            </w:r>
          </w:p>
        </w:tc>
        <w:tc>
          <w:tcPr>
            <w:tcW w:w="1276" w:type="dxa"/>
            <w:tcBorders>
              <w:top w:val="nil"/>
              <w:left w:val="nil"/>
              <w:bottom w:val="single" w:sz="4" w:space="0" w:color="000000"/>
              <w:right w:val="single" w:sz="4" w:space="0" w:color="000000"/>
            </w:tcBorders>
            <w:shd w:val="clear" w:color="auto" w:fill="auto"/>
            <w:noWrap/>
            <w:vAlign w:val="center"/>
            <w:hideMark/>
          </w:tcPr>
          <w:p w14:paraId="2366DD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475 641,6</w:t>
            </w:r>
          </w:p>
        </w:tc>
        <w:tc>
          <w:tcPr>
            <w:tcW w:w="1275" w:type="dxa"/>
            <w:tcBorders>
              <w:top w:val="nil"/>
              <w:left w:val="nil"/>
              <w:bottom w:val="single" w:sz="4" w:space="0" w:color="000000"/>
              <w:right w:val="single" w:sz="4" w:space="0" w:color="000000"/>
            </w:tcBorders>
            <w:shd w:val="clear" w:color="auto" w:fill="auto"/>
            <w:noWrap/>
            <w:vAlign w:val="center"/>
            <w:hideMark/>
          </w:tcPr>
          <w:p w14:paraId="3C56B7F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458 630,9</w:t>
            </w:r>
          </w:p>
        </w:tc>
      </w:tr>
      <w:tr w:rsidR="00996507" w:rsidRPr="00996507" w14:paraId="0190344D"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770197C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328EFCF"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2484A05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да</w:t>
            </w:r>
          </w:p>
        </w:tc>
        <w:tc>
          <w:tcPr>
            <w:tcW w:w="992" w:type="dxa"/>
            <w:tcBorders>
              <w:top w:val="nil"/>
              <w:left w:val="nil"/>
              <w:bottom w:val="single" w:sz="4" w:space="0" w:color="auto"/>
              <w:right w:val="single" w:sz="4" w:space="0" w:color="auto"/>
            </w:tcBorders>
            <w:shd w:val="clear" w:color="000000" w:fill="FFFFFF"/>
            <w:hideMark/>
          </w:tcPr>
          <w:p w14:paraId="0F0899D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36</w:t>
            </w:r>
          </w:p>
        </w:tc>
        <w:tc>
          <w:tcPr>
            <w:tcW w:w="1276" w:type="dxa"/>
            <w:tcBorders>
              <w:top w:val="nil"/>
              <w:left w:val="nil"/>
              <w:bottom w:val="single" w:sz="4" w:space="0" w:color="000000"/>
              <w:right w:val="single" w:sz="4" w:space="0" w:color="000000"/>
            </w:tcBorders>
            <w:shd w:val="clear" w:color="auto" w:fill="auto"/>
            <w:noWrap/>
            <w:vAlign w:val="center"/>
            <w:hideMark/>
          </w:tcPr>
          <w:p w14:paraId="58021A8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63C095F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6E4523C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7" w:type="dxa"/>
            <w:tcBorders>
              <w:top w:val="nil"/>
              <w:left w:val="nil"/>
              <w:bottom w:val="single" w:sz="4" w:space="0" w:color="000000"/>
              <w:right w:val="single" w:sz="4" w:space="0" w:color="000000"/>
            </w:tcBorders>
            <w:shd w:val="clear" w:color="auto" w:fill="auto"/>
            <w:noWrap/>
            <w:vAlign w:val="center"/>
            <w:hideMark/>
          </w:tcPr>
          <w:p w14:paraId="6D7A725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6" w:type="dxa"/>
            <w:tcBorders>
              <w:top w:val="nil"/>
              <w:left w:val="nil"/>
              <w:bottom w:val="single" w:sz="4" w:space="0" w:color="000000"/>
              <w:right w:val="single" w:sz="4" w:space="0" w:color="000000"/>
            </w:tcBorders>
            <w:shd w:val="clear" w:color="auto" w:fill="auto"/>
            <w:noWrap/>
            <w:vAlign w:val="center"/>
            <w:hideMark/>
          </w:tcPr>
          <w:p w14:paraId="0D8166C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000000"/>
              <w:right w:val="single" w:sz="4" w:space="0" w:color="000000"/>
            </w:tcBorders>
            <w:shd w:val="clear" w:color="auto" w:fill="auto"/>
            <w:noWrap/>
            <w:vAlign w:val="center"/>
            <w:hideMark/>
          </w:tcPr>
          <w:p w14:paraId="3850747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w:t>
            </w:r>
          </w:p>
        </w:tc>
      </w:tr>
      <w:tr w:rsidR="00996507" w:rsidRPr="00996507" w14:paraId="23E95C2D" w14:textId="77777777" w:rsidTr="00996507">
        <w:trPr>
          <w:trHeight w:val="825"/>
        </w:trPr>
        <w:tc>
          <w:tcPr>
            <w:tcW w:w="1701" w:type="dxa"/>
            <w:vMerge/>
            <w:tcBorders>
              <w:top w:val="nil"/>
              <w:left w:val="single" w:sz="4" w:space="0" w:color="auto"/>
              <w:bottom w:val="single" w:sz="4" w:space="0" w:color="auto"/>
              <w:right w:val="single" w:sz="4" w:space="0" w:color="auto"/>
            </w:tcBorders>
            <w:vAlign w:val="center"/>
            <w:hideMark/>
          </w:tcPr>
          <w:p w14:paraId="14331D4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7F611B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Удовлетворенность населения деятельностью местного самоуправления городского округа (муниципального района)</w:t>
            </w:r>
          </w:p>
        </w:tc>
        <w:tc>
          <w:tcPr>
            <w:tcW w:w="1151" w:type="dxa"/>
            <w:tcBorders>
              <w:top w:val="nil"/>
              <w:left w:val="nil"/>
              <w:bottom w:val="single" w:sz="4" w:space="0" w:color="auto"/>
              <w:right w:val="single" w:sz="4" w:space="0" w:color="auto"/>
            </w:tcBorders>
            <w:shd w:val="clear" w:color="000000" w:fill="FFFFFF"/>
            <w:hideMark/>
          </w:tcPr>
          <w:p w14:paraId="061198C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Процент от числа опрошенных</w:t>
            </w:r>
          </w:p>
        </w:tc>
        <w:tc>
          <w:tcPr>
            <w:tcW w:w="992" w:type="dxa"/>
            <w:tcBorders>
              <w:top w:val="nil"/>
              <w:left w:val="nil"/>
              <w:bottom w:val="single" w:sz="4" w:space="0" w:color="auto"/>
              <w:right w:val="single" w:sz="4" w:space="0" w:color="auto"/>
            </w:tcBorders>
            <w:shd w:val="clear" w:color="000000" w:fill="FFFFFF"/>
            <w:hideMark/>
          </w:tcPr>
          <w:p w14:paraId="6C1F6BA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37</w:t>
            </w:r>
          </w:p>
        </w:tc>
        <w:tc>
          <w:tcPr>
            <w:tcW w:w="1276" w:type="dxa"/>
            <w:tcBorders>
              <w:top w:val="nil"/>
              <w:left w:val="nil"/>
              <w:bottom w:val="single" w:sz="4" w:space="0" w:color="000000"/>
              <w:right w:val="single" w:sz="4" w:space="0" w:color="000000"/>
            </w:tcBorders>
            <w:shd w:val="clear" w:color="auto" w:fill="auto"/>
            <w:noWrap/>
            <w:vAlign w:val="center"/>
            <w:hideMark/>
          </w:tcPr>
          <w:p w14:paraId="0C71442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60,6</w:t>
            </w:r>
          </w:p>
        </w:tc>
        <w:tc>
          <w:tcPr>
            <w:tcW w:w="1275" w:type="dxa"/>
            <w:tcBorders>
              <w:top w:val="nil"/>
              <w:left w:val="nil"/>
              <w:bottom w:val="single" w:sz="4" w:space="0" w:color="000000"/>
              <w:right w:val="single" w:sz="4" w:space="0" w:color="000000"/>
            </w:tcBorders>
            <w:shd w:val="clear" w:color="auto" w:fill="auto"/>
            <w:noWrap/>
            <w:vAlign w:val="center"/>
            <w:hideMark/>
          </w:tcPr>
          <w:p w14:paraId="704FD4C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64,8</w:t>
            </w:r>
          </w:p>
        </w:tc>
        <w:tc>
          <w:tcPr>
            <w:tcW w:w="1275" w:type="dxa"/>
            <w:tcBorders>
              <w:top w:val="nil"/>
              <w:left w:val="nil"/>
              <w:bottom w:val="single" w:sz="4" w:space="0" w:color="000000"/>
              <w:right w:val="single" w:sz="4" w:space="0" w:color="000000"/>
            </w:tcBorders>
            <w:shd w:val="clear" w:color="auto" w:fill="auto"/>
            <w:noWrap/>
            <w:vAlign w:val="center"/>
            <w:hideMark/>
          </w:tcPr>
          <w:p w14:paraId="41A3670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80,1</w:t>
            </w:r>
          </w:p>
        </w:tc>
        <w:tc>
          <w:tcPr>
            <w:tcW w:w="1277" w:type="dxa"/>
            <w:tcBorders>
              <w:top w:val="nil"/>
              <w:left w:val="nil"/>
              <w:bottom w:val="single" w:sz="4" w:space="0" w:color="000000"/>
              <w:right w:val="single" w:sz="4" w:space="0" w:color="000000"/>
            </w:tcBorders>
            <w:shd w:val="clear" w:color="auto" w:fill="auto"/>
            <w:noWrap/>
            <w:vAlign w:val="center"/>
            <w:hideMark/>
          </w:tcPr>
          <w:p w14:paraId="34B47E5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B5FA0AE"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noWrap/>
            <w:vAlign w:val="center"/>
            <w:hideMark/>
          </w:tcPr>
          <w:p w14:paraId="6EA3FB37"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0A65D16B"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4A81F31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658149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Среднегодовая численность постоянного населения</w:t>
            </w:r>
          </w:p>
        </w:tc>
        <w:tc>
          <w:tcPr>
            <w:tcW w:w="1151" w:type="dxa"/>
            <w:tcBorders>
              <w:top w:val="nil"/>
              <w:left w:val="nil"/>
              <w:bottom w:val="single" w:sz="4" w:space="0" w:color="auto"/>
              <w:right w:val="single" w:sz="4" w:space="0" w:color="auto"/>
            </w:tcBorders>
            <w:shd w:val="clear" w:color="000000" w:fill="FFFFFF"/>
            <w:hideMark/>
          </w:tcPr>
          <w:p w14:paraId="2C1AF77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Тысяча человек</w:t>
            </w:r>
          </w:p>
        </w:tc>
        <w:tc>
          <w:tcPr>
            <w:tcW w:w="992" w:type="dxa"/>
            <w:tcBorders>
              <w:top w:val="nil"/>
              <w:left w:val="nil"/>
              <w:bottom w:val="single" w:sz="4" w:space="0" w:color="auto"/>
              <w:right w:val="single" w:sz="4" w:space="0" w:color="auto"/>
            </w:tcBorders>
            <w:shd w:val="clear" w:color="000000" w:fill="FFFFFF"/>
            <w:hideMark/>
          </w:tcPr>
          <w:p w14:paraId="2195626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38</w:t>
            </w:r>
          </w:p>
        </w:tc>
        <w:tc>
          <w:tcPr>
            <w:tcW w:w="1276" w:type="dxa"/>
            <w:tcBorders>
              <w:top w:val="nil"/>
              <w:left w:val="nil"/>
              <w:bottom w:val="single" w:sz="4" w:space="0" w:color="000000"/>
              <w:right w:val="single" w:sz="4" w:space="0" w:color="000000"/>
            </w:tcBorders>
            <w:shd w:val="clear" w:color="auto" w:fill="auto"/>
            <w:noWrap/>
            <w:vAlign w:val="center"/>
            <w:hideMark/>
          </w:tcPr>
          <w:p w14:paraId="7AEC199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94,400</w:t>
            </w:r>
          </w:p>
        </w:tc>
        <w:tc>
          <w:tcPr>
            <w:tcW w:w="1275" w:type="dxa"/>
            <w:tcBorders>
              <w:top w:val="nil"/>
              <w:left w:val="nil"/>
              <w:bottom w:val="single" w:sz="4" w:space="0" w:color="000000"/>
              <w:right w:val="single" w:sz="4" w:space="0" w:color="000000"/>
            </w:tcBorders>
            <w:shd w:val="clear" w:color="auto" w:fill="auto"/>
            <w:noWrap/>
            <w:vAlign w:val="center"/>
            <w:hideMark/>
          </w:tcPr>
          <w:p w14:paraId="4E9FE8A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96,145</w:t>
            </w:r>
          </w:p>
        </w:tc>
        <w:tc>
          <w:tcPr>
            <w:tcW w:w="1275" w:type="dxa"/>
            <w:tcBorders>
              <w:top w:val="nil"/>
              <w:left w:val="nil"/>
              <w:bottom w:val="single" w:sz="4" w:space="0" w:color="000000"/>
              <w:right w:val="single" w:sz="4" w:space="0" w:color="000000"/>
            </w:tcBorders>
            <w:shd w:val="clear" w:color="auto" w:fill="auto"/>
            <w:noWrap/>
            <w:vAlign w:val="center"/>
            <w:hideMark/>
          </w:tcPr>
          <w:p w14:paraId="67AD9DF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97,814</w:t>
            </w:r>
          </w:p>
        </w:tc>
        <w:tc>
          <w:tcPr>
            <w:tcW w:w="1277" w:type="dxa"/>
            <w:tcBorders>
              <w:top w:val="nil"/>
              <w:left w:val="nil"/>
              <w:bottom w:val="single" w:sz="4" w:space="0" w:color="000000"/>
              <w:right w:val="single" w:sz="4" w:space="0" w:color="000000"/>
            </w:tcBorders>
            <w:shd w:val="clear" w:color="auto" w:fill="auto"/>
            <w:noWrap/>
            <w:vAlign w:val="center"/>
            <w:hideMark/>
          </w:tcPr>
          <w:p w14:paraId="0A930A1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99,600</w:t>
            </w:r>
          </w:p>
        </w:tc>
        <w:tc>
          <w:tcPr>
            <w:tcW w:w="1276" w:type="dxa"/>
            <w:tcBorders>
              <w:top w:val="nil"/>
              <w:left w:val="nil"/>
              <w:bottom w:val="single" w:sz="4" w:space="0" w:color="000000"/>
              <w:right w:val="single" w:sz="4" w:space="0" w:color="000000"/>
            </w:tcBorders>
            <w:shd w:val="clear" w:color="auto" w:fill="auto"/>
            <w:noWrap/>
            <w:vAlign w:val="center"/>
            <w:hideMark/>
          </w:tcPr>
          <w:p w14:paraId="45F7E9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101,400</w:t>
            </w:r>
          </w:p>
        </w:tc>
        <w:tc>
          <w:tcPr>
            <w:tcW w:w="1275" w:type="dxa"/>
            <w:tcBorders>
              <w:top w:val="nil"/>
              <w:left w:val="nil"/>
              <w:bottom w:val="single" w:sz="4" w:space="0" w:color="000000"/>
              <w:right w:val="single" w:sz="4" w:space="0" w:color="000000"/>
            </w:tcBorders>
            <w:shd w:val="clear" w:color="auto" w:fill="auto"/>
            <w:noWrap/>
            <w:vAlign w:val="center"/>
            <w:hideMark/>
          </w:tcPr>
          <w:p w14:paraId="52C5D41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103,200</w:t>
            </w:r>
          </w:p>
        </w:tc>
      </w:tr>
      <w:tr w:rsidR="00996507" w:rsidRPr="00996507" w14:paraId="7CF91E8D" w14:textId="77777777" w:rsidTr="00996507">
        <w:trPr>
          <w:trHeight w:val="510"/>
        </w:trPr>
        <w:tc>
          <w:tcPr>
            <w:tcW w:w="1701" w:type="dxa"/>
            <w:vMerge w:val="restart"/>
            <w:tcBorders>
              <w:top w:val="nil"/>
              <w:left w:val="single" w:sz="4" w:space="0" w:color="auto"/>
              <w:bottom w:val="single" w:sz="4" w:space="0" w:color="auto"/>
              <w:right w:val="single" w:sz="4" w:space="0" w:color="auto"/>
            </w:tcBorders>
            <w:shd w:val="clear" w:color="000000" w:fill="FFFFFF"/>
            <w:hideMark/>
          </w:tcPr>
          <w:p w14:paraId="7F1FBAA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Энергосбережение и повышение энергетической эффективности</w:t>
            </w:r>
          </w:p>
        </w:tc>
        <w:tc>
          <w:tcPr>
            <w:tcW w:w="4378" w:type="dxa"/>
            <w:tcBorders>
              <w:top w:val="nil"/>
              <w:left w:val="nil"/>
              <w:bottom w:val="single" w:sz="4" w:space="0" w:color="auto"/>
              <w:right w:val="single" w:sz="4" w:space="0" w:color="auto"/>
            </w:tcBorders>
            <w:shd w:val="clear" w:color="000000" w:fill="FFFFFF"/>
            <w:hideMark/>
          </w:tcPr>
          <w:p w14:paraId="7F488F2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в многоквартирных домах:</w:t>
            </w:r>
          </w:p>
        </w:tc>
        <w:tc>
          <w:tcPr>
            <w:tcW w:w="1151" w:type="dxa"/>
            <w:tcBorders>
              <w:top w:val="nil"/>
              <w:left w:val="nil"/>
              <w:bottom w:val="single" w:sz="4" w:space="0" w:color="auto"/>
              <w:right w:val="single" w:sz="4" w:space="0" w:color="auto"/>
            </w:tcBorders>
            <w:shd w:val="clear" w:color="000000" w:fill="FFFFFF"/>
            <w:hideMark/>
          </w:tcPr>
          <w:p w14:paraId="1DA7C59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4853511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w:t>
            </w:r>
          </w:p>
        </w:tc>
        <w:tc>
          <w:tcPr>
            <w:tcW w:w="1276" w:type="dxa"/>
            <w:tcBorders>
              <w:top w:val="nil"/>
              <w:left w:val="nil"/>
              <w:bottom w:val="single" w:sz="4" w:space="0" w:color="000000"/>
              <w:right w:val="single" w:sz="4" w:space="0" w:color="000000"/>
            </w:tcBorders>
            <w:shd w:val="clear" w:color="000000" w:fill="C0C0C0"/>
            <w:noWrap/>
            <w:vAlign w:val="center"/>
            <w:hideMark/>
          </w:tcPr>
          <w:p w14:paraId="3F5BFF5C"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476031E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50666D3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7" w:type="dxa"/>
            <w:tcBorders>
              <w:top w:val="nil"/>
              <w:left w:val="nil"/>
              <w:bottom w:val="single" w:sz="4" w:space="0" w:color="000000"/>
              <w:right w:val="single" w:sz="4" w:space="0" w:color="000000"/>
            </w:tcBorders>
            <w:shd w:val="clear" w:color="000000" w:fill="C0C0C0"/>
            <w:noWrap/>
            <w:vAlign w:val="center"/>
            <w:hideMark/>
          </w:tcPr>
          <w:p w14:paraId="0477AC39"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000000" w:fill="C0C0C0"/>
            <w:noWrap/>
            <w:vAlign w:val="center"/>
            <w:hideMark/>
          </w:tcPr>
          <w:p w14:paraId="7E16BBC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492DCC08"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777D5387" w14:textId="77777777" w:rsidTr="00996507">
        <w:trPr>
          <w:trHeight w:val="795"/>
        </w:trPr>
        <w:tc>
          <w:tcPr>
            <w:tcW w:w="1701" w:type="dxa"/>
            <w:vMerge/>
            <w:tcBorders>
              <w:top w:val="nil"/>
              <w:left w:val="single" w:sz="4" w:space="0" w:color="auto"/>
              <w:bottom w:val="single" w:sz="4" w:space="0" w:color="auto"/>
              <w:right w:val="single" w:sz="4" w:space="0" w:color="auto"/>
            </w:tcBorders>
            <w:vAlign w:val="center"/>
            <w:hideMark/>
          </w:tcPr>
          <w:p w14:paraId="7C160AA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4A34CB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в многоквартирных домах: электрическая энергия</w:t>
            </w:r>
          </w:p>
        </w:tc>
        <w:tc>
          <w:tcPr>
            <w:tcW w:w="1151" w:type="dxa"/>
            <w:tcBorders>
              <w:top w:val="nil"/>
              <w:left w:val="nil"/>
              <w:bottom w:val="single" w:sz="4" w:space="0" w:color="auto"/>
              <w:right w:val="single" w:sz="4" w:space="0" w:color="auto"/>
            </w:tcBorders>
            <w:shd w:val="clear" w:color="000000" w:fill="FFFFFF"/>
            <w:hideMark/>
          </w:tcPr>
          <w:p w14:paraId="37C2A3D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proofErr w:type="spellStart"/>
            <w:r w:rsidRPr="00996507">
              <w:rPr>
                <w:rFonts w:ascii="Times New Roman" w:eastAsia="Times New Roman" w:hAnsi="Times New Roman" w:cs="Times New Roman"/>
                <w:color w:val="000000"/>
                <w:sz w:val="20"/>
                <w:szCs w:val="20"/>
                <w:lang w:eastAsia="ru-RU"/>
              </w:rPr>
              <w:t>килловат</w:t>
            </w:r>
            <w:proofErr w:type="spellEnd"/>
            <w:r w:rsidRPr="00996507">
              <w:rPr>
                <w:rFonts w:ascii="Times New Roman" w:eastAsia="Times New Roman" w:hAnsi="Times New Roman" w:cs="Times New Roman"/>
                <w:color w:val="000000"/>
                <w:sz w:val="20"/>
                <w:szCs w:val="20"/>
                <w:lang w:eastAsia="ru-RU"/>
              </w:rPr>
              <w:t xml:space="preserve"> в час на 1 проживающего</w:t>
            </w:r>
          </w:p>
        </w:tc>
        <w:tc>
          <w:tcPr>
            <w:tcW w:w="992" w:type="dxa"/>
            <w:tcBorders>
              <w:top w:val="nil"/>
              <w:left w:val="nil"/>
              <w:bottom w:val="single" w:sz="4" w:space="0" w:color="auto"/>
              <w:right w:val="single" w:sz="4" w:space="0" w:color="auto"/>
            </w:tcBorders>
            <w:shd w:val="clear" w:color="000000" w:fill="FFFFFF"/>
            <w:hideMark/>
          </w:tcPr>
          <w:p w14:paraId="4113E16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39.1</w:t>
            </w:r>
          </w:p>
        </w:tc>
        <w:tc>
          <w:tcPr>
            <w:tcW w:w="1276" w:type="dxa"/>
            <w:tcBorders>
              <w:top w:val="nil"/>
              <w:left w:val="nil"/>
              <w:bottom w:val="single" w:sz="4" w:space="0" w:color="000000"/>
              <w:right w:val="single" w:sz="4" w:space="0" w:color="000000"/>
            </w:tcBorders>
            <w:shd w:val="clear" w:color="000000" w:fill="C0C0C0"/>
            <w:noWrap/>
            <w:vAlign w:val="center"/>
            <w:hideMark/>
          </w:tcPr>
          <w:p w14:paraId="32BAB05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908,00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F0AD7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870,71</w:t>
            </w:r>
          </w:p>
        </w:tc>
        <w:tc>
          <w:tcPr>
            <w:tcW w:w="1275" w:type="dxa"/>
            <w:tcBorders>
              <w:top w:val="nil"/>
              <w:left w:val="nil"/>
              <w:bottom w:val="single" w:sz="4" w:space="0" w:color="000000"/>
              <w:right w:val="single" w:sz="4" w:space="0" w:color="000000"/>
            </w:tcBorders>
            <w:shd w:val="clear" w:color="000000" w:fill="C0C0C0"/>
            <w:noWrap/>
            <w:vAlign w:val="center"/>
            <w:hideMark/>
          </w:tcPr>
          <w:p w14:paraId="1E0CC01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833,06</w:t>
            </w:r>
          </w:p>
        </w:tc>
        <w:tc>
          <w:tcPr>
            <w:tcW w:w="1277" w:type="dxa"/>
            <w:tcBorders>
              <w:top w:val="nil"/>
              <w:left w:val="nil"/>
              <w:bottom w:val="single" w:sz="4" w:space="0" w:color="000000"/>
              <w:right w:val="single" w:sz="4" w:space="0" w:color="000000"/>
            </w:tcBorders>
            <w:shd w:val="clear" w:color="000000" w:fill="C0C0C0"/>
            <w:noWrap/>
            <w:vAlign w:val="center"/>
            <w:hideMark/>
          </w:tcPr>
          <w:p w14:paraId="6A32925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812,26</w:t>
            </w:r>
          </w:p>
        </w:tc>
        <w:tc>
          <w:tcPr>
            <w:tcW w:w="1276" w:type="dxa"/>
            <w:tcBorders>
              <w:top w:val="nil"/>
              <w:left w:val="nil"/>
              <w:bottom w:val="single" w:sz="4" w:space="0" w:color="000000"/>
              <w:right w:val="single" w:sz="4" w:space="0" w:color="000000"/>
            </w:tcBorders>
            <w:shd w:val="clear" w:color="000000" w:fill="C0C0C0"/>
            <w:noWrap/>
            <w:vAlign w:val="center"/>
            <w:hideMark/>
          </w:tcPr>
          <w:p w14:paraId="3124045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791,46</w:t>
            </w:r>
          </w:p>
        </w:tc>
        <w:tc>
          <w:tcPr>
            <w:tcW w:w="1275" w:type="dxa"/>
            <w:tcBorders>
              <w:top w:val="nil"/>
              <w:left w:val="nil"/>
              <w:bottom w:val="single" w:sz="4" w:space="0" w:color="000000"/>
              <w:right w:val="single" w:sz="4" w:space="0" w:color="000000"/>
            </w:tcBorders>
            <w:shd w:val="clear" w:color="000000" w:fill="C0C0C0"/>
            <w:noWrap/>
            <w:vAlign w:val="center"/>
            <w:hideMark/>
          </w:tcPr>
          <w:p w14:paraId="4DC772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770,66</w:t>
            </w:r>
          </w:p>
        </w:tc>
      </w:tr>
      <w:tr w:rsidR="00996507" w:rsidRPr="00996507" w14:paraId="38BC4028"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1DFA480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5A9C9E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Суммарное потребление электроэнергии всеми МКД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7DB34D7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киловатт</w:t>
            </w:r>
          </w:p>
        </w:tc>
        <w:tc>
          <w:tcPr>
            <w:tcW w:w="992" w:type="dxa"/>
            <w:tcBorders>
              <w:top w:val="nil"/>
              <w:left w:val="nil"/>
              <w:bottom w:val="single" w:sz="4" w:space="0" w:color="auto"/>
              <w:right w:val="single" w:sz="4" w:space="0" w:color="auto"/>
            </w:tcBorders>
            <w:shd w:val="clear" w:color="000000" w:fill="FFFFFF"/>
            <w:hideMark/>
          </w:tcPr>
          <w:p w14:paraId="62B021C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39.1.1</w:t>
            </w:r>
          </w:p>
        </w:tc>
        <w:tc>
          <w:tcPr>
            <w:tcW w:w="1276" w:type="dxa"/>
            <w:tcBorders>
              <w:top w:val="nil"/>
              <w:left w:val="nil"/>
              <w:bottom w:val="single" w:sz="4" w:space="0" w:color="000000"/>
              <w:right w:val="single" w:sz="4" w:space="0" w:color="000000"/>
            </w:tcBorders>
            <w:shd w:val="clear" w:color="auto" w:fill="auto"/>
            <w:noWrap/>
            <w:vAlign w:val="center"/>
            <w:hideMark/>
          </w:tcPr>
          <w:p w14:paraId="1A0BBA4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81314 124,0</w:t>
            </w:r>
          </w:p>
        </w:tc>
        <w:tc>
          <w:tcPr>
            <w:tcW w:w="1275" w:type="dxa"/>
            <w:tcBorders>
              <w:top w:val="nil"/>
              <w:left w:val="nil"/>
              <w:bottom w:val="single" w:sz="4" w:space="0" w:color="000000"/>
              <w:right w:val="single" w:sz="4" w:space="0" w:color="000000"/>
            </w:tcBorders>
            <w:shd w:val="clear" w:color="auto" w:fill="auto"/>
            <w:noWrap/>
            <w:vAlign w:val="center"/>
            <w:hideMark/>
          </w:tcPr>
          <w:p w14:paraId="4EF56B5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81639 380,4</w:t>
            </w:r>
          </w:p>
        </w:tc>
        <w:tc>
          <w:tcPr>
            <w:tcW w:w="1275" w:type="dxa"/>
            <w:tcBorders>
              <w:top w:val="nil"/>
              <w:left w:val="nil"/>
              <w:bottom w:val="single" w:sz="4" w:space="0" w:color="000000"/>
              <w:right w:val="single" w:sz="4" w:space="0" w:color="000000"/>
            </w:tcBorders>
            <w:shd w:val="clear" w:color="auto" w:fill="auto"/>
            <w:noWrap/>
            <w:vAlign w:val="center"/>
            <w:hideMark/>
          </w:tcPr>
          <w:p w14:paraId="3822C72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79425 606,5</w:t>
            </w:r>
          </w:p>
        </w:tc>
        <w:tc>
          <w:tcPr>
            <w:tcW w:w="1277" w:type="dxa"/>
            <w:tcBorders>
              <w:top w:val="nil"/>
              <w:left w:val="nil"/>
              <w:bottom w:val="single" w:sz="4" w:space="0" w:color="000000"/>
              <w:right w:val="single" w:sz="4" w:space="0" w:color="000000"/>
            </w:tcBorders>
            <w:shd w:val="clear" w:color="auto" w:fill="auto"/>
            <w:noWrap/>
            <w:vAlign w:val="center"/>
            <w:hideMark/>
          </w:tcPr>
          <w:p w14:paraId="293E52D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78725 863,7</w:t>
            </w:r>
          </w:p>
        </w:tc>
        <w:tc>
          <w:tcPr>
            <w:tcW w:w="1276" w:type="dxa"/>
            <w:tcBorders>
              <w:top w:val="nil"/>
              <w:left w:val="nil"/>
              <w:bottom w:val="single" w:sz="4" w:space="0" w:color="000000"/>
              <w:right w:val="single" w:sz="4" w:space="0" w:color="000000"/>
            </w:tcBorders>
            <w:shd w:val="clear" w:color="auto" w:fill="auto"/>
            <w:noWrap/>
            <w:vAlign w:val="center"/>
            <w:hideMark/>
          </w:tcPr>
          <w:p w14:paraId="56FD0D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77960 392,9</w:t>
            </w:r>
          </w:p>
        </w:tc>
        <w:tc>
          <w:tcPr>
            <w:tcW w:w="1275" w:type="dxa"/>
            <w:tcBorders>
              <w:top w:val="nil"/>
              <w:left w:val="nil"/>
              <w:bottom w:val="single" w:sz="4" w:space="0" w:color="000000"/>
              <w:right w:val="single" w:sz="4" w:space="0" w:color="000000"/>
            </w:tcBorders>
            <w:shd w:val="clear" w:color="auto" w:fill="auto"/>
            <w:noWrap/>
            <w:vAlign w:val="center"/>
            <w:hideMark/>
          </w:tcPr>
          <w:p w14:paraId="44EC4F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77129 194,1</w:t>
            </w:r>
          </w:p>
        </w:tc>
      </w:tr>
      <w:tr w:rsidR="00996507" w:rsidRPr="00996507" w14:paraId="30054E05"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28F61C5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4AA1F5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проживающих в многоквартирных домах (с электроэнергией)</w:t>
            </w:r>
          </w:p>
        </w:tc>
        <w:tc>
          <w:tcPr>
            <w:tcW w:w="1151" w:type="dxa"/>
            <w:tcBorders>
              <w:top w:val="nil"/>
              <w:left w:val="nil"/>
              <w:bottom w:val="single" w:sz="4" w:space="0" w:color="auto"/>
              <w:right w:val="single" w:sz="4" w:space="0" w:color="auto"/>
            </w:tcBorders>
            <w:shd w:val="clear" w:color="000000" w:fill="FFFFFF"/>
            <w:hideMark/>
          </w:tcPr>
          <w:p w14:paraId="0D80BEA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1F1F883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39.1.2</w:t>
            </w:r>
          </w:p>
        </w:tc>
        <w:tc>
          <w:tcPr>
            <w:tcW w:w="1276" w:type="dxa"/>
            <w:tcBorders>
              <w:top w:val="nil"/>
              <w:left w:val="nil"/>
              <w:bottom w:val="single" w:sz="4" w:space="0" w:color="000000"/>
              <w:right w:val="single" w:sz="4" w:space="0" w:color="000000"/>
            </w:tcBorders>
            <w:shd w:val="clear" w:color="auto" w:fill="auto"/>
            <w:noWrap/>
            <w:vAlign w:val="center"/>
            <w:hideMark/>
          </w:tcPr>
          <w:p w14:paraId="17B903D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89 553,0</w:t>
            </w:r>
          </w:p>
        </w:tc>
        <w:tc>
          <w:tcPr>
            <w:tcW w:w="1275" w:type="dxa"/>
            <w:tcBorders>
              <w:top w:val="nil"/>
              <w:left w:val="nil"/>
              <w:bottom w:val="single" w:sz="4" w:space="0" w:color="000000"/>
              <w:right w:val="single" w:sz="4" w:space="0" w:color="000000"/>
            </w:tcBorders>
            <w:shd w:val="clear" w:color="auto" w:fill="auto"/>
            <w:noWrap/>
            <w:vAlign w:val="center"/>
            <w:hideMark/>
          </w:tcPr>
          <w:p w14:paraId="2FD422F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93 762,0</w:t>
            </w:r>
          </w:p>
        </w:tc>
        <w:tc>
          <w:tcPr>
            <w:tcW w:w="1275" w:type="dxa"/>
            <w:tcBorders>
              <w:top w:val="nil"/>
              <w:left w:val="nil"/>
              <w:bottom w:val="single" w:sz="4" w:space="0" w:color="000000"/>
              <w:right w:val="single" w:sz="4" w:space="0" w:color="000000"/>
            </w:tcBorders>
            <w:shd w:val="clear" w:color="auto" w:fill="auto"/>
            <w:noWrap/>
            <w:vAlign w:val="center"/>
            <w:hideMark/>
          </w:tcPr>
          <w:p w14:paraId="784F61B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95 342,0</w:t>
            </w:r>
          </w:p>
        </w:tc>
        <w:tc>
          <w:tcPr>
            <w:tcW w:w="1277" w:type="dxa"/>
            <w:tcBorders>
              <w:top w:val="nil"/>
              <w:left w:val="nil"/>
              <w:bottom w:val="single" w:sz="4" w:space="0" w:color="000000"/>
              <w:right w:val="single" w:sz="4" w:space="0" w:color="000000"/>
            </w:tcBorders>
            <w:shd w:val="clear" w:color="auto" w:fill="auto"/>
            <w:noWrap/>
            <w:vAlign w:val="center"/>
            <w:hideMark/>
          </w:tcPr>
          <w:p w14:paraId="18644B2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96 922,0</w:t>
            </w:r>
          </w:p>
        </w:tc>
        <w:tc>
          <w:tcPr>
            <w:tcW w:w="1276" w:type="dxa"/>
            <w:tcBorders>
              <w:top w:val="nil"/>
              <w:left w:val="nil"/>
              <w:bottom w:val="single" w:sz="4" w:space="0" w:color="000000"/>
              <w:right w:val="single" w:sz="4" w:space="0" w:color="000000"/>
            </w:tcBorders>
            <w:shd w:val="clear" w:color="auto" w:fill="auto"/>
            <w:noWrap/>
            <w:vAlign w:val="center"/>
            <w:hideMark/>
          </w:tcPr>
          <w:p w14:paraId="5AA2D38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98 502,0</w:t>
            </w:r>
          </w:p>
        </w:tc>
        <w:tc>
          <w:tcPr>
            <w:tcW w:w="1275" w:type="dxa"/>
            <w:tcBorders>
              <w:top w:val="nil"/>
              <w:left w:val="nil"/>
              <w:bottom w:val="single" w:sz="4" w:space="0" w:color="000000"/>
              <w:right w:val="single" w:sz="4" w:space="0" w:color="000000"/>
            </w:tcBorders>
            <w:shd w:val="clear" w:color="auto" w:fill="auto"/>
            <w:noWrap/>
            <w:vAlign w:val="center"/>
            <w:hideMark/>
          </w:tcPr>
          <w:p w14:paraId="3399D82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100 082,0</w:t>
            </w:r>
          </w:p>
        </w:tc>
      </w:tr>
      <w:tr w:rsidR="00996507" w:rsidRPr="00996507" w14:paraId="723B104B" w14:textId="77777777" w:rsidTr="00996507">
        <w:trPr>
          <w:trHeight w:val="780"/>
        </w:trPr>
        <w:tc>
          <w:tcPr>
            <w:tcW w:w="1701" w:type="dxa"/>
            <w:vMerge/>
            <w:tcBorders>
              <w:top w:val="nil"/>
              <w:left w:val="single" w:sz="4" w:space="0" w:color="auto"/>
              <w:bottom w:val="single" w:sz="4" w:space="0" w:color="auto"/>
              <w:right w:val="single" w:sz="4" w:space="0" w:color="auto"/>
            </w:tcBorders>
            <w:vAlign w:val="center"/>
            <w:hideMark/>
          </w:tcPr>
          <w:p w14:paraId="568EDC1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19E937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в многоквартирных домах: тепловая энергия</w:t>
            </w:r>
          </w:p>
        </w:tc>
        <w:tc>
          <w:tcPr>
            <w:tcW w:w="1151" w:type="dxa"/>
            <w:tcBorders>
              <w:top w:val="nil"/>
              <w:left w:val="nil"/>
              <w:bottom w:val="single" w:sz="4" w:space="0" w:color="auto"/>
              <w:right w:val="single" w:sz="4" w:space="0" w:color="auto"/>
            </w:tcBorders>
            <w:shd w:val="clear" w:color="000000" w:fill="FFFFFF"/>
            <w:hideMark/>
          </w:tcPr>
          <w:p w14:paraId="7B8BCA5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Гкал. на 1кв. метр общей площади</w:t>
            </w:r>
          </w:p>
        </w:tc>
        <w:tc>
          <w:tcPr>
            <w:tcW w:w="992" w:type="dxa"/>
            <w:tcBorders>
              <w:top w:val="nil"/>
              <w:left w:val="nil"/>
              <w:bottom w:val="single" w:sz="4" w:space="0" w:color="auto"/>
              <w:right w:val="single" w:sz="4" w:space="0" w:color="auto"/>
            </w:tcBorders>
            <w:shd w:val="clear" w:color="000000" w:fill="FFFFFF"/>
            <w:hideMark/>
          </w:tcPr>
          <w:p w14:paraId="3CDD64F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39.2</w:t>
            </w:r>
          </w:p>
        </w:tc>
        <w:tc>
          <w:tcPr>
            <w:tcW w:w="1276" w:type="dxa"/>
            <w:tcBorders>
              <w:top w:val="nil"/>
              <w:left w:val="nil"/>
              <w:bottom w:val="single" w:sz="4" w:space="0" w:color="000000"/>
              <w:right w:val="single" w:sz="4" w:space="0" w:color="000000"/>
            </w:tcBorders>
            <w:shd w:val="clear" w:color="000000" w:fill="C0C0C0"/>
            <w:noWrap/>
            <w:vAlign w:val="center"/>
            <w:hideMark/>
          </w:tcPr>
          <w:p w14:paraId="1476FBA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0,17</w:t>
            </w:r>
          </w:p>
        </w:tc>
        <w:tc>
          <w:tcPr>
            <w:tcW w:w="1275" w:type="dxa"/>
            <w:tcBorders>
              <w:top w:val="nil"/>
              <w:left w:val="nil"/>
              <w:bottom w:val="single" w:sz="4" w:space="0" w:color="000000"/>
              <w:right w:val="single" w:sz="4" w:space="0" w:color="000000"/>
            </w:tcBorders>
            <w:shd w:val="clear" w:color="000000" w:fill="C0C0C0"/>
            <w:noWrap/>
            <w:vAlign w:val="center"/>
            <w:hideMark/>
          </w:tcPr>
          <w:p w14:paraId="339FDC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0,17</w:t>
            </w:r>
          </w:p>
        </w:tc>
        <w:tc>
          <w:tcPr>
            <w:tcW w:w="1275" w:type="dxa"/>
            <w:tcBorders>
              <w:top w:val="nil"/>
              <w:left w:val="nil"/>
              <w:bottom w:val="single" w:sz="4" w:space="0" w:color="000000"/>
              <w:right w:val="single" w:sz="4" w:space="0" w:color="000000"/>
            </w:tcBorders>
            <w:shd w:val="clear" w:color="000000" w:fill="C0C0C0"/>
            <w:noWrap/>
            <w:vAlign w:val="center"/>
            <w:hideMark/>
          </w:tcPr>
          <w:p w14:paraId="16E771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0,17</w:t>
            </w:r>
          </w:p>
        </w:tc>
        <w:tc>
          <w:tcPr>
            <w:tcW w:w="1277" w:type="dxa"/>
            <w:tcBorders>
              <w:top w:val="nil"/>
              <w:left w:val="nil"/>
              <w:bottom w:val="single" w:sz="4" w:space="0" w:color="000000"/>
              <w:right w:val="single" w:sz="4" w:space="0" w:color="000000"/>
            </w:tcBorders>
            <w:shd w:val="clear" w:color="000000" w:fill="C0C0C0"/>
            <w:noWrap/>
            <w:vAlign w:val="center"/>
            <w:hideMark/>
          </w:tcPr>
          <w:p w14:paraId="47EFB17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0,16</w:t>
            </w:r>
          </w:p>
        </w:tc>
        <w:tc>
          <w:tcPr>
            <w:tcW w:w="1276" w:type="dxa"/>
            <w:tcBorders>
              <w:top w:val="nil"/>
              <w:left w:val="nil"/>
              <w:bottom w:val="single" w:sz="4" w:space="0" w:color="000000"/>
              <w:right w:val="single" w:sz="4" w:space="0" w:color="000000"/>
            </w:tcBorders>
            <w:shd w:val="clear" w:color="000000" w:fill="C0C0C0"/>
            <w:noWrap/>
            <w:vAlign w:val="center"/>
            <w:hideMark/>
          </w:tcPr>
          <w:p w14:paraId="5177CB3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0,15</w:t>
            </w:r>
          </w:p>
        </w:tc>
        <w:tc>
          <w:tcPr>
            <w:tcW w:w="1275" w:type="dxa"/>
            <w:tcBorders>
              <w:top w:val="nil"/>
              <w:left w:val="nil"/>
              <w:bottom w:val="single" w:sz="4" w:space="0" w:color="000000"/>
              <w:right w:val="single" w:sz="4" w:space="0" w:color="000000"/>
            </w:tcBorders>
            <w:shd w:val="clear" w:color="000000" w:fill="C0C0C0"/>
            <w:noWrap/>
            <w:vAlign w:val="center"/>
            <w:hideMark/>
          </w:tcPr>
          <w:p w14:paraId="7BBBE48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0,14</w:t>
            </w:r>
          </w:p>
        </w:tc>
      </w:tr>
      <w:tr w:rsidR="00996507" w:rsidRPr="00996507" w14:paraId="462CDC74"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5EECF3D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352B2C1"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потребленной тепловой энергии всеми МКД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56A06C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proofErr w:type="spellStart"/>
            <w:r w:rsidRPr="00996507">
              <w:rPr>
                <w:rFonts w:ascii="Times New Roman" w:eastAsia="Times New Roman" w:hAnsi="Times New Roman" w:cs="Times New Roman"/>
                <w:color w:val="000000"/>
                <w:sz w:val="20"/>
                <w:szCs w:val="20"/>
                <w:lang w:eastAsia="ru-RU"/>
              </w:rPr>
              <w:t>Гигакалория</w:t>
            </w:r>
            <w:proofErr w:type="spellEnd"/>
          </w:p>
        </w:tc>
        <w:tc>
          <w:tcPr>
            <w:tcW w:w="992" w:type="dxa"/>
            <w:tcBorders>
              <w:top w:val="nil"/>
              <w:left w:val="nil"/>
              <w:bottom w:val="single" w:sz="4" w:space="0" w:color="auto"/>
              <w:right w:val="single" w:sz="4" w:space="0" w:color="auto"/>
            </w:tcBorders>
            <w:shd w:val="clear" w:color="000000" w:fill="FFFFFF"/>
            <w:hideMark/>
          </w:tcPr>
          <w:p w14:paraId="636C9B6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39.2.1</w:t>
            </w:r>
          </w:p>
        </w:tc>
        <w:tc>
          <w:tcPr>
            <w:tcW w:w="1276" w:type="dxa"/>
            <w:tcBorders>
              <w:top w:val="nil"/>
              <w:left w:val="nil"/>
              <w:bottom w:val="single" w:sz="4" w:space="0" w:color="000000"/>
              <w:right w:val="single" w:sz="4" w:space="0" w:color="000000"/>
            </w:tcBorders>
            <w:shd w:val="clear" w:color="auto" w:fill="auto"/>
            <w:noWrap/>
            <w:vAlign w:val="center"/>
            <w:hideMark/>
          </w:tcPr>
          <w:p w14:paraId="5892269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252 110,1</w:t>
            </w:r>
          </w:p>
        </w:tc>
        <w:tc>
          <w:tcPr>
            <w:tcW w:w="1275" w:type="dxa"/>
            <w:tcBorders>
              <w:top w:val="nil"/>
              <w:left w:val="nil"/>
              <w:bottom w:val="single" w:sz="4" w:space="0" w:color="000000"/>
              <w:right w:val="single" w:sz="4" w:space="0" w:color="000000"/>
            </w:tcBorders>
            <w:shd w:val="clear" w:color="auto" w:fill="auto"/>
            <w:noWrap/>
            <w:vAlign w:val="center"/>
            <w:hideMark/>
          </w:tcPr>
          <w:p w14:paraId="79DF51D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251 605,9</w:t>
            </w:r>
          </w:p>
        </w:tc>
        <w:tc>
          <w:tcPr>
            <w:tcW w:w="1275" w:type="dxa"/>
            <w:tcBorders>
              <w:top w:val="nil"/>
              <w:left w:val="nil"/>
              <w:bottom w:val="single" w:sz="4" w:space="0" w:color="000000"/>
              <w:right w:val="single" w:sz="4" w:space="0" w:color="000000"/>
            </w:tcBorders>
            <w:shd w:val="clear" w:color="auto" w:fill="auto"/>
            <w:noWrap/>
            <w:vAlign w:val="center"/>
            <w:hideMark/>
          </w:tcPr>
          <w:p w14:paraId="075356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292 710,0</w:t>
            </w:r>
          </w:p>
        </w:tc>
        <w:tc>
          <w:tcPr>
            <w:tcW w:w="1277" w:type="dxa"/>
            <w:tcBorders>
              <w:top w:val="nil"/>
              <w:left w:val="nil"/>
              <w:bottom w:val="single" w:sz="4" w:space="0" w:color="000000"/>
              <w:right w:val="single" w:sz="4" w:space="0" w:color="000000"/>
            </w:tcBorders>
            <w:shd w:val="clear" w:color="auto" w:fill="auto"/>
            <w:noWrap/>
            <w:vAlign w:val="center"/>
            <w:hideMark/>
          </w:tcPr>
          <w:p w14:paraId="232C81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300 800,0</w:t>
            </w:r>
          </w:p>
        </w:tc>
        <w:tc>
          <w:tcPr>
            <w:tcW w:w="1276" w:type="dxa"/>
            <w:tcBorders>
              <w:top w:val="nil"/>
              <w:left w:val="nil"/>
              <w:bottom w:val="single" w:sz="4" w:space="0" w:color="000000"/>
              <w:right w:val="single" w:sz="4" w:space="0" w:color="000000"/>
            </w:tcBorders>
            <w:shd w:val="clear" w:color="auto" w:fill="auto"/>
            <w:noWrap/>
            <w:vAlign w:val="center"/>
            <w:hideMark/>
          </w:tcPr>
          <w:p w14:paraId="7D68EFD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297 900,0</w:t>
            </w:r>
          </w:p>
        </w:tc>
        <w:tc>
          <w:tcPr>
            <w:tcW w:w="1275" w:type="dxa"/>
            <w:tcBorders>
              <w:top w:val="nil"/>
              <w:left w:val="nil"/>
              <w:bottom w:val="single" w:sz="4" w:space="0" w:color="000000"/>
              <w:right w:val="single" w:sz="4" w:space="0" w:color="000000"/>
            </w:tcBorders>
            <w:shd w:val="clear" w:color="auto" w:fill="auto"/>
            <w:noWrap/>
            <w:vAlign w:val="center"/>
            <w:hideMark/>
          </w:tcPr>
          <w:p w14:paraId="3DC4E90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292 880,0</w:t>
            </w:r>
          </w:p>
        </w:tc>
      </w:tr>
      <w:tr w:rsidR="00996507" w:rsidRPr="00996507" w14:paraId="0CD3A9EC" w14:textId="77777777" w:rsidTr="00996507">
        <w:trPr>
          <w:trHeight w:val="375"/>
        </w:trPr>
        <w:tc>
          <w:tcPr>
            <w:tcW w:w="1701" w:type="dxa"/>
            <w:vMerge/>
            <w:tcBorders>
              <w:top w:val="nil"/>
              <w:left w:val="single" w:sz="4" w:space="0" w:color="auto"/>
              <w:bottom w:val="single" w:sz="4" w:space="0" w:color="auto"/>
              <w:right w:val="single" w:sz="4" w:space="0" w:color="auto"/>
            </w:tcBorders>
            <w:vAlign w:val="center"/>
            <w:hideMark/>
          </w:tcPr>
          <w:p w14:paraId="4212345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F6EE48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площадь многоквартирных домов</w:t>
            </w:r>
          </w:p>
        </w:tc>
        <w:tc>
          <w:tcPr>
            <w:tcW w:w="1151" w:type="dxa"/>
            <w:tcBorders>
              <w:top w:val="nil"/>
              <w:left w:val="nil"/>
              <w:bottom w:val="single" w:sz="4" w:space="0" w:color="auto"/>
              <w:right w:val="single" w:sz="4" w:space="0" w:color="auto"/>
            </w:tcBorders>
            <w:shd w:val="clear" w:color="000000" w:fill="FFFFFF"/>
            <w:hideMark/>
          </w:tcPr>
          <w:p w14:paraId="6C417FE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27D4CCF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39.2.2</w:t>
            </w:r>
          </w:p>
        </w:tc>
        <w:tc>
          <w:tcPr>
            <w:tcW w:w="1276" w:type="dxa"/>
            <w:tcBorders>
              <w:top w:val="nil"/>
              <w:left w:val="nil"/>
              <w:bottom w:val="single" w:sz="4" w:space="0" w:color="000000"/>
              <w:right w:val="single" w:sz="4" w:space="0" w:color="000000"/>
            </w:tcBorders>
            <w:shd w:val="clear" w:color="auto" w:fill="auto"/>
            <w:noWrap/>
            <w:vAlign w:val="center"/>
            <w:hideMark/>
          </w:tcPr>
          <w:p w14:paraId="29C7BF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1483 000,5</w:t>
            </w:r>
          </w:p>
        </w:tc>
        <w:tc>
          <w:tcPr>
            <w:tcW w:w="1275" w:type="dxa"/>
            <w:tcBorders>
              <w:top w:val="nil"/>
              <w:left w:val="nil"/>
              <w:bottom w:val="single" w:sz="4" w:space="0" w:color="000000"/>
              <w:right w:val="single" w:sz="4" w:space="0" w:color="000000"/>
            </w:tcBorders>
            <w:shd w:val="clear" w:color="auto" w:fill="auto"/>
            <w:noWrap/>
            <w:vAlign w:val="center"/>
            <w:hideMark/>
          </w:tcPr>
          <w:p w14:paraId="6F0D4BC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1494 864,5</w:t>
            </w:r>
          </w:p>
        </w:tc>
        <w:tc>
          <w:tcPr>
            <w:tcW w:w="1275" w:type="dxa"/>
            <w:tcBorders>
              <w:top w:val="nil"/>
              <w:left w:val="nil"/>
              <w:bottom w:val="single" w:sz="4" w:space="0" w:color="000000"/>
              <w:right w:val="single" w:sz="4" w:space="0" w:color="000000"/>
            </w:tcBorders>
            <w:shd w:val="clear" w:color="auto" w:fill="auto"/>
            <w:noWrap/>
            <w:vAlign w:val="center"/>
            <w:hideMark/>
          </w:tcPr>
          <w:p w14:paraId="6C22232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1774 000,0</w:t>
            </w:r>
          </w:p>
        </w:tc>
        <w:tc>
          <w:tcPr>
            <w:tcW w:w="1277" w:type="dxa"/>
            <w:tcBorders>
              <w:top w:val="nil"/>
              <w:left w:val="nil"/>
              <w:bottom w:val="single" w:sz="4" w:space="0" w:color="000000"/>
              <w:right w:val="single" w:sz="4" w:space="0" w:color="000000"/>
            </w:tcBorders>
            <w:shd w:val="clear" w:color="auto" w:fill="auto"/>
            <w:noWrap/>
            <w:vAlign w:val="center"/>
            <w:hideMark/>
          </w:tcPr>
          <w:p w14:paraId="74AAAE9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1880 000,0</w:t>
            </w:r>
          </w:p>
        </w:tc>
        <w:tc>
          <w:tcPr>
            <w:tcW w:w="1276" w:type="dxa"/>
            <w:tcBorders>
              <w:top w:val="nil"/>
              <w:left w:val="nil"/>
              <w:bottom w:val="single" w:sz="4" w:space="0" w:color="000000"/>
              <w:right w:val="single" w:sz="4" w:space="0" w:color="000000"/>
            </w:tcBorders>
            <w:shd w:val="clear" w:color="auto" w:fill="auto"/>
            <w:noWrap/>
            <w:vAlign w:val="center"/>
            <w:hideMark/>
          </w:tcPr>
          <w:p w14:paraId="52F885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1986 000,0</w:t>
            </w:r>
          </w:p>
        </w:tc>
        <w:tc>
          <w:tcPr>
            <w:tcW w:w="1275" w:type="dxa"/>
            <w:tcBorders>
              <w:top w:val="nil"/>
              <w:left w:val="nil"/>
              <w:bottom w:val="single" w:sz="4" w:space="0" w:color="000000"/>
              <w:right w:val="single" w:sz="4" w:space="0" w:color="000000"/>
            </w:tcBorders>
            <w:shd w:val="clear" w:color="auto" w:fill="auto"/>
            <w:noWrap/>
            <w:vAlign w:val="center"/>
            <w:hideMark/>
          </w:tcPr>
          <w:p w14:paraId="231C396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2092 000,0</w:t>
            </w:r>
          </w:p>
        </w:tc>
      </w:tr>
      <w:tr w:rsidR="00996507" w:rsidRPr="00996507" w14:paraId="7BB6B2B2" w14:textId="77777777" w:rsidTr="00996507">
        <w:trPr>
          <w:trHeight w:val="780"/>
        </w:trPr>
        <w:tc>
          <w:tcPr>
            <w:tcW w:w="1701" w:type="dxa"/>
            <w:vMerge/>
            <w:tcBorders>
              <w:top w:val="nil"/>
              <w:left w:val="single" w:sz="4" w:space="0" w:color="auto"/>
              <w:bottom w:val="single" w:sz="4" w:space="0" w:color="auto"/>
              <w:right w:val="single" w:sz="4" w:space="0" w:color="auto"/>
            </w:tcBorders>
            <w:vAlign w:val="center"/>
            <w:hideMark/>
          </w:tcPr>
          <w:p w14:paraId="2F2A735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A988C3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в многоквартирных домах: горячая вода</w:t>
            </w:r>
          </w:p>
        </w:tc>
        <w:tc>
          <w:tcPr>
            <w:tcW w:w="1151" w:type="dxa"/>
            <w:tcBorders>
              <w:top w:val="nil"/>
              <w:left w:val="nil"/>
              <w:bottom w:val="single" w:sz="4" w:space="0" w:color="auto"/>
              <w:right w:val="single" w:sz="4" w:space="0" w:color="auto"/>
            </w:tcBorders>
            <w:shd w:val="clear" w:color="000000" w:fill="FFFFFF"/>
            <w:hideMark/>
          </w:tcPr>
          <w:p w14:paraId="1947836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6789D2F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39.3</w:t>
            </w:r>
          </w:p>
        </w:tc>
        <w:tc>
          <w:tcPr>
            <w:tcW w:w="1276" w:type="dxa"/>
            <w:tcBorders>
              <w:top w:val="nil"/>
              <w:left w:val="nil"/>
              <w:bottom w:val="single" w:sz="4" w:space="0" w:color="000000"/>
              <w:right w:val="single" w:sz="4" w:space="0" w:color="000000"/>
            </w:tcBorders>
            <w:shd w:val="clear" w:color="000000" w:fill="C0C0C0"/>
            <w:noWrap/>
            <w:vAlign w:val="center"/>
            <w:hideMark/>
          </w:tcPr>
          <w:p w14:paraId="2D6E92C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14,06</w:t>
            </w:r>
          </w:p>
        </w:tc>
        <w:tc>
          <w:tcPr>
            <w:tcW w:w="1275" w:type="dxa"/>
            <w:tcBorders>
              <w:top w:val="nil"/>
              <w:left w:val="nil"/>
              <w:bottom w:val="single" w:sz="4" w:space="0" w:color="000000"/>
              <w:right w:val="single" w:sz="4" w:space="0" w:color="000000"/>
            </w:tcBorders>
            <w:shd w:val="clear" w:color="000000" w:fill="C0C0C0"/>
            <w:noWrap/>
            <w:vAlign w:val="center"/>
            <w:hideMark/>
          </w:tcPr>
          <w:p w14:paraId="06011E8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13,55</w:t>
            </w:r>
          </w:p>
        </w:tc>
        <w:tc>
          <w:tcPr>
            <w:tcW w:w="1275" w:type="dxa"/>
            <w:tcBorders>
              <w:top w:val="nil"/>
              <w:left w:val="nil"/>
              <w:bottom w:val="single" w:sz="4" w:space="0" w:color="000000"/>
              <w:right w:val="single" w:sz="4" w:space="0" w:color="000000"/>
            </w:tcBorders>
            <w:shd w:val="clear" w:color="000000" w:fill="C0C0C0"/>
            <w:noWrap/>
            <w:vAlign w:val="center"/>
            <w:hideMark/>
          </w:tcPr>
          <w:p w14:paraId="73FDEDA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13,28</w:t>
            </w:r>
          </w:p>
        </w:tc>
        <w:tc>
          <w:tcPr>
            <w:tcW w:w="1277" w:type="dxa"/>
            <w:tcBorders>
              <w:top w:val="nil"/>
              <w:left w:val="nil"/>
              <w:bottom w:val="single" w:sz="4" w:space="0" w:color="000000"/>
              <w:right w:val="single" w:sz="4" w:space="0" w:color="000000"/>
            </w:tcBorders>
            <w:shd w:val="clear" w:color="000000" w:fill="C0C0C0"/>
            <w:noWrap/>
            <w:vAlign w:val="center"/>
            <w:hideMark/>
          </w:tcPr>
          <w:p w14:paraId="6F92DE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12,42</w:t>
            </w:r>
          </w:p>
        </w:tc>
        <w:tc>
          <w:tcPr>
            <w:tcW w:w="1276" w:type="dxa"/>
            <w:tcBorders>
              <w:top w:val="nil"/>
              <w:left w:val="nil"/>
              <w:bottom w:val="single" w:sz="4" w:space="0" w:color="000000"/>
              <w:right w:val="single" w:sz="4" w:space="0" w:color="000000"/>
            </w:tcBorders>
            <w:shd w:val="clear" w:color="000000" w:fill="C0C0C0"/>
            <w:noWrap/>
            <w:vAlign w:val="center"/>
            <w:hideMark/>
          </w:tcPr>
          <w:p w14:paraId="707890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12,40</w:t>
            </w:r>
          </w:p>
        </w:tc>
        <w:tc>
          <w:tcPr>
            <w:tcW w:w="1275" w:type="dxa"/>
            <w:tcBorders>
              <w:top w:val="nil"/>
              <w:left w:val="nil"/>
              <w:bottom w:val="single" w:sz="4" w:space="0" w:color="000000"/>
              <w:right w:val="single" w:sz="4" w:space="0" w:color="000000"/>
            </w:tcBorders>
            <w:shd w:val="clear" w:color="000000" w:fill="C0C0C0"/>
            <w:noWrap/>
            <w:vAlign w:val="center"/>
            <w:hideMark/>
          </w:tcPr>
          <w:p w14:paraId="5C3BC30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11,82</w:t>
            </w:r>
          </w:p>
        </w:tc>
      </w:tr>
      <w:tr w:rsidR="00996507" w:rsidRPr="00996507" w14:paraId="54063B24"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AF242D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AFBD6D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потребленной горячей воды всеми МКД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1A6E366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1128B7C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39.3.1</w:t>
            </w:r>
          </w:p>
        </w:tc>
        <w:tc>
          <w:tcPr>
            <w:tcW w:w="1276" w:type="dxa"/>
            <w:tcBorders>
              <w:top w:val="nil"/>
              <w:left w:val="nil"/>
              <w:bottom w:val="single" w:sz="4" w:space="0" w:color="000000"/>
              <w:right w:val="single" w:sz="4" w:space="0" w:color="000000"/>
            </w:tcBorders>
            <w:shd w:val="clear" w:color="auto" w:fill="auto"/>
            <w:noWrap/>
            <w:vAlign w:val="center"/>
            <w:hideMark/>
          </w:tcPr>
          <w:p w14:paraId="621FEC6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444 492,8</w:t>
            </w:r>
          </w:p>
        </w:tc>
        <w:tc>
          <w:tcPr>
            <w:tcW w:w="1275" w:type="dxa"/>
            <w:tcBorders>
              <w:top w:val="nil"/>
              <w:left w:val="nil"/>
              <w:bottom w:val="single" w:sz="4" w:space="0" w:color="000000"/>
              <w:right w:val="single" w:sz="4" w:space="0" w:color="000000"/>
            </w:tcBorders>
            <w:shd w:val="clear" w:color="auto" w:fill="auto"/>
            <w:noWrap/>
            <w:vAlign w:val="center"/>
            <w:hideMark/>
          </w:tcPr>
          <w:p w14:paraId="7DBDA08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474 497,0</w:t>
            </w:r>
          </w:p>
        </w:tc>
        <w:tc>
          <w:tcPr>
            <w:tcW w:w="1275" w:type="dxa"/>
            <w:tcBorders>
              <w:top w:val="nil"/>
              <w:left w:val="nil"/>
              <w:bottom w:val="single" w:sz="4" w:space="0" w:color="000000"/>
              <w:right w:val="single" w:sz="4" w:space="0" w:color="000000"/>
            </w:tcBorders>
            <w:shd w:val="clear" w:color="auto" w:fill="auto"/>
            <w:noWrap/>
            <w:vAlign w:val="center"/>
            <w:hideMark/>
          </w:tcPr>
          <w:p w14:paraId="6EC37AA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506 140,6</w:t>
            </w:r>
          </w:p>
        </w:tc>
        <w:tc>
          <w:tcPr>
            <w:tcW w:w="1277" w:type="dxa"/>
            <w:tcBorders>
              <w:top w:val="nil"/>
              <w:left w:val="nil"/>
              <w:bottom w:val="single" w:sz="4" w:space="0" w:color="000000"/>
              <w:right w:val="single" w:sz="4" w:space="0" w:color="000000"/>
            </w:tcBorders>
            <w:shd w:val="clear" w:color="auto" w:fill="auto"/>
            <w:noWrap/>
            <w:vAlign w:val="center"/>
            <w:hideMark/>
          </w:tcPr>
          <w:p w14:paraId="5C46752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519 329,9</w:t>
            </w:r>
          </w:p>
        </w:tc>
        <w:tc>
          <w:tcPr>
            <w:tcW w:w="1276" w:type="dxa"/>
            <w:tcBorders>
              <w:top w:val="nil"/>
              <w:left w:val="nil"/>
              <w:bottom w:val="single" w:sz="4" w:space="0" w:color="000000"/>
              <w:right w:val="single" w:sz="4" w:space="0" w:color="000000"/>
            </w:tcBorders>
            <w:shd w:val="clear" w:color="auto" w:fill="auto"/>
            <w:noWrap/>
            <w:vAlign w:val="center"/>
            <w:hideMark/>
          </w:tcPr>
          <w:p w14:paraId="16090A1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560 653,6</w:t>
            </w:r>
          </w:p>
        </w:tc>
        <w:tc>
          <w:tcPr>
            <w:tcW w:w="1275" w:type="dxa"/>
            <w:tcBorders>
              <w:top w:val="nil"/>
              <w:left w:val="nil"/>
              <w:bottom w:val="single" w:sz="4" w:space="0" w:color="000000"/>
              <w:right w:val="single" w:sz="4" w:space="0" w:color="000000"/>
            </w:tcBorders>
            <w:shd w:val="clear" w:color="auto" w:fill="auto"/>
            <w:noWrap/>
            <w:vAlign w:val="center"/>
            <w:hideMark/>
          </w:tcPr>
          <w:p w14:paraId="73D52C0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574 617,5</w:t>
            </w:r>
          </w:p>
        </w:tc>
      </w:tr>
      <w:tr w:rsidR="00996507" w:rsidRPr="00996507" w14:paraId="28AD0E61"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0E17BC0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F9449B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проживающих в многоквартирных домах (с горячей водой)</w:t>
            </w:r>
          </w:p>
        </w:tc>
        <w:tc>
          <w:tcPr>
            <w:tcW w:w="1151" w:type="dxa"/>
            <w:tcBorders>
              <w:top w:val="nil"/>
              <w:left w:val="nil"/>
              <w:bottom w:val="single" w:sz="4" w:space="0" w:color="auto"/>
              <w:right w:val="single" w:sz="4" w:space="0" w:color="auto"/>
            </w:tcBorders>
            <w:shd w:val="clear" w:color="000000" w:fill="FFFFFF"/>
            <w:hideMark/>
          </w:tcPr>
          <w:p w14:paraId="36DD5CD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653F1F4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39.3.2</w:t>
            </w:r>
          </w:p>
        </w:tc>
        <w:tc>
          <w:tcPr>
            <w:tcW w:w="1276" w:type="dxa"/>
            <w:tcBorders>
              <w:top w:val="nil"/>
              <w:left w:val="nil"/>
              <w:bottom w:val="single" w:sz="4" w:space="0" w:color="000000"/>
              <w:right w:val="single" w:sz="4" w:space="0" w:color="000000"/>
            </w:tcBorders>
            <w:shd w:val="clear" w:color="auto" w:fill="auto"/>
            <w:noWrap/>
            <w:vAlign w:val="center"/>
            <w:hideMark/>
          </w:tcPr>
          <w:p w14:paraId="41A101E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31 614,0</w:t>
            </w:r>
          </w:p>
        </w:tc>
        <w:tc>
          <w:tcPr>
            <w:tcW w:w="1275" w:type="dxa"/>
            <w:tcBorders>
              <w:top w:val="nil"/>
              <w:left w:val="nil"/>
              <w:bottom w:val="single" w:sz="4" w:space="0" w:color="000000"/>
              <w:right w:val="single" w:sz="4" w:space="0" w:color="000000"/>
            </w:tcBorders>
            <w:shd w:val="clear" w:color="auto" w:fill="auto"/>
            <w:noWrap/>
            <w:vAlign w:val="center"/>
            <w:hideMark/>
          </w:tcPr>
          <w:p w14:paraId="58D3AD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35 014,0</w:t>
            </w:r>
          </w:p>
        </w:tc>
        <w:tc>
          <w:tcPr>
            <w:tcW w:w="1275" w:type="dxa"/>
            <w:tcBorders>
              <w:top w:val="nil"/>
              <w:left w:val="nil"/>
              <w:bottom w:val="single" w:sz="4" w:space="0" w:color="000000"/>
              <w:right w:val="single" w:sz="4" w:space="0" w:color="000000"/>
            </w:tcBorders>
            <w:shd w:val="clear" w:color="auto" w:fill="auto"/>
            <w:noWrap/>
            <w:vAlign w:val="center"/>
            <w:hideMark/>
          </w:tcPr>
          <w:p w14:paraId="4BC611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38 113,0</w:t>
            </w:r>
          </w:p>
        </w:tc>
        <w:tc>
          <w:tcPr>
            <w:tcW w:w="1277" w:type="dxa"/>
            <w:tcBorders>
              <w:top w:val="nil"/>
              <w:left w:val="nil"/>
              <w:bottom w:val="single" w:sz="4" w:space="0" w:color="000000"/>
              <w:right w:val="single" w:sz="4" w:space="0" w:color="000000"/>
            </w:tcBorders>
            <w:shd w:val="clear" w:color="auto" w:fill="auto"/>
            <w:noWrap/>
            <w:vAlign w:val="center"/>
            <w:hideMark/>
          </w:tcPr>
          <w:p w14:paraId="088FF43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41 814,0</w:t>
            </w:r>
          </w:p>
        </w:tc>
        <w:tc>
          <w:tcPr>
            <w:tcW w:w="1276" w:type="dxa"/>
            <w:tcBorders>
              <w:top w:val="nil"/>
              <w:left w:val="nil"/>
              <w:bottom w:val="single" w:sz="4" w:space="0" w:color="000000"/>
              <w:right w:val="single" w:sz="4" w:space="0" w:color="000000"/>
            </w:tcBorders>
            <w:shd w:val="clear" w:color="auto" w:fill="auto"/>
            <w:noWrap/>
            <w:vAlign w:val="center"/>
            <w:hideMark/>
          </w:tcPr>
          <w:p w14:paraId="15992F3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45 214,0</w:t>
            </w:r>
          </w:p>
        </w:tc>
        <w:tc>
          <w:tcPr>
            <w:tcW w:w="1275" w:type="dxa"/>
            <w:tcBorders>
              <w:top w:val="nil"/>
              <w:left w:val="nil"/>
              <w:bottom w:val="single" w:sz="4" w:space="0" w:color="000000"/>
              <w:right w:val="single" w:sz="4" w:space="0" w:color="000000"/>
            </w:tcBorders>
            <w:shd w:val="clear" w:color="auto" w:fill="auto"/>
            <w:noWrap/>
            <w:vAlign w:val="center"/>
            <w:hideMark/>
          </w:tcPr>
          <w:p w14:paraId="30B4F1C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48 614,0</w:t>
            </w:r>
          </w:p>
        </w:tc>
      </w:tr>
      <w:tr w:rsidR="00996507" w:rsidRPr="00996507" w14:paraId="11E40037" w14:textId="77777777" w:rsidTr="00996507">
        <w:trPr>
          <w:trHeight w:val="1080"/>
        </w:trPr>
        <w:tc>
          <w:tcPr>
            <w:tcW w:w="1701" w:type="dxa"/>
            <w:vMerge/>
            <w:tcBorders>
              <w:top w:val="nil"/>
              <w:left w:val="single" w:sz="4" w:space="0" w:color="auto"/>
              <w:bottom w:val="single" w:sz="4" w:space="0" w:color="auto"/>
              <w:right w:val="single" w:sz="4" w:space="0" w:color="auto"/>
            </w:tcBorders>
            <w:vAlign w:val="center"/>
            <w:hideMark/>
          </w:tcPr>
          <w:p w14:paraId="120D6EF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866B76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в многоквартирных домах: холодная вода</w:t>
            </w:r>
          </w:p>
        </w:tc>
        <w:tc>
          <w:tcPr>
            <w:tcW w:w="1151" w:type="dxa"/>
            <w:tcBorders>
              <w:top w:val="nil"/>
              <w:left w:val="nil"/>
              <w:bottom w:val="single" w:sz="4" w:space="0" w:color="auto"/>
              <w:right w:val="single" w:sz="4" w:space="0" w:color="auto"/>
            </w:tcBorders>
            <w:shd w:val="clear" w:color="000000" w:fill="FFFFFF"/>
            <w:hideMark/>
          </w:tcPr>
          <w:p w14:paraId="07968A57"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3545ED9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39.4</w:t>
            </w:r>
          </w:p>
        </w:tc>
        <w:tc>
          <w:tcPr>
            <w:tcW w:w="1276" w:type="dxa"/>
            <w:tcBorders>
              <w:top w:val="nil"/>
              <w:left w:val="nil"/>
              <w:bottom w:val="single" w:sz="4" w:space="0" w:color="000000"/>
              <w:right w:val="single" w:sz="4" w:space="0" w:color="000000"/>
            </w:tcBorders>
            <w:shd w:val="clear" w:color="000000" w:fill="C0C0C0"/>
            <w:noWrap/>
            <w:vAlign w:val="center"/>
            <w:hideMark/>
          </w:tcPr>
          <w:p w14:paraId="56B9A13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27,86</w:t>
            </w:r>
          </w:p>
        </w:tc>
        <w:tc>
          <w:tcPr>
            <w:tcW w:w="1275" w:type="dxa"/>
            <w:tcBorders>
              <w:top w:val="nil"/>
              <w:left w:val="nil"/>
              <w:bottom w:val="single" w:sz="4" w:space="0" w:color="000000"/>
              <w:right w:val="single" w:sz="4" w:space="0" w:color="000000"/>
            </w:tcBorders>
            <w:shd w:val="clear" w:color="000000" w:fill="C0C0C0"/>
            <w:noWrap/>
            <w:vAlign w:val="center"/>
            <w:hideMark/>
          </w:tcPr>
          <w:p w14:paraId="2A6A74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27,25</w:t>
            </w:r>
          </w:p>
        </w:tc>
        <w:tc>
          <w:tcPr>
            <w:tcW w:w="1275" w:type="dxa"/>
            <w:tcBorders>
              <w:top w:val="nil"/>
              <w:left w:val="nil"/>
              <w:bottom w:val="single" w:sz="4" w:space="0" w:color="000000"/>
              <w:right w:val="single" w:sz="4" w:space="0" w:color="000000"/>
            </w:tcBorders>
            <w:shd w:val="clear" w:color="000000" w:fill="C0C0C0"/>
            <w:noWrap/>
            <w:vAlign w:val="center"/>
            <w:hideMark/>
          </w:tcPr>
          <w:p w14:paraId="50F6C65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26,30</w:t>
            </w:r>
          </w:p>
        </w:tc>
        <w:tc>
          <w:tcPr>
            <w:tcW w:w="1277" w:type="dxa"/>
            <w:tcBorders>
              <w:top w:val="nil"/>
              <w:left w:val="nil"/>
              <w:bottom w:val="single" w:sz="4" w:space="0" w:color="000000"/>
              <w:right w:val="single" w:sz="4" w:space="0" w:color="000000"/>
            </w:tcBorders>
            <w:shd w:val="clear" w:color="000000" w:fill="C0C0C0"/>
            <w:noWrap/>
            <w:vAlign w:val="center"/>
            <w:hideMark/>
          </w:tcPr>
          <w:p w14:paraId="2624176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26,20</w:t>
            </w:r>
          </w:p>
        </w:tc>
        <w:tc>
          <w:tcPr>
            <w:tcW w:w="1276" w:type="dxa"/>
            <w:tcBorders>
              <w:top w:val="nil"/>
              <w:left w:val="nil"/>
              <w:bottom w:val="single" w:sz="4" w:space="0" w:color="000000"/>
              <w:right w:val="single" w:sz="4" w:space="0" w:color="000000"/>
            </w:tcBorders>
            <w:shd w:val="clear" w:color="000000" w:fill="C0C0C0"/>
            <w:noWrap/>
            <w:vAlign w:val="center"/>
            <w:hideMark/>
          </w:tcPr>
          <w:p w14:paraId="51A39B4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26,00</w:t>
            </w:r>
          </w:p>
        </w:tc>
        <w:tc>
          <w:tcPr>
            <w:tcW w:w="1275" w:type="dxa"/>
            <w:tcBorders>
              <w:top w:val="nil"/>
              <w:left w:val="nil"/>
              <w:bottom w:val="single" w:sz="4" w:space="0" w:color="000000"/>
              <w:right w:val="single" w:sz="4" w:space="0" w:color="000000"/>
            </w:tcBorders>
            <w:shd w:val="clear" w:color="000000" w:fill="C0C0C0"/>
            <w:noWrap/>
            <w:vAlign w:val="center"/>
            <w:hideMark/>
          </w:tcPr>
          <w:p w14:paraId="0C897F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25,80</w:t>
            </w:r>
          </w:p>
        </w:tc>
      </w:tr>
      <w:tr w:rsidR="00996507" w:rsidRPr="00996507" w14:paraId="2213497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72E8ED6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CE8AE28"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потребленной холодной воды всеми МКД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356E2CA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5EB3700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39.4.1</w:t>
            </w:r>
          </w:p>
        </w:tc>
        <w:tc>
          <w:tcPr>
            <w:tcW w:w="1276" w:type="dxa"/>
            <w:tcBorders>
              <w:top w:val="nil"/>
              <w:left w:val="nil"/>
              <w:bottom w:val="single" w:sz="4" w:space="0" w:color="000000"/>
              <w:right w:val="single" w:sz="4" w:space="0" w:color="000000"/>
            </w:tcBorders>
            <w:shd w:val="clear" w:color="auto" w:fill="auto"/>
            <w:noWrap/>
            <w:vAlign w:val="center"/>
            <w:hideMark/>
          </w:tcPr>
          <w:p w14:paraId="24DCF42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2494 946,6</w:t>
            </w:r>
          </w:p>
        </w:tc>
        <w:tc>
          <w:tcPr>
            <w:tcW w:w="1275" w:type="dxa"/>
            <w:tcBorders>
              <w:top w:val="nil"/>
              <w:left w:val="nil"/>
              <w:bottom w:val="single" w:sz="4" w:space="0" w:color="000000"/>
              <w:right w:val="single" w:sz="4" w:space="0" w:color="000000"/>
            </w:tcBorders>
            <w:shd w:val="clear" w:color="auto" w:fill="auto"/>
            <w:noWrap/>
            <w:vAlign w:val="center"/>
            <w:hideMark/>
          </w:tcPr>
          <w:p w14:paraId="4B8FB74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2586 510,0</w:t>
            </w:r>
          </w:p>
        </w:tc>
        <w:tc>
          <w:tcPr>
            <w:tcW w:w="1275" w:type="dxa"/>
            <w:tcBorders>
              <w:top w:val="nil"/>
              <w:left w:val="nil"/>
              <w:bottom w:val="single" w:sz="4" w:space="0" w:color="000000"/>
              <w:right w:val="single" w:sz="4" w:space="0" w:color="000000"/>
            </w:tcBorders>
            <w:shd w:val="clear" w:color="auto" w:fill="auto"/>
            <w:noWrap/>
            <w:vAlign w:val="center"/>
            <w:hideMark/>
          </w:tcPr>
          <w:p w14:paraId="637674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2527 982,3</w:t>
            </w:r>
          </w:p>
        </w:tc>
        <w:tc>
          <w:tcPr>
            <w:tcW w:w="1277" w:type="dxa"/>
            <w:tcBorders>
              <w:top w:val="nil"/>
              <w:left w:val="nil"/>
              <w:bottom w:val="single" w:sz="4" w:space="0" w:color="000000"/>
              <w:right w:val="single" w:sz="4" w:space="0" w:color="000000"/>
            </w:tcBorders>
            <w:shd w:val="clear" w:color="auto" w:fill="auto"/>
            <w:noWrap/>
            <w:vAlign w:val="center"/>
            <w:hideMark/>
          </w:tcPr>
          <w:p w14:paraId="5261748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2549 679,2</w:t>
            </w:r>
          </w:p>
        </w:tc>
        <w:tc>
          <w:tcPr>
            <w:tcW w:w="1276" w:type="dxa"/>
            <w:tcBorders>
              <w:top w:val="nil"/>
              <w:left w:val="nil"/>
              <w:bottom w:val="single" w:sz="4" w:space="0" w:color="000000"/>
              <w:right w:val="single" w:sz="4" w:space="0" w:color="000000"/>
            </w:tcBorders>
            <w:shd w:val="clear" w:color="auto" w:fill="auto"/>
            <w:noWrap/>
            <w:vAlign w:val="center"/>
            <w:hideMark/>
          </w:tcPr>
          <w:p w14:paraId="7FC020D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2561 286,0</w:t>
            </w:r>
          </w:p>
        </w:tc>
        <w:tc>
          <w:tcPr>
            <w:tcW w:w="1275" w:type="dxa"/>
            <w:tcBorders>
              <w:top w:val="nil"/>
              <w:left w:val="nil"/>
              <w:bottom w:val="single" w:sz="4" w:space="0" w:color="000000"/>
              <w:right w:val="single" w:sz="4" w:space="0" w:color="000000"/>
            </w:tcBorders>
            <w:shd w:val="clear" w:color="auto" w:fill="auto"/>
            <w:noWrap/>
            <w:vAlign w:val="center"/>
            <w:hideMark/>
          </w:tcPr>
          <w:p w14:paraId="08B8514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2572 414,8</w:t>
            </w:r>
          </w:p>
        </w:tc>
      </w:tr>
      <w:tr w:rsidR="00996507" w:rsidRPr="00996507" w14:paraId="1BF6FDBE"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58F736C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1EFE09A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проживающих в многоквартирных домах (с холодной водой)</w:t>
            </w:r>
          </w:p>
        </w:tc>
        <w:tc>
          <w:tcPr>
            <w:tcW w:w="1151" w:type="dxa"/>
            <w:tcBorders>
              <w:top w:val="nil"/>
              <w:left w:val="nil"/>
              <w:bottom w:val="single" w:sz="4" w:space="0" w:color="auto"/>
              <w:right w:val="single" w:sz="4" w:space="0" w:color="auto"/>
            </w:tcBorders>
            <w:shd w:val="clear" w:color="000000" w:fill="FFFFFF"/>
            <w:hideMark/>
          </w:tcPr>
          <w:p w14:paraId="12C5017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2AD61C1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39.4.2</w:t>
            </w:r>
          </w:p>
        </w:tc>
        <w:tc>
          <w:tcPr>
            <w:tcW w:w="1276" w:type="dxa"/>
            <w:tcBorders>
              <w:top w:val="nil"/>
              <w:left w:val="nil"/>
              <w:bottom w:val="single" w:sz="4" w:space="0" w:color="000000"/>
              <w:right w:val="single" w:sz="4" w:space="0" w:color="000000"/>
            </w:tcBorders>
            <w:shd w:val="clear" w:color="auto" w:fill="auto"/>
            <w:noWrap/>
            <w:vAlign w:val="center"/>
            <w:hideMark/>
          </w:tcPr>
          <w:p w14:paraId="7301048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89 553,0</w:t>
            </w:r>
          </w:p>
        </w:tc>
        <w:tc>
          <w:tcPr>
            <w:tcW w:w="1275" w:type="dxa"/>
            <w:tcBorders>
              <w:top w:val="nil"/>
              <w:left w:val="nil"/>
              <w:bottom w:val="single" w:sz="4" w:space="0" w:color="000000"/>
              <w:right w:val="single" w:sz="4" w:space="0" w:color="000000"/>
            </w:tcBorders>
            <w:shd w:val="clear" w:color="auto" w:fill="auto"/>
            <w:noWrap/>
            <w:vAlign w:val="center"/>
            <w:hideMark/>
          </w:tcPr>
          <w:p w14:paraId="0917D59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94 926,0</w:t>
            </w:r>
          </w:p>
        </w:tc>
        <w:tc>
          <w:tcPr>
            <w:tcW w:w="1275" w:type="dxa"/>
            <w:tcBorders>
              <w:top w:val="nil"/>
              <w:left w:val="nil"/>
              <w:bottom w:val="single" w:sz="4" w:space="0" w:color="000000"/>
              <w:right w:val="single" w:sz="4" w:space="0" w:color="000000"/>
            </w:tcBorders>
            <w:shd w:val="clear" w:color="auto" w:fill="auto"/>
            <w:noWrap/>
            <w:vAlign w:val="center"/>
            <w:hideMark/>
          </w:tcPr>
          <w:p w14:paraId="726A936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96 121,0</w:t>
            </w:r>
          </w:p>
        </w:tc>
        <w:tc>
          <w:tcPr>
            <w:tcW w:w="1277" w:type="dxa"/>
            <w:tcBorders>
              <w:top w:val="nil"/>
              <w:left w:val="nil"/>
              <w:bottom w:val="single" w:sz="4" w:space="0" w:color="000000"/>
              <w:right w:val="single" w:sz="4" w:space="0" w:color="000000"/>
            </w:tcBorders>
            <w:shd w:val="clear" w:color="auto" w:fill="auto"/>
            <w:noWrap/>
            <w:vAlign w:val="center"/>
            <w:hideMark/>
          </w:tcPr>
          <w:p w14:paraId="7DA6503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97 316,0</w:t>
            </w:r>
          </w:p>
        </w:tc>
        <w:tc>
          <w:tcPr>
            <w:tcW w:w="1276" w:type="dxa"/>
            <w:tcBorders>
              <w:top w:val="nil"/>
              <w:left w:val="nil"/>
              <w:bottom w:val="single" w:sz="4" w:space="0" w:color="000000"/>
              <w:right w:val="single" w:sz="4" w:space="0" w:color="000000"/>
            </w:tcBorders>
            <w:shd w:val="clear" w:color="auto" w:fill="auto"/>
            <w:noWrap/>
            <w:vAlign w:val="center"/>
            <w:hideMark/>
          </w:tcPr>
          <w:p w14:paraId="7060B18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98 511,0</w:t>
            </w:r>
          </w:p>
        </w:tc>
        <w:tc>
          <w:tcPr>
            <w:tcW w:w="1275" w:type="dxa"/>
            <w:tcBorders>
              <w:top w:val="nil"/>
              <w:left w:val="nil"/>
              <w:bottom w:val="single" w:sz="4" w:space="0" w:color="000000"/>
              <w:right w:val="single" w:sz="4" w:space="0" w:color="000000"/>
            </w:tcBorders>
            <w:shd w:val="clear" w:color="auto" w:fill="auto"/>
            <w:noWrap/>
            <w:vAlign w:val="center"/>
            <w:hideMark/>
          </w:tcPr>
          <w:p w14:paraId="4887C75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99 706,0</w:t>
            </w:r>
          </w:p>
        </w:tc>
      </w:tr>
      <w:tr w:rsidR="00996507" w:rsidRPr="00996507" w14:paraId="74D0AD45" w14:textId="77777777" w:rsidTr="00996507">
        <w:trPr>
          <w:trHeight w:val="825"/>
        </w:trPr>
        <w:tc>
          <w:tcPr>
            <w:tcW w:w="1701" w:type="dxa"/>
            <w:vMerge/>
            <w:tcBorders>
              <w:top w:val="nil"/>
              <w:left w:val="single" w:sz="4" w:space="0" w:color="auto"/>
              <w:bottom w:val="single" w:sz="4" w:space="0" w:color="auto"/>
              <w:right w:val="single" w:sz="4" w:space="0" w:color="auto"/>
            </w:tcBorders>
            <w:vAlign w:val="center"/>
            <w:hideMark/>
          </w:tcPr>
          <w:p w14:paraId="6D71312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A77517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в многоквартирных домах: природный газ</w:t>
            </w:r>
          </w:p>
        </w:tc>
        <w:tc>
          <w:tcPr>
            <w:tcW w:w="1151" w:type="dxa"/>
            <w:tcBorders>
              <w:top w:val="nil"/>
              <w:left w:val="nil"/>
              <w:bottom w:val="single" w:sz="4" w:space="0" w:color="auto"/>
              <w:right w:val="single" w:sz="4" w:space="0" w:color="auto"/>
            </w:tcBorders>
            <w:shd w:val="clear" w:color="000000" w:fill="FFFFFF"/>
            <w:hideMark/>
          </w:tcPr>
          <w:p w14:paraId="3E7C901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4BB121C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39.5</w:t>
            </w:r>
          </w:p>
        </w:tc>
        <w:tc>
          <w:tcPr>
            <w:tcW w:w="1276" w:type="dxa"/>
            <w:tcBorders>
              <w:top w:val="nil"/>
              <w:left w:val="nil"/>
              <w:bottom w:val="single" w:sz="4" w:space="0" w:color="000000"/>
              <w:right w:val="single" w:sz="4" w:space="0" w:color="000000"/>
            </w:tcBorders>
            <w:shd w:val="clear" w:color="000000" w:fill="C0C0C0"/>
            <w:noWrap/>
            <w:vAlign w:val="center"/>
            <w:hideMark/>
          </w:tcPr>
          <w:p w14:paraId="656A353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31,50</w:t>
            </w:r>
          </w:p>
        </w:tc>
        <w:tc>
          <w:tcPr>
            <w:tcW w:w="1275" w:type="dxa"/>
            <w:tcBorders>
              <w:top w:val="nil"/>
              <w:left w:val="nil"/>
              <w:bottom w:val="single" w:sz="4" w:space="0" w:color="000000"/>
              <w:right w:val="single" w:sz="4" w:space="0" w:color="000000"/>
            </w:tcBorders>
            <w:shd w:val="clear" w:color="000000" w:fill="C0C0C0"/>
            <w:noWrap/>
            <w:vAlign w:val="center"/>
            <w:hideMark/>
          </w:tcPr>
          <w:p w14:paraId="36899D2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30,76</w:t>
            </w:r>
          </w:p>
        </w:tc>
        <w:tc>
          <w:tcPr>
            <w:tcW w:w="1275" w:type="dxa"/>
            <w:tcBorders>
              <w:top w:val="nil"/>
              <w:left w:val="nil"/>
              <w:bottom w:val="single" w:sz="4" w:space="0" w:color="000000"/>
              <w:right w:val="single" w:sz="4" w:space="0" w:color="000000"/>
            </w:tcBorders>
            <w:shd w:val="clear" w:color="000000" w:fill="C0C0C0"/>
            <w:noWrap/>
            <w:vAlign w:val="center"/>
            <w:hideMark/>
          </w:tcPr>
          <w:p w14:paraId="585FF21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29,00</w:t>
            </w:r>
          </w:p>
        </w:tc>
        <w:tc>
          <w:tcPr>
            <w:tcW w:w="1277" w:type="dxa"/>
            <w:tcBorders>
              <w:top w:val="nil"/>
              <w:left w:val="nil"/>
              <w:bottom w:val="single" w:sz="4" w:space="0" w:color="000000"/>
              <w:right w:val="single" w:sz="4" w:space="0" w:color="000000"/>
            </w:tcBorders>
            <w:shd w:val="clear" w:color="000000" w:fill="C0C0C0"/>
            <w:noWrap/>
            <w:vAlign w:val="center"/>
            <w:hideMark/>
          </w:tcPr>
          <w:p w14:paraId="73D7F46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28,13</w:t>
            </w:r>
          </w:p>
        </w:tc>
        <w:tc>
          <w:tcPr>
            <w:tcW w:w="1276" w:type="dxa"/>
            <w:tcBorders>
              <w:top w:val="nil"/>
              <w:left w:val="nil"/>
              <w:bottom w:val="single" w:sz="4" w:space="0" w:color="000000"/>
              <w:right w:val="single" w:sz="4" w:space="0" w:color="000000"/>
            </w:tcBorders>
            <w:shd w:val="clear" w:color="000000" w:fill="C0C0C0"/>
            <w:noWrap/>
            <w:vAlign w:val="center"/>
            <w:hideMark/>
          </w:tcPr>
          <w:p w14:paraId="3EC9457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27,99</w:t>
            </w:r>
          </w:p>
        </w:tc>
        <w:tc>
          <w:tcPr>
            <w:tcW w:w="1275" w:type="dxa"/>
            <w:tcBorders>
              <w:top w:val="nil"/>
              <w:left w:val="nil"/>
              <w:bottom w:val="single" w:sz="4" w:space="0" w:color="000000"/>
              <w:right w:val="single" w:sz="4" w:space="0" w:color="000000"/>
            </w:tcBorders>
            <w:shd w:val="clear" w:color="000000" w:fill="C0C0C0"/>
            <w:noWrap/>
            <w:vAlign w:val="center"/>
            <w:hideMark/>
          </w:tcPr>
          <w:p w14:paraId="4A7B3C9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27,36</w:t>
            </w:r>
          </w:p>
        </w:tc>
      </w:tr>
      <w:tr w:rsidR="00996507" w:rsidRPr="00996507" w14:paraId="26E708E5"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04941B4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0E7BD0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потребленного природного газа всеми МКД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154B728A"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0A75C611"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39.5.1</w:t>
            </w:r>
          </w:p>
        </w:tc>
        <w:tc>
          <w:tcPr>
            <w:tcW w:w="1276" w:type="dxa"/>
            <w:tcBorders>
              <w:top w:val="nil"/>
              <w:left w:val="nil"/>
              <w:bottom w:val="single" w:sz="4" w:space="0" w:color="000000"/>
              <w:right w:val="single" w:sz="4" w:space="0" w:color="000000"/>
            </w:tcBorders>
            <w:shd w:val="clear" w:color="auto" w:fill="auto"/>
            <w:noWrap/>
            <w:vAlign w:val="center"/>
            <w:hideMark/>
          </w:tcPr>
          <w:p w14:paraId="633C3AE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1192 873,5</w:t>
            </w:r>
          </w:p>
        </w:tc>
        <w:tc>
          <w:tcPr>
            <w:tcW w:w="1275" w:type="dxa"/>
            <w:tcBorders>
              <w:top w:val="nil"/>
              <w:left w:val="nil"/>
              <w:bottom w:val="single" w:sz="4" w:space="0" w:color="000000"/>
              <w:right w:val="single" w:sz="4" w:space="0" w:color="000000"/>
            </w:tcBorders>
            <w:shd w:val="clear" w:color="auto" w:fill="auto"/>
            <w:noWrap/>
            <w:vAlign w:val="center"/>
            <w:hideMark/>
          </w:tcPr>
          <w:p w14:paraId="18ACFA7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1287 698,0</w:t>
            </w:r>
          </w:p>
        </w:tc>
        <w:tc>
          <w:tcPr>
            <w:tcW w:w="1275" w:type="dxa"/>
            <w:tcBorders>
              <w:top w:val="nil"/>
              <w:left w:val="nil"/>
              <w:bottom w:val="single" w:sz="4" w:space="0" w:color="000000"/>
              <w:right w:val="single" w:sz="4" w:space="0" w:color="000000"/>
            </w:tcBorders>
            <w:shd w:val="clear" w:color="auto" w:fill="auto"/>
            <w:noWrap/>
            <w:vAlign w:val="center"/>
            <w:hideMark/>
          </w:tcPr>
          <w:p w14:paraId="3F10E6A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1272 201,0</w:t>
            </w:r>
          </w:p>
        </w:tc>
        <w:tc>
          <w:tcPr>
            <w:tcW w:w="1277" w:type="dxa"/>
            <w:tcBorders>
              <w:top w:val="nil"/>
              <w:left w:val="nil"/>
              <w:bottom w:val="single" w:sz="4" w:space="0" w:color="000000"/>
              <w:right w:val="single" w:sz="4" w:space="0" w:color="000000"/>
            </w:tcBorders>
            <w:shd w:val="clear" w:color="auto" w:fill="auto"/>
            <w:noWrap/>
            <w:vAlign w:val="center"/>
            <w:hideMark/>
          </w:tcPr>
          <w:p w14:paraId="066D0BC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1290 295,0</w:t>
            </w:r>
          </w:p>
        </w:tc>
        <w:tc>
          <w:tcPr>
            <w:tcW w:w="1276" w:type="dxa"/>
            <w:tcBorders>
              <w:top w:val="nil"/>
              <w:left w:val="nil"/>
              <w:bottom w:val="single" w:sz="4" w:space="0" w:color="000000"/>
              <w:right w:val="single" w:sz="4" w:space="0" w:color="000000"/>
            </w:tcBorders>
            <w:shd w:val="clear" w:color="auto" w:fill="auto"/>
            <w:noWrap/>
            <w:vAlign w:val="center"/>
            <w:hideMark/>
          </w:tcPr>
          <w:p w14:paraId="2068AD5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1339 853,3</w:t>
            </w:r>
          </w:p>
        </w:tc>
        <w:tc>
          <w:tcPr>
            <w:tcW w:w="1275" w:type="dxa"/>
            <w:tcBorders>
              <w:top w:val="nil"/>
              <w:left w:val="nil"/>
              <w:bottom w:val="single" w:sz="4" w:space="0" w:color="000000"/>
              <w:right w:val="single" w:sz="4" w:space="0" w:color="000000"/>
            </w:tcBorders>
            <w:shd w:val="clear" w:color="auto" w:fill="auto"/>
            <w:noWrap/>
            <w:vAlign w:val="center"/>
            <w:hideMark/>
          </w:tcPr>
          <w:p w14:paraId="6ACF1F0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1364 415,8</w:t>
            </w:r>
          </w:p>
        </w:tc>
      </w:tr>
      <w:tr w:rsidR="00996507" w:rsidRPr="00996507" w14:paraId="3D273DED" w14:textId="77777777" w:rsidTr="00996507">
        <w:trPr>
          <w:trHeight w:val="510"/>
        </w:trPr>
        <w:tc>
          <w:tcPr>
            <w:tcW w:w="1701" w:type="dxa"/>
            <w:vMerge/>
            <w:tcBorders>
              <w:top w:val="nil"/>
              <w:left w:val="single" w:sz="4" w:space="0" w:color="auto"/>
              <w:bottom w:val="single" w:sz="4" w:space="0" w:color="auto"/>
              <w:right w:val="single" w:sz="4" w:space="0" w:color="auto"/>
            </w:tcBorders>
            <w:vAlign w:val="center"/>
            <w:hideMark/>
          </w:tcPr>
          <w:p w14:paraId="084D048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DB244A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Количество проживающих в многоквартирных домах (с газом)</w:t>
            </w:r>
          </w:p>
        </w:tc>
        <w:tc>
          <w:tcPr>
            <w:tcW w:w="1151" w:type="dxa"/>
            <w:tcBorders>
              <w:top w:val="nil"/>
              <w:left w:val="nil"/>
              <w:bottom w:val="single" w:sz="4" w:space="0" w:color="auto"/>
              <w:right w:val="single" w:sz="4" w:space="0" w:color="auto"/>
            </w:tcBorders>
            <w:shd w:val="clear" w:color="000000" w:fill="FFFFFF"/>
            <w:hideMark/>
          </w:tcPr>
          <w:p w14:paraId="0B01275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Человек</w:t>
            </w:r>
          </w:p>
        </w:tc>
        <w:tc>
          <w:tcPr>
            <w:tcW w:w="992" w:type="dxa"/>
            <w:tcBorders>
              <w:top w:val="nil"/>
              <w:left w:val="nil"/>
              <w:bottom w:val="single" w:sz="4" w:space="0" w:color="auto"/>
              <w:right w:val="single" w:sz="4" w:space="0" w:color="auto"/>
            </w:tcBorders>
            <w:shd w:val="clear" w:color="000000" w:fill="FFFFFF"/>
            <w:hideMark/>
          </w:tcPr>
          <w:p w14:paraId="4650136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39.5.2</w:t>
            </w:r>
          </w:p>
        </w:tc>
        <w:tc>
          <w:tcPr>
            <w:tcW w:w="1276" w:type="dxa"/>
            <w:tcBorders>
              <w:top w:val="nil"/>
              <w:left w:val="nil"/>
              <w:bottom w:val="single" w:sz="4" w:space="0" w:color="000000"/>
              <w:right w:val="single" w:sz="4" w:space="0" w:color="000000"/>
            </w:tcBorders>
            <w:shd w:val="clear" w:color="auto" w:fill="auto"/>
            <w:noWrap/>
            <w:vAlign w:val="center"/>
            <w:hideMark/>
          </w:tcPr>
          <w:p w14:paraId="0905DAA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37 869,0</w:t>
            </w:r>
          </w:p>
        </w:tc>
        <w:tc>
          <w:tcPr>
            <w:tcW w:w="1275" w:type="dxa"/>
            <w:tcBorders>
              <w:top w:val="nil"/>
              <w:left w:val="nil"/>
              <w:bottom w:val="single" w:sz="4" w:space="0" w:color="000000"/>
              <w:right w:val="single" w:sz="4" w:space="0" w:color="000000"/>
            </w:tcBorders>
            <w:shd w:val="clear" w:color="auto" w:fill="auto"/>
            <w:noWrap/>
            <w:vAlign w:val="center"/>
            <w:hideMark/>
          </w:tcPr>
          <w:p w14:paraId="40A1BF9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41 869,0</w:t>
            </w:r>
          </w:p>
        </w:tc>
        <w:tc>
          <w:tcPr>
            <w:tcW w:w="1275" w:type="dxa"/>
            <w:tcBorders>
              <w:top w:val="nil"/>
              <w:left w:val="nil"/>
              <w:bottom w:val="single" w:sz="4" w:space="0" w:color="000000"/>
              <w:right w:val="single" w:sz="4" w:space="0" w:color="000000"/>
            </w:tcBorders>
            <w:shd w:val="clear" w:color="auto" w:fill="auto"/>
            <w:noWrap/>
            <w:vAlign w:val="center"/>
            <w:hideMark/>
          </w:tcPr>
          <w:p w14:paraId="183EC6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43 869,0</w:t>
            </w:r>
          </w:p>
        </w:tc>
        <w:tc>
          <w:tcPr>
            <w:tcW w:w="1277" w:type="dxa"/>
            <w:tcBorders>
              <w:top w:val="nil"/>
              <w:left w:val="nil"/>
              <w:bottom w:val="single" w:sz="4" w:space="0" w:color="000000"/>
              <w:right w:val="single" w:sz="4" w:space="0" w:color="000000"/>
            </w:tcBorders>
            <w:shd w:val="clear" w:color="auto" w:fill="auto"/>
            <w:noWrap/>
            <w:vAlign w:val="center"/>
            <w:hideMark/>
          </w:tcPr>
          <w:p w14:paraId="3B4129F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45 869,0</w:t>
            </w:r>
          </w:p>
        </w:tc>
        <w:tc>
          <w:tcPr>
            <w:tcW w:w="1276" w:type="dxa"/>
            <w:tcBorders>
              <w:top w:val="nil"/>
              <w:left w:val="nil"/>
              <w:bottom w:val="single" w:sz="4" w:space="0" w:color="000000"/>
              <w:right w:val="single" w:sz="4" w:space="0" w:color="000000"/>
            </w:tcBorders>
            <w:shd w:val="clear" w:color="auto" w:fill="auto"/>
            <w:noWrap/>
            <w:vAlign w:val="center"/>
            <w:hideMark/>
          </w:tcPr>
          <w:p w14:paraId="4DF457A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47 869,0</w:t>
            </w:r>
          </w:p>
        </w:tc>
        <w:tc>
          <w:tcPr>
            <w:tcW w:w="1275" w:type="dxa"/>
            <w:tcBorders>
              <w:top w:val="nil"/>
              <w:left w:val="nil"/>
              <w:bottom w:val="single" w:sz="4" w:space="0" w:color="000000"/>
              <w:right w:val="single" w:sz="4" w:space="0" w:color="000000"/>
            </w:tcBorders>
            <w:shd w:val="clear" w:color="auto" w:fill="auto"/>
            <w:noWrap/>
            <w:vAlign w:val="center"/>
            <w:hideMark/>
          </w:tcPr>
          <w:p w14:paraId="31D46B5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49 869,0</w:t>
            </w:r>
          </w:p>
        </w:tc>
      </w:tr>
      <w:tr w:rsidR="00996507" w:rsidRPr="00996507" w14:paraId="3BF7BEC3"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257F8BF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9290E32"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w:t>
            </w:r>
          </w:p>
        </w:tc>
        <w:tc>
          <w:tcPr>
            <w:tcW w:w="1151" w:type="dxa"/>
            <w:tcBorders>
              <w:top w:val="nil"/>
              <w:left w:val="nil"/>
              <w:bottom w:val="single" w:sz="4" w:space="0" w:color="auto"/>
              <w:right w:val="single" w:sz="4" w:space="0" w:color="auto"/>
            </w:tcBorders>
            <w:shd w:val="clear" w:color="000000" w:fill="FFFFFF"/>
            <w:hideMark/>
          </w:tcPr>
          <w:p w14:paraId="271265F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Неизвестные данные</w:t>
            </w:r>
          </w:p>
        </w:tc>
        <w:tc>
          <w:tcPr>
            <w:tcW w:w="992" w:type="dxa"/>
            <w:tcBorders>
              <w:top w:val="nil"/>
              <w:left w:val="nil"/>
              <w:bottom w:val="single" w:sz="4" w:space="0" w:color="auto"/>
              <w:right w:val="single" w:sz="4" w:space="0" w:color="auto"/>
            </w:tcBorders>
            <w:shd w:val="clear" w:color="000000" w:fill="FFFFFF"/>
            <w:hideMark/>
          </w:tcPr>
          <w:p w14:paraId="07DF5BE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w:t>
            </w:r>
          </w:p>
        </w:tc>
        <w:tc>
          <w:tcPr>
            <w:tcW w:w="1276" w:type="dxa"/>
            <w:tcBorders>
              <w:top w:val="nil"/>
              <w:left w:val="nil"/>
              <w:bottom w:val="single" w:sz="4" w:space="0" w:color="000000"/>
              <w:right w:val="single" w:sz="4" w:space="0" w:color="000000"/>
            </w:tcBorders>
            <w:shd w:val="clear" w:color="000000" w:fill="C0C0C0"/>
            <w:noWrap/>
            <w:vAlign w:val="center"/>
            <w:hideMark/>
          </w:tcPr>
          <w:p w14:paraId="1ED4665C"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5567A3EC"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04088009"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7" w:type="dxa"/>
            <w:tcBorders>
              <w:top w:val="nil"/>
              <w:left w:val="nil"/>
              <w:bottom w:val="single" w:sz="4" w:space="0" w:color="000000"/>
              <w:right w:val="single" w:sz="4" w:space="0" w:color="000000"/>
            </w:tcBorders>
            <w:shd w:val="clear" w:color="000000" w:fill="C0C0C0"/>
            <w:noWrap/>
            <w:vAlign w:val="center"/>
            <w:hideMark/>
          </w:tcPr>
          <w:p w14:paraId="552490F1"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6" w:type="dxa"/>
            <w:tcBorders>
              <w:top w:val="nil"/>
              <w:left w:val="nil"/>
              <w:bottom w:val="single" w:sz="4" w:space="0" w:color="000000"/>
              <w:right w:val="single" w:sz="4" w:space="0" w:color="000000"/>
            </w:tcBorders>
            <w:shd w:val="clear" w:color="000000" w:fill="C0C0C0"/>
            <w:noWrap/>
            <w:vAlign w:val="center"/>
            <w:hideMark/>
          </w:tcPr>
          <w:p w14:paraId="76D945D0"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000000" w:fill="C0C0C0"/>
            <w:noWrap/>
            <w:vAlign w:val="center"/>
            <w:hideMark/>
          </w:tcPr>
          <w:p w14:paraId="08583BB8" w14:textId="77777777" w:rsidR="00996507" w:rsidRPr="00996507" w:rsidRDefault="00996507" w:rsidP="009824C1">
            <w:pPr>
              <w:spacing w:after="0" w:line="240" w:lineRule="auto"/>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w:t>
            </w:r>
          </w:p>
        </w:tc>
      </w:tr>
      <w:tr w:rsidR="00996507" w:rsidRPr="00996507" w14:paraId="008E4456"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2A5E0C2B"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505927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 электрическая энергия</w:t>
            </w:r>
          </w:p>
        </w:tc>
        <w:tc>
          <w:tcPr>
            <w:tcW w:w="1151" w:type="dxa"/>
            <w:tcBorders>
              <w:top w:val="nil"/>
              <w:left w:val="nil"/>
              <w:bottom w:val="single" w:sz="4" w:space="0" w:color="auto"/>
              <w:right w:val="single" w:sz="4" w:space="0" w:color="auto"/>
            </w:tcBorders>
            <w:shd w:val="clear" w:color="000000" w:fill="FFFFFF"/>
            <w:hideMark/>
          </w:tcPr>
          <w:p w14:paraId="71D14FB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proofErr w:type="spellStart"/>
            <w:r w:rsidRPr="00996507">
              <w:rPr>
                <w:rFonts w:ascii="Times New Roman" w:eastAsia="Times New Roman" w:hAnsi="Times New Roman" w:cs="Times New Roman"/>
                <w:color w:val="000000"/>
                <w:sz w:val="20"/>
                <w:szCs w:val="20"/>
                <w:lang w:eastAsia="ru-RU"/>
              </w:rPr>
              <w:t>килловат</w:t>
            </w:r>
            <w:proofErr w:type="spellEnd"/>
            <w:r w:rsidRPr="00996507">
              <w:rPr>
                <w:rFonts w:ascii="Times New Roman" w:eastAsia="Times New Roman" w:hAnsi="Times New Roman" w:cs="Times New Roman"/>
                <w:color w:val="000000"/>
                <w:sz w:val="20"/>
                <w:szCs w:val="20"/>
                <w:lang w:eastAsia="ru-RU"/>
              </w:rPr>
              <w:t xml:space="preserve"> в час на 1 проживающего</w:t>
            </w:r>
          </w:p>
        </w:tc>
        <w:tc>
          <w:tcPr>
            <w:tcW w:w="992" w:type="dxa"/>
            <w:tcBorders>
              <w:top w:val="nil"/>
              <w:left w:val="nil"/>
              <w:bottom w:val="single" w:sz="4" w:space="0" w:color="auto"/>
              <w:right w:val="single" w:sz="4" w:space="0" w:color="auto"/>
            </w:tcBorders>
            <w:shd w:val="clear" w:color="000000" w:fill="FFFFFF"/>
            <w:hideMark/>
          </w:tcPr>
          <w:p w14:paraId="05ED5524"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40.1</w:t>
            </w:r>
          </w:p>
        </w:tc>
        <w:tc>
          <w:tcPr>
            <w:tcW w:w="1276" w:type="dxa"/>
            <w:tcBorders>
              <w:top w:val="nil"/>
              <w:left w:val="nil"/>
              <w:bottom w:val="single" w:sz="4" w:space="0" w:color="000000"/>
              <w:right w:val="single" w:sz="4" w:space="0" w:color="000000"/>
            </w:tcBorders>
            <w:shd w:val="clear" w:color="000000" w:fill="C0C0C0"/>
            <w:noWrap/>
            <w:vAlign w:val="center"/>
            <w:hideMark/>
          </w:tcPr>
          <w:p w14:paraId="7CE7F83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105,93</w:t>
            </w:r>
          </w:p>
        </w:tc>
        <w:tc>
          <w:tcPr>
            <w:tcW w:w="1275" w:type="dxa"/>
            <w:tcBorders>
              <w:top w:val="nil"/>
              <w:left w:val="nil"/>
              <w:bottom w:val="single" w:sz="4" w:space="0" w:color="000000"/>
              <w:right w:val="single" w:sz="4" w:space="0" w:color="000000"/>
            </w:tcBorders>
            <w:shd w:val="clear" w:color="000000" w:fill="C0C0C0"/>
            <w:noWrap/>
            <w:vAlign w:val="center"/>
            <w:hideMark/>
          </w:tcPr>
          <w:p w14:paraId="6A29D09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104,99</w:t>
            </w:r>
          </w:p>
        </w:tc>
        <w:tc>
          <w:tcPr>
            <w:tcW w:w="1275" w:type="dxa"/>
            <w:tcBorders>
              <w:top w:val="nil"/>
              <w:left w:val="nil"/>
              <w:bottom w:val="single" w:sz="4" w:space="0" w:color="000000"/>
              <w:right w:val="single" w:sz="4" w:space="0" w:color="000000"/>
            </w:tcBorders>
            <w:shd w:val="clear" w:color="000000" w:fill="C0C0C0"/>
            <w:noWrap/>
            <w:vAlign w:val="center"/>
            <w:hideMark/>
          </w:tcPr>
          <w:p w14:paraId="6133E1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102,88</w:t>
            </w:r>
          </w:p>
        </w:tc>
        <w:tc>
          <w:tcPr>
            <w:tcW w:w="1277" w:type="dxa"/>
            <w:tcBorders>
              <w:top w:val="nil"/>
              <w:left w:val="nil"/>
              <w:bottom w:val="single" w:sz="4" w:space="0" w:color="000000"/>
              <w:right w:val="single" w:sz="4" w:space="0" w:color="000000"/>
            </w:tcBorders>
            <w:shd w:val="clear" w:color="000000" w:fill="C0C0C0"/>
            <w:noWrap/>
            <w:vAlign w:val="center"/>
            <w:hideMark/>
          </w:tcPr>
          <w:p w14:paraId="1E5867B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100,36</w:t>
            </w:r>
          </w:p>
        </w:tc>
        <w:tc>
          <w:tcPr>
            <w:tcW w:w="1276" w:type="dxa"/>
            <w:tcBorders>
              <w:top w:val="nil"/>
              <w:left w:val="nil"/>
              <w:bottom w:val="single" w:sz="4" w:space="0" w:color="000000"/>
              <w:right w:val="single" w:sz="4" w:space="0" w:color="000000"/>
            </w:tcBorders>
            <w:shd w:val="clear" w:color="000000" w:fill="C0C0C0"/>
            <w:noWrap/>
            <w:vAlign w:val="center"/>
            <w:hideMark/>
          </w:tcPr>
          <w:p w14:paraId="409008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100,09</w:t>
            </w:r>
          </w:p>
        </w:tc>
        <w:tc>
          <w:tcPr>
            <w:tcW w:w="1275" w:type="dxa"/>
            <w:tcBorders>
              <w:top w:val="nil"/>
              <w:left w:val="nil"/>
              <w:bottom w:val="single" w:sz="4" w:space="0" w:color="000000"/>
              <w:right w:val="single" w:sz="4" w:space="0" w:color="000000"/>
            </w:tcBorders>
            <w:shd w:val="clear" w:color="000000" w:fill="C0C0C0"/>
            <w:noWrap/>
            <w:vAlign w:val="center"/>
            <w:hideMark/>
          </w:tcPr>
          <w:p w14:paraId="70B5912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99,82</w:t>
            </w:r>
          </w:p>
        </w:tc>
      </w:tr>
      <w:tr w:rsidR="00996507" w:rsidRPr="00996507" w14:paraId="1096C27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6CE04F8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4573E3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Суммарное потребление электроэнергии всеми муниципальными бюджетными учреждениями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51FB93E2"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киловатт</w:t>
            </w:r>
          </w:p>
        </w:tc>
        <w:tc>
          <w:tcPr>
            <w:tcW w:w="992" w:type="dxa"/>
            <w:tcBorders>
              <w:top w:val="nil"/>
              <w:left w:val="nil"/>
              <w:bottom w:val="single" w:sz="4" w:space="0" w:color="auto"/>
              <w:right w:val="single" w:sz="4" w:space="0" w:color="auto"/>
            </w:tcBorders>
            <w:shd w:val="clear" w:color="000000" w:fill="FFFFFF"/>
            <w:hideMark/>
          </w:tcPr>
          <w:p w14:paraId="3B652A5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40.1.1</w:t>
            </w:r>
          </w:p>
        </w:tc>
        <w:tc>
          <w:tcPr>
            <w:tcW w:w="1276" w:type="dxa"/>
            <w:tcBorders>
              <w:top w:val="nil"/>
              <w:left w:val="nil"/>
              <w:bottom w:val="single" w:sz="4" w:space="0" w:color="000000"/>
              <w:right w:val="single" w:sz="4" w:space="0" w:color="000000"/>
            </w:tcBorders>
            <w:shd w:val="clear" w:color="auto" w:fill="auto"/>
            <w:noWrap/>
            <w:vAlign w:val="center"/>
            <w:hideMark/>
          </w:tcPr>
          <w:p w14:paraId="3315C19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9999 395,7</w:t>
            </w:r>
          </w:p>
        </w:tc>
        <w:tc>
          <w:tcPr>
            <w:tcW w:w="1275" w:type="dxa"/>
            <w:tcBorders>
              <w:top w:val="nil"/>
              <w:left w:val="nil"/>
              <w:bottom w:val="single" w:sz="4" w:space="0" w:color="000000"/>
              <w:right w:val="single" w:sz="4" w:space="0" w:color="000000"/>
            </w:tcBorders>
            <w:shd w:val="clear" w:color="auto" w:fill="auto"/>
            <w:noWrap/>
            <w:vAlign w:val="center"/>
            <w:hideMark/>
          </w:tcPr>
          <w:p w14:paraId="64AFA47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10089 984,8</w:t>
            </w:r>
          </w:p>
        </w:tc>
        <w:tc>
          <w:tcPr>
            <w:tcW w:w="1275" w:type="dxa"/>
            <w:tcBorders>
              <w:top w:val="nil"/>
              <w:left w:val="nil"/>
              <w:bottom w:val="single" w:sz="4" w:space="0" w:color="000000"/>
              <w:right w:val="single" w:sz="4" w:space="0" w:color="000000"/>
            </w:tcBorders>
            <w:shd w:val="clear" w:color="auto" w:fill="auto"/>
            <w:noWrap/>
            <w:vAlign w:val="center"/>
            <w:hideMark/>
          </w:tcPr>
          <w:p w14:paraId="4145BD2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10063 104,3</w:t>
            </w:r>
          </w:p>
        </w:tc>
        <w:tc>
          <w:tcPr>
            <w:tcW w:w="1277" w:type="dxa"/>
            <w:tcBorders>
              <w:top w:val="nil"/>
              <w:left w:val="nil"/>
              <w:bottom w:val="single" w:sz="4" w:space="0" w:color="000000"/>
              <w:right w:val="single" w:sz="4" w:space="0" w:color="000000"/>
            </w:tcBorders>
            <w:shd w:val="clear" w:color="auto" w:fill="auto"/>
            <w:noWrap/>
            <w:vAlign w:val="center"/>
            <w:hideMark/>
          </w:tcPr>
          <w:p w14:paraId="2B75688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9995 856,0</w:t>
            </w:r>
          </w:p>
        </w:tc>
        <w:tc>
          <w:tcPr>
            <w:tcW w:w="1276" w:type="dxa"/>
            <w:tcBorders>
              <w:top w:val="nil"/>
              <w:left w:val="nil"/>
              <w:bottom w:val="single" w:sz="4" w:space="0" w:color="000000"/>
              <w:right w:val="single" w:sz="4" w:space="0" w:color="000000"/>
            </w:tcBorders>
            <w:shd w:val="clear" w:color="auto" w:fill="auto"/>
            <w:noWrap/>
            <w:vAlign w:val="center"/>
            <w:hideMark/>
          </w:tcPr>
          <w:p w14:paraId="52384FE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10149 126,0</w:t>
            </w:r>
          </w:p>
        </w:tc>
        <w:tc>
          <w:tcPr>
            <w:tcW w:w="1275" w:type="dxa"/>
            <w:tcBorders>
              <w:top w:val="nil"/>
              <w:left w:val="nil"/>
              <w:bottom w:val="single" w:sz="4" w:space="0" w:color="000000"/>
              <w:right w:val="single" w:sz="4" w:space="0" w:color="000000"/>
            </w:tcBorders>
            <w:shd w:val="clear" w:color="auto" w:fill="auto"/>
            <w:noWrap/>
            <w:vAlign w:val="center"/>
            <w:hideMark/>
          </w:tcPr>
          <w:p w14:paraId="555DF54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10301 424,0</w:t>
            </w:r>
          </w:p>
        </w:tc>
      </w:tr>
      <w:tr w:rsidR="00996507" w:rsidRPr="00996507" w14:paraId="554E7463"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2B0034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579F09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 тепловая энергия</w:t>
            </w:r>
          </w:p>
        </w:tc>
        <w:tc>
          <w:tcPr>
            <w:tcW w:w="1151" w:type="dxa"/>
            <w:tcBorders>
              <w:top w:val="nil"/>
              <w:left w:val="nil"/>
              <w:bottom w:val="single" w:sz="4" w:space="0" w:color="auto"/>
              <w:right w:val="single" w:sz="4" w:space="0" w:color="auto"/>
            </w:tcBorders>
            <w:shd w:val="clear" w:color="000000" w:fill="FFFFFF"/>
            <w:hideMark/>
          </w:tcPr>
          <w:p w14:paraId="2210979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Гкал. на 1кв. метр общей площади</w:t>
            </w:r>
          </w:p>
        </w:tc>
        <w:tc>
          <w:tcPr>
            <w:tcW w:w="992" w:type="dxa"/>
            <w:tcBorders>
              <w:top w:val="nil"/>
              <w:left w:val="nil"/>
              <w:bottom w:val="single" w:sz="4" w:space="0" w:color="auto"/>
              <w:right w:val="single" w:sz="4" w:space="0" w:color="auto"/>
            </w:tcBorders>
            <w:shd w:val="clear" w:color="000000" w:fill="FFFFFF"/>
            <w:hideMark/>
          </w:tcPr>
          <w:p w14:paraId="71957E6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40.2</w:t>
            </w:r>
          </w:p>
        </w:tc>
        <w:tc>
          <w:tcPr>
            <w:tcW w:w="1276" w:type="dxa"/>
            <w:tcBorders>
              <w:top w:val="nil"/>
              <w:left w:val="nil"/>
              <w:bottom w:val="single" w:sz="4" w:space="0" w:color="000000"/>
              <w:right w:val="single" w:sz="4" w:space="0" w:color="000000"/>
            </w:tcBorders>
            <w:shd w:val="clear" w:color="000000" w:fill="C0C0C0"/>
            <w:noWrap/>
            <w:vAlign w:val="center"/>
            <w:hideMark/>
          </w:tcPr>
          <w:p w14:paraId="0F1F5F3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0,18</w:t>
            </w:r>
          </w:p>
        </w:tc>
        <w:tc>
          <w:tcPr>
            <w:tcW w:w="1275" w:type="dxa"/>
            <w:tcBorders>
              <w:top w:val="nil"/>
              <w:left w:val="nil"/>
              <w:bottom w:val="single" w:sz="4" w:space="0" w:color="000000"/>
              <w:right w:val="single" w:sz="4" w:space="0" w:color="000000"/>
            </w:tcBorders>
            <w:shd w:val="clear" w:color="000000" w:fill="C0C0C0"/>
            <w:noWrap/>
            <w:vAlign w:val="center"/>
            <w:hideMark/>
          </w:tcPr>
          <w:p w14:paraId="41943EA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0,17</w:t>
            </w:r>
          </w:p>
        </w:tc>
        <w:tc>
          <w:tcPr>
            <w:tcW w:w="1275" w:type="dxa"/>
            <w:tcBorders>
              <w:top w:val="nil"/>
              <w:left w:val="nil"/>
              <w:bottom w:val="single" w:sz="4" w:space="0" w:color="000000"/>
              <w:right w:val="single" w:sz="4" w:space="0" w:color="000000"/>
            </w:tcBorders>
            <w:shd w:val="clear" w:color="000000" w:fill="C0C0C0"/>
            <w:noWrap/>
            <w:vAlign w:val="center"/>
            <w:hideMark/>
          </w:tcPr>
          <w:p w14:paraId="6F349B0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0,17</w:t>
            </w:r>
          </w:p>
        </w:tc>
        <w:tc>
          <w:tcPr>
            <w:tcW w:w="1277" w:type="dxa"/>
            <w:tcBorders>
              <w:top w:val="nil"/>
              <w:left w:val="nil"/>
              <w:bottom w:val="single" w:sz="4" w:space="0" w:color="000000"/>
              <w:right w:val="single" w:sz="4" w:space="0" w:color="000000"/>
            </w:tcBorders>
            <w:shd w:val="clear" w:color="000000" w:fill="C0C0C0"/>
            <w:noWrap/>
            <w:vAlign w:val="center"/>
            <w:hideMark/>
          </w:tcPr>
          <w:p w14:paraId="502C603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0,16</w:t>
            </w:r>
          </w:p>
        </w:tc>
        <w:tc>
          <w:tcPr>
            <w:tcW w:w="1276" w:type="dxa"/>
            <w:tcBorders>
              <w:top w:val="nil"/>
              <w:left w:val="nil"/>
              <w:bottom w:val="single" w:sz="4" w:space="0" w:color="000000"/>
              <w:right w:val="single" w:sz="4" w:space="0" w:color="000000"/>
            </w:tcBorders>
            <w:shd w:val="clear" w:color="000000" w:fill="C0C0C0"/>
            <w:noWrap/>
            <w:vAlign w:val="center"/>
            <w:hideMark/>
          </w:tcPr>
          <w:p w14:paraId="5174F86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0,14</w:t>
            </w:r>
          </w:p>
        </w:tc>
        <w:tc>
          <w:tcPr>
            <w:tcW w:w="1275" w:type="dxa"/>
            <w:tcBorders>
              <w:top w:val="nil"/>
              <w:left w:val="nil"/>
              <w:bottom w:val="single" w:sz="4" w:space="0" w:color="000000"/>
              <w:right w:val="single" w:sz="4" w:space="0" w:color="000000"/>
            </w:tcBorders>
            <w:shd w:val="clear" w:color="000000" w:fill="C0C0C0"/>
            <w:noWrap/>
            <w:vAlign w:val="center"/>
            <w:hideMark/>
          </w:tcPr>
          <w:p w14:paraId="0F694A2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0,12</w:t>
            </w:r>
          </w:p>
        </w:tc>
      </w:tr>
      <w:tr w:rsidR="00996507" w:rsidRPr="00996507" w14:paraId="5695BD33"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3DD3D8F9"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337AE97"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Суммарное потребление тепловой энергии всеми муниципальными бюджетными учреждениями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0A317A1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proofErr w:type="spellStart"/>
            <w:r w:rsidRPr="00996507">
              <w:rPr>
                <w:rFonts w:ascii="Times New Roman" w:eastAsia="Times New Roman" w:hAnsi="Times New Roman" w:cs="Times New Roman"/>
                <w:color w:val="000000"/>
                <w:sz w:val="20"/>
                <w:szCs w:val="20"/>
                <w:lang w:eastAsia="ru-RU"/>
              </w:rPr>
              <w:t>Гигакалория</w:t>
            </w:r>
            <w:proofErr w:type="spellEnd"/>
          </w:p>
        </w:tc>
        <w:tc>
          <w:tcPr>
            <w:tcW w:w="992" w:type="dxa"/>
            <w:tcBorders>
              <w:top w:val="nil"/>
              <w:left w:val="nil"/>
              <w:bottom w:val="single" w:sz="4" w:space="0" w:color="auto"/>
              <w:right w:val="single" w:sz="4" w:space="0" w:color="auto"/>
            </w:tcBorders>
            <w:shd w:val="clear" w:color="000000" w:fill="FFFFFF"/>
            <w:hideMark/>
          </w:tcPr>
          <w:p w14:paraId="2724EC9E"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40.2.1</w:t>
            </w:r>
          </w:p>
        </w:tc>
        <w:tc>
          <w:tcPr>
            <w:tcW w:w="1276" w:type="dxa"/>
            <w:tcBorders>
              <w:top w:val="nil"/>
              <w:left w:val="nil"/>
              <w:bottom w:val="single" w:sz="4" w:space="0" w:color="000000"/>
              <w:right w:val="single" w:sz="4" w:space="0" w:color="000000"/>
            </w:tcBorders>
            <w:shd w:val="clear" w:color="auto" w:fill="auto"/>
            <w:noWrap/>
            <w:vAlign w:val="center"/>
            <w:hideMark/>
          </w:tcPr>
          <w:p w14:paraId="4E963F5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36 888,3</w:t>
            </w:r>
          </w:p>
        </w:tc>
        <w:tc>
          <w:tcPr>
            <w:tcW w:w="1275" w:type="dxa"/>
            <w:tcBorders>
              <w:top w:val="nil"/>
              <w:left w:val="nil"/>
              <w:bottom w:val="single" w:sz="4" w:space="0" w:color="000000"/>
              <w:right w:val="single" w:sz="4" w:space="0" w:color="000000"/>
            </w:tcBorders>
            <w:shd w:val="clear" w:color="auto" w:fill="auto"/>
            <w:noWrap/>
            <w:vAlign w:val="center"/>
            <w:hideMark/>
          </w:tcPr>
          <w:p w14:paraId="7508779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36 331,0</w:t>
            </w:r>
          </w:p>
        </w:tc>
        <w:tc>
          <w:tcPr>
            <w:tcW w:w="1275" w:type="dxa"/>
            <w:tcBorders>
              <w:top w:val="nil"/>
              <w:left w:val="nil"/>
              <w:bottom w:val="single" w:sz="4" w:space="0" w:color="000000"/>
              <w:right w:val="single" w:sz="4" w:space="0" w:color="000000"/>
            </w:tcBorders>
            <w:shd w:val="clear" w:color="auto" w:fill="auto"/>
            <w:noWrap/>
            <w:vAlign w:val="center"/>
            <w:hideMark/>
          </w:tcPr>
          <w:p w14:paraId="60E06D3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34 457,7</w:t>
            </w:r>
          </w:p>
        </w:tc>
        <w:tc>
          <w:tcPr>
            <w:tcW w:w="1277" w:type="dxa"/>
            <w:tcBorders>
              <w:top w:val="nil"/>
              <w:left w:val="nil"/>
              <w:bottom w:val="single" w:sz="4" w:space="0" w:color="000000"/>
              <w:right w:val="single" w:sz="4" w:space="0" w:color="000000"/>
            </w:tcBorders>
            <w:shd w:val="clear" w:color="auto" w:fill="auto"/>
            <w:noWrap/>
            <w:vAlign w:val="center"/>
            <w:hideMark/>
          </w:tcPr>
          <w:p w14:paraId="1CCB9C6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33 543,9</w:t>
            </w:r>
          </w:p>
        </w:tc>
        <w:tc>
          <w:tcPr>
            <w:tcW w:w="1276" w:type="dxa"/>
            <w:tcBorders>
              <w:top w:val="nil"/>
              <w:left w:val="nil"/>
              <w:bottom w:val="single" w:sz="4" w:space="0" w:color="000000"/>
              <w:right w:val="single" w:sz="4" w:space="0" w:color="000000"/>
            </w:tcBorders>
            <w:shd w:val="clear" w:color="auto" w:fill="auto"/>
            <w:noWrap/>
            <w:vAlign w:val="center"/>
            <w:hideMark/>
          </w:tcPr>
          <w:p w14:paraId="4A3BA35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29 465,0</w:t>
            </w:r>
          </w:p>
        </w:tc>
        <w:tc>
          <w:tcPr>
            <w:tcW w:w="1275" w:type="dxa"/>
            <w:tcBorders>
              <w:top w:val="nil"/>
              <w:left w:val="nil"/>
              <w:bottom w:val="single" w:sz="4" w:space="0" w:color="000000"/>
              <w:right w:val="single" w:sz="4" w:space="0" w:color="000000"/>
            </w:tcBorders>
            <w:shd w:val="clear" w:color="auto" w:fill="auto"/>
            <w:noWrap/>
            <w:vAlign w:val="center"/>
            <w:hideMark/>
          </w:tcPr>
          <w:p w14:paraId="6CF6E40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25 353,6</w:t>
            </w:r>
          </w:p>
        </w:tc>
      </w:tr>
      <w:tr w:rsidR="00996507" w:rsidRPr="00996507" w14:paraId="2E5E26AB"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4988284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077D9146"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Общая площадь муниципальных бюджетных учреждений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773AD25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Квадратный метр</w:t>
            </w:r>
          </w:p>
        </w:tc>
        <w:tc>
          <w:tcPr>
            <w:tcW w:w="992" w:type="dxa"/>
            <w:tcBorders>
              <w:top w:val="nil"/>
              <w:left w:val="nil"/>
              <w:bottom w:val="single" w:sz="4" w:space="0" w:color="auto"/>
              <w:right w:val="single" w:sz="4" w:space="0" w:color="auto"/>
            </w:tcBorders>
            <w:shd w:val="clear" w:color="000000" w:fill="FFFFFF"/>
            <w:hideMark/>
          </w:tcPr>
          <w:p w14:paraId="26A532D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40.2.2</w:t>
            </w:r>
          </w:p>
        </w:tc>
        <w:tc>
          <w:tcPr>
            <w:tcW w:w="1276" w:type="dxa"/>
            <w:tcBorders>
              <w:top w:val="nil"/>
              <w:left w:val="nil"/>
              <w:bottom w:val="single" w:sz="4" w:space="0" w:color="000000"/>
              <w:right w:val="single" w:sz="4" w:space="0" w:color="000000"/>
            </w:tcBorders>
            <w:shd w:val="clear" w:color="auto" w:fill="auto"/>
            <w:noWrap/>
            <w:vAlign w:val="center"/>
            <w:hideMark/>
          </w:tcPr>
          <w:p w14:paraId="2A9D5CD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207 043,1</w:t>
            </w:r>
          </w:p>
        </w:tc>
        <w:tc>
          <w:tcPr>
            <w:tcW w:w="1275" w:type="dxa"/>
            <w:tcBorders>
              <w:top w:val="nil"/>
              <w:left w:val="nil"/>
              <w:bottom w:val="single" w:sz="4" w:space="0" w:color="000000"/>
              <w:right w:val="single" w:sz="4" w:space="0" w:color="000000"/>
            </w:tcBorders>
            <w:shd w:val="clear" w:color="auto" w:fill="auto"/>
            <w:noWrap/>
            <w:vAlign w:val="center"/>
            <w:hideMark/>
          </w:tcPr>
          <w:p w14:paraId="720091E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208 019,2</w:t>
            </w:r>
          </w:p>
        </w:tc>
        <w:tc>
          <w:tcPr>
            <w:tcW w:w="1275" w:type="dxa"/>
            <w:tcBorders>
              <w:top w:val="nil"/>
              <w:left w:val="nil"/>
              <w:bottom w:val="single" w:sz="4" w:space="0" w:color="000000"/>
              <w:right w:val="single" w:sz="4" w:space="0" w:color="000000"/>
            </w:tcBorders>
            <w:shd w:val="clear" w:color="auto" w:fill="auto"/>
            <w:noWrap/>
            <w:vAlign w:val="center"/>
            <w:hideMark/>
          </w:tcPr>
          <w:p w14:paraId="1AEA424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208 834,3</w:t>
            </w:r>
          </w:p>
        </w:tc>
        <w:tc>
          <w:tcPr>
            <w:tcW w:w="1277" w:type="dxa"/>
            <w:tcBorders>
              <w:top w:val="nil"/>
              <w:left w:val="nil"/>
              <w:bottom w:val="single" w:sz="4" w:space="0" w:color="000000"/>
              <w:right w:val="single" w:sz="4" w:space="0" w:color="000000"/>
            </w:tcBorders>
            <w:shd w:val="clear" w:color="auto" w:fill="auto"/>
            <w:noWrap/>
            <w:vAlign w:val="center"/>
            <w:hideMark/>
          </w:tcPr>
          <w:p w14:paraId="27FD854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209 649,4</w:t>
            </w:r>
          </w:p>
        </w:tc>
        <w:tc>
          <w:tcPr>
            <w:tcW w:w="1276" w:type="dxa"/>
            <w:tcBorders>
              <w:top w:val="nil"/>
              <w:left w:val="nil"/>
              <w:bottom w:val="single" w:sz="4" w:space="0" w:color="000000"/>
              <w:right w:val="single" w:sz="4" w:space="0" w:color="000000"/>
            </w:tcBorders>
            <w:shd w:val="clear" w:color="auto" w:fill="auto"/>
            <w:noWrap/>
            <w:vAlign w:val="center"/>
            <w:hideMark/>
          </w:tcPr>
          <w:p w14:paraId="43EE7BF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210 464,5</w:t>
            </w:r>
          </w:p>
        </w:tc>
        <w:tc>
          <w:tcPr>
            <w:tcW w:w="1275" w:type="dxa"/>
            <w:tcBorders>
              <w:top w:val="nil"/>
              <w:left w:val="nil"/>
              <w:bottom w:val="single" w:sz="4" w:space="0" w:color="000000"/>
              <w:right w:val="single" w:sz="4" w:space="0" w:color="000000"/>
            </w:tcBorders>
            <w:shd w:val="clear" w:color="auto" w:fill="auto"/>
            <w:noWrap/>
            <w:vAlign w:val="center"/>
            <w:hideMark/>
          </w:tcPr>
          <w:p w14:paraId="2F175D2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211 279,6</w:t>
            </w:r>
          </w:p>
        </w:tc>
      </w:tr>
      <w:tr w:rsidR="00996507" w:rsidRPr="00996507" w14:paraId="035E9ECC" w14:textId="77777777" w:rsidTr="00996507">
        <w:trPr>
          <w:trHeight w:val="855"/>
        </w:trPr>
        <w:tc>
          <w:tcPr>
            <w:tcW w:w="1701" w:type="dxa"/>
            <w:vMerge/>
            <w:tcBorders>
              <w:top w:val="nil"/>
              <w:left w:val="single" w:sz="4" w:space="0" w:color="auto"/>
              <w:bottom w:val="single" w:sz="4" w:space="0" w:color="auto"/>
              <w:right w:val="single" w:sz="4" w:space="0" w:color="auto"/>
            </w:tcBorders>
            <w:vAlign w:val="center"/>
            <w:hideMark/>
          </w:tcPr>
          <w:p w14:paraId="6CFE451C"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71AE3EF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 горячая вода</w:t>
            </w:r>
          </w:p>
        </w:tc>
        <w:tc>
          <w:tcPr>
            <w:tcW w:w="1151" w:type="dxa"/>
            <w:tcBorders>
              <w:top w:val="nil"/>
              <w:left w:val="nil"/>
              <w:bottom w:val="single" w:sz="4" w:space="0" w:color="auto"/>
              <w:right w:val="single" w:sz="4" w:space="0" w:color="auto"/>
            </w:tcBorders>
            <w:shd w:val="clear" w:color="000000" w:fill="FFFFFF"/>
            <w:hideMark/>
          </w:tcPr>
          <w:p w14:paraId="44B1F32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79CAEBC5"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40.3</w:t>
            </w:r>
          </w:p>
        </w:tc>
        <w:tc>
          <w:tcPr>
            <w:tcW w:w="1276" w:type="dxa"/>
            <w:tcBorders>
              <w:top w:val="nil"/>
              <w:left w:val="nil"/>
              <w:bottom w:val="single" w:sz="4" w:space="0" w:color="000000"/>
              <w:right w:val="single" w:sz="4" w:space="0" w:color="000000"/>
            </w:tcBorders>
            <w:shd w:val="clear" w:color="000000" w:fill="C0C0C0"/>
            <w:noWrap/>
            <w:vAlign w:val="center"/>
            <w:hideMark/>
          </w:tcPr>
          <w:p w14:paraId="78C3F06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0,03</w:t>
            </w:r>
          </w:p>
        </w:tc>
        <w:tc>
          <w:tcPr>
            <w:tcW w:w="1275" w:type="dxa"/>
            <w:tcBorders>
              <w:top w:val="nil"/>
              <w:left w:val="nil"/>
              <w:bottom w:val="single" w:sz="4" w:space="0" w:color="000000"/>
              <w:right w:val="single" w:sz="4" w:space="0" w:color="000000"/>
            </w:tcBorders>
            <w:shd w:val="clear" w:color="000000" w:fill="C0C0C0"/>
            <w:noWrap/>
            <w:vAlign w:val="center"/>
            <w:hideMark/>
          </w:tcPr>
          <w:p w14:paraId="0FE9B73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0,03</w:t>
            </w:r>
          </w:p>
        </w:tc>
        <w:tc>
          <w:tcPr>
            <w:tcW w:w="1275" w:type="dxa"/>
            <w:tcBorders>
              <w:top w:val="nil"/>
              <w:left w:val="nil"/>
              <w:bottom w:val="single" w:sz="4" w:space="0" w:color="000000"/>
              <w:right w:val="single" w:sz="4" w:space="0" w:color="000000"/>
            </w:tcBorders>
            <w:shd w:val="clear" w:color="000000" w:fill="C0C0C0"/>
            <w:noWrap/>
            <w:vAlign w:val="center"/>
            <w:hideMark/>
          </w:tcPr>
          <w:p w14:paraId="1425B9AE"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0,02</w:t>
            </w:r>
          </w:p>
        </w:tc>
        <w:tc>
          <w:tcPr>
            <w:tcW w:w="1277" w:type="dxa"/>
            <w:tcBorders>
              <w:top w:val="nil"/>
              <w:left w:val="nil"/>
              <w:bottom w:val="single" w:sz="4" w:space="0" w:color="000000"/>
              <w:right w:val="single" w:sz="4" w:space="0" w:color="000000"/>
            </w:tcBorders>
            <w:shd w:val="clear" w:color="000000" w:fill="C0C0C0"/>
            <w:noWrap/>
            <w:vAlign w:val="center"/>
            <w:hideMark/>
          </w:tcPr>
          <w:p w14:paraId="06510AC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0,02</w:t>
            </w:r>
          </w:p>
        </w:tc>
        <w:tc>
          <w:tcPr>
            <w:tcW w:w="1276" w:type="dxa"/>
            <w:tcBorders>
              <w:top w:val="nil"/>
              <w:left w:val="nil"/>
              <w:bottom w:val="single" w:sz="4" w:space="0" w:color="000000"/>
              <w:right w:val="single" w:sz="4" w:space="0" w:color="000000"/>
            </w:tcBorders>
            <w:shd w:val="clear" w:color="000000" w:fill="C0C0C0"/>
            <w:noWrap/>
            <w:vAlign w:val="center"/>
            <w:hideMark/>
          </w:tcPr>
          <w:p w14:paraId="6E16269D"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0,02</w:t>
            </w:r>
          </w:p>
        </w:tc>
        <w:tc>
          <w:tcPr>
            <w:tcW w:w="1275" w:type="dxa"/>
            <w:tcBorders>
              <w:top w:val="nil"/>
              <w:left w:val="nil"/>
              <w:bottom w:val="single" w:sz="4" w:space="0" w:color="000000"/>
              <w:right w:val="single" w:sz="4" w:space="0" w:color="000000"/>
            </w:tcBorders>
            <w:shd w:val="clear" w:color="000000" w:fill="C0C0C0"/>
            <w:noWrap/>
            <w:vAlign w:val="center"/>
            <w:hideMark/>
          </w:tcPr>
          <w:p w14:paraId="62D43E1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0,01</w:t>
            </w:r>
          </w:p>
        </w:tc>
      </w:tr>
      <w:tr w:rsidR="00996507" w:rsidRPr="00996507" w14:paraId="51AE62EE" w14:textId="77777777" w:rsidTr="00996507">
        <w:trPr>
          <w:trHeight w:val="765"/>
        </w:trPr>
        <w:tc>
          <w:tcPr>
            <w:tcW w:w="1701" w:type="dxa"/>
            <w:vMerge/>
            <w:tcBorders>
              <w:top w:val="nil"/>
              <w:left w:val="single" w:sz="4" w:space="0" w:color="auto"/>
              <w:bottom w:val="single" w:sz="4" w:space="0" w:color="auto"/>
              <w:right w:val="single" w:sz="4" w:space="0" w:color="auto"/>
            </w:tcBorders>
            <w:vAlign w:val="center"/>
            <w:hideMark/>
          </w:tcPr>
          <w:p w14:paraId="5FFEB28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914BF2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потребленной горячей воды муниципальными бюджетными учреждениями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3BF57B7B"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538EE863"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40.3.1</w:t>
            </w:r>
          </w:p>
        </w:tc>
        <w:tc>
          <w:tcPr>
            <w:tcW w:w="1276" w:type="dxa"/>
            <w:tcBorders>
              <w:top w:val="nil"/>
              <w:left w:val="nil"/>
              <w:bottom w:val="single" w:sz="4" w:space="0" w:color="000000"/>
              <w:right w:val="single" w:sz="4" w:space="0" w:color="000000"/>
            </w:tcBorders>
            <w:shd w:val="clear" w:color="auto" w:fill="auto"/>
            <w:noWrap/>
            <w:vAlign w:val="center"/>
            <w:hideMark/>
          </w:tcPr>
          <w:p w14:paraId="2C75FB7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2 987,8</w:t>
            </w:r>
          </w:p>
        </w:tc>
        <w:tc>
          <w:tcPr>
            <w:tcW w:w="1275" w:type="dxa"/>
            <w:tcBorders>
              <w:top w:val="nil"/>
              <w:left w:val="nil"/>
              <w:bottom w:val="single" w:sz="4" w:space="0" w:color="000000"/>
              <w:right w:val="single" w:sz="4" w:space="0" w:color="000000"/>
            </w:tcBorders>
            <w:shd w:val="clear" w:color="auto" w:fill="auto"/>
            <w:noWrap/>
            <w:vAlign w:val="center"/>
            <w:hideMark/>
          </w:tcPr>
          <w:p w14:paraId="453D452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3 079,9</w:t>
            </w:r>
          </w:p>
        </w:tc>
        <w:tc>
          <w:tcPr>
            <w:tcW w:w="1275" w:type="dxa"/>
            <w:tcBorders>
              <w:top w:val="nil"/>
              <w:left w:val="nil"/>
              <w:bottom w:val="single" w:sz="4" w:space="0" w:color="000000"/>
              <w:right w:val="single" w:sz="4" w:space="0" w:color="000000"/>
            </w:tcBorders>
            <w:shd w:val="clear" w:color="auto" w:fill="auto"/>
            <w:noWrap/>
            <w:vAlign w:val="center"/>
            <w:hideMark/>
          </w:tcPr>
          <w:p w14:paraId="5A93784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1 956,3</w:t>
            </w:r>
          </w:p>
        </w:tc>
        <w:tc>
          <w:tcPr>
            <w:tcW w:w="1277" w:type="dxa"/>
            <w:tcBorders>
              <w:top w:val="nil"/>
              <w:left w:val="nil"/>
              <w:bottom w:val="single" w:sz="4" w:space="0" w:color="000000"/>
              <w:right w:val="single" w:sz="4" w:space="0" w:color="000000"/>
            </w:tcBorders>
            <w:shd w:val="clear" w:color="auto" w:fill="auto"/>
            <w:noWrap/>
            <w:vAlign w:val="center"/>
            <w:hideMark/>
          </w:tcPr>
          <w:p w14:paraId="66795C8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1 792,4</w:t>
            </w:r>
          </w:p>
        </w:tc>
        <w:tc>
          <w:tcPr>
            <w:tcW w:w="1276" w:type="dxa"/>
            <w:tcBorders>
              <w:top w:val="nil"/>
              <w:left w:val="nil"/>
              <w:bottom w:val="single" w:sz="4" w:space="0" w:color="000000"/>
              <w:right w:val="single" w:sz="4" w:space="0" w:color="000000"/>
            </w:tcBorders>
            <w:shd w:val="clear" w:color="auto" w:fill="auto"/>
            <w:noWrap/>
            <w:vAlign w:val="center"/>
            <w:hideMark/>
          </w:tcPr>
          <w:p w14:paraId="58E0B8F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1 621,7</w:t>
            </w:r>
          </w:p>
        </w:tc>
        <w:tc>
          <w:tcPr>
            <w:tcW w:w="1275" w:type="dxa"/>
            <w:tcBorders>
              <w:top w:val="nil"/>
              <w:left w:val="nil"/>
              <w:bottom w:val="single" w:sz="4" w:space="0" w:color="000000"/>
              <w:right w:val="single" w:sz="4" w:space="0" w:color="000000"/>
            </w:tcBorders>
            <w:shd w:val="clear" w:color="auto" w:fill="auto"/>
            <w:noWrap/>
            <w:vAlign w:val="center"/>
            <w:hideMark/>
          </w:tcPr>
          <w:p w14:paraId="40247522"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1 444,4</w:t>
            </w:r>
          </w:p>
        </w:tc>
      </w:tr>
      <w:tr w:rsidR="00996507" w:rsidRPr="00996507" w14:paraId="11A04924" w14:textId="77777777" w:rsidTr="00996507">
        <w:trPr>
          <w:trHeight w:val="855"/>
        </w:trPr>
        <w:tc>
          <w:tcPr>
            <w:tcW w:w="1701" w:type="dxa"/>
            <w:vMerge/>
            <w:tcBorders>
              <w:top w:val="nil"/>
              <w:left w:val="single" w:sz="4" w:space="0" w:color="auto"/>
              <w:bottom w:val="single" w:sz="4" w:space="0" w:color="auto"/>
              <w:right w:val="single" w:sz="4" w:space="0" w:color="auto"/>
            </w:tcBorders>
            <w:vAlign w:val="center"/>
            <w:hideMark/>
          </w:tcPr>
          <w:p w14:paraId="2A162C8A"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2FB76913"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 холодная вода</w:t>
            </w:r>
          </w:p>
        </w:tc>
        <w:tc>
          <w:tcPr>
            <w:tcW w:w="1151" w:type="dxa"/>
            <w:tcBorders>
              <w:top w:val="nil"/>
              <w:left w:val="nil"/>
              <w:bottom w:val="single" w:sz="4" w:space="0" w:color="auto"/>
              <w:right w:val="single" w:sz="4" w:space="0" w:color="auto"/>
            </w:tcBorders>
            <w:shd w:val="clear" w:color="000000" w:fill="FFFFFF"/>
            <w:hideMark/>
          </w:tcPr>
          <w:p w14:paraId="2A46C78F"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786281A0"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40.4</w:t>
            </w:r>
          </w:p>
        </w:tc>
        <w:tc>
          <w:tcPr>
            <w:tcW w:w="1276" w:type="dxa"/>
            <w:tcBorders>
              <w:top w:val="nil"/>
              <w:left w:val="nil"/>
              <w:bottom w:val="single" w:sz="4" w:space="0" w:color="000000"/>
              <w:right w:val="single" w:sz="4" w:space="0" w:color="000000"/>
            </w:tcBorders>
            <w:shd w:val="clear" w:color="000000" w:fill="C0C0C0"/>
            <w:noWrap/>
            <w:vAlign w:val="center"/>
            <w:hideMark/>
          </w:tcPr>
          <w:p w14:paraId="7613DEAB"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1,13</w:t>
            </w:r>
          </w:p>
        </w:tc>
        <w:tc>
          <w:tcPr>
            <w:tcW w:w="1275" w:type="dxa"/>
            <w:tcBorders>
              <w:top w:val="nil"/>
              <w:left w:val="nil"/>
              <w:bottom w:val="single" w:sz="4" w:space="0" w:color="000000"/>
              <w:right w:val="single" w:sz="4" w:space="0" w:color="000000"/>
            </w:tcBorders>
            <w:shd w:val="clear" w:color="000000" w:fill="C0C0C0"/>
            <w:noWrap/>
            <w:vAlign w:val="center"/>
            <w:hideMark/>
          </w:tcPr>
          <w:p w14:paraId="7352369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1,09</w:t>
            </w:r>
          </w:p>
        </w:tc>
        <w:tc>
          <w:tcPr>
            <w:tcW w:w="1275" w:type="dxa"/>
            <w:tcBorders>
              <w:top w:val="nil"/>
              <w:left w:val="nil"/>
              <w:bottom w:val="single" w:sz="4" w:space="0" w:color="000000"/>
              <w:right w:val="single" w:sz="4" w:space="0" w:color="000000"/>
            </w:tcBorders>
            <w:shd w:val="clear" w:color="000000" w:fill="C0C0C0"/>
            <w:noWrap/>
            <w:vAlign w:val="center"/>
            <w:hideMark/>
          </w:tcPr>
          <w:p w14:paraId="34050B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1,02</w:t>
            </w:r>
          </w:p>
        </w:tc>
        <w:tc>
          <w:tcPr>
            <w:tcW w:w="1277" w:type="dxa"/>
            <w:tcBorders>
              <w:top w:val="nil"/>
              <w:left w:val="nil"/>
              <w:bottom w:val="single" w:sz="4" w:space="0" w:color="000000"/>
              <w:right w:val="single" w:sz="4" w:space="0" w:color="000000"/>
            </w:tcBorders>
            <w:shd w:val="clear" w:color="000000" w:fill="C0C0C0"/>
            <w:noWrap/>
            <w:vAlign w:val="center"/>
            <w:hideMark/>
          </w:tcPr>
          <w:p w14:paraId="40860DF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0,94</w:t>
            </w:r>
          </w:p>
        </w:tc>
        <w:tc>
          <w:tcPr>
            <w:tcW w:w="1276" w:type="dxa"/>
            <w:tcBorders>
              <w:top w:val="nil"/>
              <w:left w:val="nil"/>
              <w:bottom w:val="single" w:sz="4" w:space="0" w:color="000000"/>
              <w:right w:val="single" w:sz="4" w:space="0" w:color="000000"/>
            </w:tcBorders>
            <w:shd w:val="clear" w:color="000000" w:fill="C0C0C0"/>
            <w:noWrap/>
            <w:vAlign w:val="center"/>
            <w:hideMark/>
          </w:tcPr>
          <w:p w14:paraId="71D1F266"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0,86</w:t>
            </w:r>
          </w:p>
        </w:tc>
        <w:tc>
          <w:tcPr>
            <w:tcW w:w="1275" w:type="dxa"/>
            <w:tcBorders>
              <w:top w:val="nil"/>
              <w:left w:val="nil"/>
              <w:bottom w:val="single" w:sz="4" w:space="0" w:color="000000"/>
              <w:right w:val="single" w:sz="4" w:space="0" w:color="000000"/>
            </w:tcBorders>
            <w:shd w:val="clear" w:color="000000" w:fill="C0C0C0"/>
            <w:noWrap/>
            <w:vAlign w:val="center"/>
            <w:hideMark/>
          </w:tcPr>
          <w:p w14:paraId="1E4D2C1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0,78</w:t>
            </w:r>
          </w:p>
        </w:tc>
      </w:tr>
      <w:tr w:rsidR="00996507" w:rsidRPr="00996507" w14:paraId="3C3E9499" w14:textId="77777777" w:rsidTr="00996507">
        <w:trPr>
          <w:trHeight w:val="855"/>
        </w:trPr>
        <w:tc>
          <w:tcPr>
            <w:tcW w:w="1701" w:type="dxa"/>
            <w:vMerge/>
            <w:tcBorders>
              <w:top w:val="nil"/>
              <w:left w:val="single" w:sz="4" w:space="0" w:color="auto"/>
              <w:bottom w:val="single" w:sz="4" w:space="0" w:color="auto"/>
              <w:right w:val="single" w:sz="4" w:space="0" w:color="auto"/>
            </w:tcBorders>
            <w:vAlign w:val="center"/>
            <w:hideMark/>
          </w:tcPr>
          <w:p w14:paraId="4D22B01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46C92250"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потребленной холодной воды муниципальными бюджетными учреждениями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2D36425C"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159CA176"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40.4.1</w:t>
            </w:r>
          </w:p>
        </w:tc>
        <w:tc>
          <w:tcPr>
            <w:tcW w:w="1276" w:type="dxa"/>
            <w:tcBorders>
              <w:top w:val="nil"/>
              <w:left w:val="nil"/>
              <w:bottom w:val="single" w:sz="4" w:space="0" w:color="000000"/>
              <w:right w:val="single" w:sz="4" w:space="0" w:color="000000"/>
            </w:tcBorders>
            <w:shd w:val="clear" w:color="auto" w:fill="auto"/>
            <w:noWrap/>
            <w:vAlign w:val="center"/>
            <w:hideMark/>
          </w:tcPr>
          <w:p w14:paraId="34EADDC5"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106 698,0</w:t>
            </w:r>
          </w:p>
        </w:tc>
        <w:tc>
          <w:tcPr>
            <w:tcW w:w="1275" w:type="dxa"/>
            <w:tcBorders>
              <w:top w:val="nil"/>
              <w:left w:val="nil"/>
              <w:bottom w:val="single" w:sz="4" w:space="0" w:color="000000"/>
              <w:right w:val="single" w:sz="4" w:space="0" w:color="000000"/>
            </w:tcBorders>
            <w:shd w:val="clear" w:color="auto" w:fill="auto"/>
            <w:noWrap/>
            <w:vAlign w:val="center"/>
            <w:hideMark/>
          </w:tcPr>
          <w:p w14:paraId="314AA75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104 670,7</w:t>
            </w:r>
          </w:p>
        </w:tc>
        <w:tc>
          <w:tcPr>
            <w:tcW w:w="1275" w:type="dxa"/>
            <w:tcBorders>
              <w:top w:val="nil"/>
              <w:left w:val="nil"/>
              <w:bottom w:val="single" w:sz="4" w:space="0" w:color="000000"/>
              <w:right w:val="single" w:sz="4" w:space="0" w:color="000000"/>
            </w:tcBorders>
            <w:shd w:val="clear" w:color="auto" w:fill="auto"/>
            <w:noWrap/>
            <w:vAlign w:val="center"/>
            <w:hideMark/>
          </w:tcPr>
          <w:p w14:paraId="18033144"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99 770,3</w:t>
            </w:r>
          </w:p>
        </w:tc>
        <w:tc>
          <w:tcPr>
            <w:tcW w:w="1277" w:type="dxa"/>
            <w:tcBorders>
              <w:top w:val="nil"/>
              <w:left w:val="nil"/>
              <w:bottom w:val="single" w:sz="4" w:space="0" w:color="000000"/>
              <w:right w:val="single" w:sz="4" w:space="0" w:color="000000"/>
            </w:tcBorders>
            <w:shd w:val="clear" w:color="auto" w:fill="auto"/>
            <w:noWrap/>
            <w:vAlign w:val="center"/>
            <w:hideMark/>
          </w:tcPr>
          <w:p w14:paraId="4D85C40F"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93 601,4</w:t>
            </w:r>
          </w:p>
        </w:tc>
        <w:tc>
          <w:tcPr>
            <w:tcW w:w="1276" w:type="dxa"/>
            <w:tcBorders>
              <w:top w:val="nil"/>
              <w:left w:val="nil"/>
              <w:bottom w:val="single" w:sz="4" w:space="0" w:color="000000"/>
              <w:right w:val="single" w:sz="4" w:space="0" w:color="000000"/>
            </w:tcBorders>
            <w:shd w:val="clear" w:color="auto" w:fill="auto"/>
            <w:noWrap/>
            <w:vAlign w:val="center"/>
            <w:hideMark/>
          </w:tcPr>
          <w:p w14:paraId="1FBF62C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87 167,9</w:t>
            </w:r>
          </w:p>
        </w:tc>
        <w:tc>
          <w:tcPr>
            <w:tcW w:w="1275" w:type="dxa"/>
            <w:tcBorders>
              <w:top w:val="nil"/>
              <w:left w:val="nil"/>
              <w:bottom w:val="single" w:sz="4" w:space="0" w:color="000000"/>
              <w:right w:val="single" w:sz="4" w:space="0" w:color="000000"/>
            </w:tcBorders>
            <w:shd w:val="clear" w:color="auto" w:fill="auto"/>
            <w:noWrap/>
            <w:vAlign w:val="center"/>
            <w:hideMark/>
          </w:tcPr>
          <w:p w14:paraId="0C3DDC7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80 474,2</w:t>
            </w:r>
          </w:p>
        </w:tc>
      </w:tr>
      <w:tr w:rsidR="00996507" w:rsidRPr="00996507" w14:paraId="39764CC4" w14:textId="77777777" w:rsidTr="00996507">
        <w:trPr>
          <w:trHeight w:val="825"/>
        </w:trPr>
        <w:tc>
          <w:tcPr>
            <w:tcW w:w="1701" w:type="dxa"/>
            <w:vMerge/>
            <w:tcBorders>
              <w:top w:val="nil"/>
              <w:left w:val="single" w:sz="4" w:space="0" w:color="auto"/>
              <w:bottom w:val="single" w:sz="4" w:space="0" w:color="auto"/>
              <w:right w:val="single" w:sz="4" w:space="0" w:color="auto"/>
            </w:tcBorders>
            <w:vAlign w:val="center"/>
            <w:hideMark/>
          </w:tcPr>
          <w:p w14:paraId="47D7783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302CA104"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Удельная величина потребления энергетических ресурсов муниципальными бюджетными учреждениями: природный газ</w:t>
            </w:r>
          </w:p>
        </w:tc>
        <w:tc>
          <w:tcPr>
            <w:tcW w:w="1151" w:type="dxa"/>
            <w:tcBorders>
              <w:top w:val="nil"/>
              <w:left w:val="nil"/>
              <w:bottom w:val="single" w:sz="4" w:space="0" w:color="auto"/>
              <w:right w:val="single" w:sz="4" w:space="0" w:color="auto"/>
            </w:tcBorders>
            <w:shd w:val="clear" w:color="000000" w:fill="FFFFFF"/>
            <w:hideMark/>
          </w:tcPr>
          <w:p w14:paraId="3B29DCA9"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кубических метров на 1 проживающего</w:t>
            </w:r>
          </w:p>
        </w:tc>
        <w:tc>
          <w:tcPr>
            <w:tcW w:w="992" w:type="dxa"/>
            <w:tcBorders>
              <w:top w:val="nil"/>
              <w:left w:val="nil"/>
              <w:bottom w:val="single" w:sz="4" w:space="0" w:color="auto"/>
              <w:right w:val="single" w:sz="4" w:space="0" w:color="auto"/>
            </w:tcBorders>
            <w:shd w:val="clear" w:color="000000" w:fill="FFFFFF"/>
            <w:hideMark/>
          </w:tcPr>
          <w:p w14:paraId="500320C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40.5</w:t>
            </w:r>
          </w:p>
        </w:tc>
        <w:tc>
          <w:tcPr>
            <w:tcW w:w="1276" w:type="dxa"/>
            <w:tcBorders>
              <w:top w:val="nil"/>
              <w:left w:val="nil"/>
              <w:bottom w:val="single" w:sz="4" w:space="0" w:color="000000"/>
              <w:right w:val="single" w:sz="4" w:space="0" w:color="000000"/>
            </w:tcBorders>
            <w:shd w:val="clear" w:color="000000" w:fill="C0C0C0"/>
            <w:noWrap/>
            <w:vAlign w:val="center"/>
            <w:hideMark/>
          </w:tcPr>
          <w:p w14:paraId="230E376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73706FF0"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3B833E41"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7" w:type="dxa"/>
            <w:tcBorders>
              <w:top w:val="nil"/>
              <w:left w:val="nil"/>
              <w:bottom w:val="single" w:sz="4" w:space="0" w:color="000000"/>
              <w:right w:val="single" w:sz="4" w:space="0" w:color="000000"/>
            </w:tcBorders>
            <w:shd w:val="clear" w:color="000000" w:fill="C0C0C0"/>
            <w:noWrap/>
            <w:vAlign w:val="center"/>
            <w:hideMark/>
          </w:tcPr>
          <w:p w14:paraId="34F80507"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6" w:type="dxa"/>
            <w:tcBorders>
              <w:top w:val="nil"/>
              <w:left w:val="nil"/>
              <w:bottom w:val="single" w:sz="4" w:space="0" w:color="000000"/>
              <w:right w:val="single" w:sz="4" w:space="0" w:color="000000"/>
            </w:tcBorders>
            <w:shd w:val="clear" w:color="000000" w:fill="C0C0C0"/>
            <w:noWrap/>
            <w:vAlign w:val="center"/>
            <w:hideMark/>
          </w:tcPr>
          <w:p w14:paraId="29E5A6F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c>
          <w:tcPr>
            <w:tcW w:w="1275" w:type="dxa"/>
            <w:tcBorders>
              <w:top w:val="nil"/>
              <w:left w:val="nil"/>
              <w:bottom w:val="single" w:sz="4" w:space="0" w:color="000000"/>
              <w:right w:val="single" w:sz="4" w:space="0" w:color="000000"/>
            </w:tcBorders>
            <w:shd w:val="clear" w:color="000000" w:fill="C0C0C0"/>
            <w:noWrap/>
            <w:vAlign w:val="center"/>
            <w:hideMark/>
          </w:tcPr>
          <w:p w14:paraId="6A43789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0,00</w:t>
            </w:r>
          </w:p>
        </w:tc>
      </w:tr>
      <w:tr w:rsidR="00996507" w:rsidRPr="00996507" w14:paraId="06B0CCDF" w14:textId="77777777" w:rsidTr="00996507">
        <w:trPr>
          <w:trHeight w:val="1020"/>
        </w:trPr>
        <w:tc>
          <w:tcPr>
            <w:tcW w:w="1701" w:type="dxa"/>
            <w:vMerge/>
            <w:tcBorders>
              <w:top w:val="nil"/>
              <w:left w:val="single" w:sz="4" w:space="0" w:color="auto"/>
              <w:bottom w:val="single" w:sz="4" w:space="0" w:color="auto"/>
              <w:right w:val="single" w:sz="4" w:space="0" w:color="auto"/>
            </w:tcBorders>
            <w:vAlign w:val="center"/>
            <w:hideMark/>
          </w:tcPr>
          <w:p w14:paraId="0A6BC41D"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p>
        </w:tc>
        <w:tc>
          <w:tcPr>
            <w:tcW w:w="4378" w:type="dxa"/>
            <w:tcBorders>
              <w:top w:val="nil"/>
              <w:left w:val="nil"/>
              <w:bottom w:val="single" w:sz="4" w:space="0" w:color="auto"/>
              <w:right w:val="single" w:sz="4" w:space="0" w:color="auto"/>
            </w:tcBorders>
            <w:shd w:val="clear" w:color="000000" w:fill="FFFFFF"/>
            <w:hideMark/>
          </w:tcPr>
          <w:p w14:paraId="634F35E5" w14:textId="77777777" w:rsidR="00996507" w:rsidRPr="00996507" w:rsidRDefault="00996507" w:rsidP="009824C1">
            <w:pPr>
              <w:spacing w:after="0" w:line="240" w:lineRule="auto"/>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Суммарный объём потребленного природного газа всеми муниципальными бюджетными учреждениями на территории муниципального образования</w:t>
            </w:r>
          </w:p>
        </w:tc>
        <w:tc>
          <w:tcPr>
            <w:tcW w:w="1151" w:type="dxa"/>
            <w:tcBorders>
              <w:top w:val="nil"/>
              <w:left w:val="nil"/>
              <w:bottom w:val="single" w:sz="4" w:space="0" w:color="auto"/>
              <w:right w:val="single" w:sz="4" w:space="0" w:color="auto"/>
            </w:tcBorders>
            <w:shd w:val="clear" w:color="000000" w:fill="FFFFFF"/>
            <w:hideMark/>
          </w:tcPr>
          <w:p w14:paraId="70D37638"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Кубический метр</w:t>
            </w:r>
          </w:p>
        </w:tc>
        <w:tc>
          <w:tcPr>
            <w:tcW w:w="992" w:type="dxa"/>
            <w:tcBorders>
              <w:top w:val="nil"/>
              <w:left w:val="nil"/>
              <w:bottom w:val="single" w:sz="4" w:space="0" w:color="auto"/>
              <w:right w:val="single" w:sz="4" w:space="0" w:color="auto"/>
            </w:tcBorders>
            <w:shd w:val="clear" w:color="000000" w:fill="FFFFFF"/>
            <w:hideMark/>
          </w:tcPr>
          <w:p w14:paraId="7B6B2EFD" w14:textId="77777777" w:rsidR="00996507" w:rsidRPr="00996507" w:rsidRDefault="00996507" w:rsidP="009824C1">
            <w:pPr>
              <w:spacing w:after="0" w:line="240" w:lineRule="auto"/>
              <w:jc w:val="center"/>
              <w:rPr>
                <w:rFonts w:ascii="Times New Roman" w:eastAsia="Times New Roman" w:hAnsi="Times New Roman" w:cs="Times New Roman"/>
                <w:color w:val="000000"/>
                <w:sz w:val="20"/>
                <w:szCs w:val="20"/>
                <w:lang w:eastAsia="ru-RU"/>
              </w:rPr>
            </w:pPr>
            <w:r w:rsidRPr="00996507">
              <w:rPr>
                <w:rFonts w:ascii="Times New Roman" w:eastAsia="Times New Roman" w:hAnsi="Times New Roman" w:cs="Times New Roman"/>
                <w:color w:val="000000"/>
                <w:sz w:val="20"/>
                <w:szCs w:val="20"/>
                <w:lang w:eastAsia="ru-RU"/>
              </w:rPr>
              <w:t>40.5.1</w:t>
            </w:r>
          </w:p>
        </w:tc>
        <w:tc>
          <w:tcPr>
            <w:tcW w:w="1276" w:type="dxa"/>
            <w:tcBorders>
              <w:top w:val="nil"/>
              <w:left w:val="nil"/>
              <w:bottom w:val="single" w:sz="4" w:space="0" w:color="000000"/>
              <w:right w:val="single" w:sz="4" w:space="0" w:color="000000"/>
            </w:tcBorders>
            <w:shd w:val="clear" w:color="auto" w:fill="auto"/>
            <w:noWrap/>
            <w:vAlign w:val="center"/>
            <w:hideMark/>
          </w:tcPr>
          <w:p w14:paraId="59F6884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61D73368"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17DC0349"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7" w:type="dxa"/>
            <w:tcBorders>
              <w:top w:val="nil"/>
              <w:left w:val="nil"/>
              <w:bottom w:val="single" w:sz="4" w:space="0" w:color="000000"/>
              <w:right w:val="single" w:sz="4" w:space="0" w:color="000000"/>
            </w:tcBorders>
            <w:shd w:val="clear" w:color="auto" w:fill="auto"/>
            <w:noWrap/>
            <w:vAlign w:val="center"/>
            <w:hideMark/>
          </w:tcPr>
          <w:p w14:paraId="6E76CD93"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6" w:type="dxa"/>
            <w:tcBorders>
              <w:top w:val="nil"/>
              <w:left w:val="nil"/>
              <w:bottom w:val="single" w:sz="4" w:space="0" w:color="000000"/>
              <w:right w:val="single" w:sz="4" w:space="0" w:color="000000"/>
            </w:tcBorders>
            <w:shd w:val="clear" w:color="auto" w:fill="auto"/>
            <w:noWrap/>
            <w:vAlign w:val="center"/>
            <w:hideMark/>
          </w:tcPr>
          <w:p w14:paraId="5EB97A3C"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c>
          <w:tcPr>
            <w:tcW w:w="1275" w:type="dxa"/>
            <w:tcBorders>
              <w:top w:val="nil"/>
              <w:left w:val="nil"/>
              <w:bottom w:val="single" w:sz="4" w:space="0" w:color="000000"/>
              <w:right w:val="single" w:sz="4" w:space="0" w:color="000000"/>
            </w:tcBorders>
            <w:shd w:val="clear" w:color="auto" w:fill="auto"/>
            <w:noWrap/>
            <w:vAlign w:val="center"/>
            <w:hideMark/>
          </w:tcPr>
          <w:p w14:paraId="0C9336FA" w14:textId="77777777" w:rsidR="00996507" w:rsidRPr="00996507" w:rsidRDefault="00996507" w:rsidP="009824C1">
            <w:pPr>
              <w:spacing w:after="0" w:line="240" w:lineRule="auto"/>
              <w:jc w:val="right"/>
              <w:rPr>
                <w:rFonts w:ascii="Times New Roman" w:eastAsia="Times New Roman" w:hAnsi="Times New Roman" w:cs="Times New Roman"/>
                <w:sz w:val="20"/>
                <w:szCs w:val="20"/>
                <w:lang w:eastAsia="ru-RU"/>
              </w:rPr>
            </w:pPr>
            <w:r w:rsidRPr="00996507">
              <w:rPr>
                <w:rFonts w:ascii="Times New Roman" w:eastAsia="Times New Roman" w:hAnsi="Times New Roman" w:cs="Times New Roman"/>
                <w:sz w:val="20"/>
                <w:szCs w:val="20"/>
                <w:lang w:eastAsia="ru-RU"/>
              </w:rPr>
              <w:t xml:space="preserve"> 0,0</w:t>
            </w:r>
          </w:p>
        </w:tc>
      </w:tr>
    </w:tbl>
    <w:p w14:paraId="2763FBCC" w14:textId="77777777" w:rsidR="008D6DF6" w:rsidRPr="0013502F" w:rsidRDefault="008D6DF6" w:rsidP="00527456">
      <w:pPr>
        <w:spacing w:after="0" w:line="240" w:lineRule="auto"/>
        <w:ind w:firstLine="709"/>
        <w:rPr>
          <w:lang w:eastAsia="ru-RU"/>
        </w:rPr>
      </w:pPr>
    </w:p>
    <w:p w14:paraId="41BF8B97" w14:textId="77777777" w:rsidR="008D6DF6" w:rsidRPr="0013502F" w:rsidRDefault="008D6DF6" w:rsidP="00527456">
      <w:pPr>
        <w:spacing w:after="0" w:line="240" w:lineRule="auto"/>
        <w:ind w:firstLine="709"/>
        <w:rPr>
          <w:lang w:eastAsia="ru-RU"/>
        </w:rPr>
      </w:pPr>
    </w:p>
    <w:p w14:paraId="6C5AE875" w14:textId="77777777" w:rsidR="008D6DF6" w:rsidRPr="0013502F" w:rsidRDefault="008D6DF6" w:rsidP="00527456">
      <w:pPr>
        <w:spacing w:after="0" w:line="240" w:lineRule="auto"/>
        <w:ind w:firstLine="709"/>
        <w:rPr>
          <w:lang w:eastAsia="ru-RU"/>
        </w:rPr>
      </w:pPr>
    </w:p>
    <w:p w14:paraId="7694D114" w14:textId="77777777" w:rsidR="008D6DF6" w:rsidRPr="0013502F" w:rsidRDefault="008D6DF6" w:rsidP="00527456">
      <w:pPr>
        <w:spacing w:after="0" w:line="240" w:lineRule="auto"/>
        <w:ind w:firstLine="709"/>
        <w:rPr>
          <w:lang w:eastAsia="ru-RU"/>
        </w:rPr>
      </w:pPr>
    </w:p>
    <w:p w14:paraId="4625E0C7" w14:textId="77777777" w:rsidR="008D6DF6" w:rsidRPr="0013502F" w:rsidRDefault="008D6DF6" w:rsidP="00527456">
      <w:pPr>
        <w:spacing w:after="0" w:line="240" w:lineRule="auto"/>
        <w:ind w:firstLine="709"/>
        <w:rPr>
          <w:lang w:eastAsia="ru-RU"/>
        </w:rPr>
      </w:pPr>
    </w:p>
    <w:p w14:paraId="362D1D84" w14:textId="77777777" w:rsidR="00BE476E" w:rsidRPr="0013502F" w:rsidRDefault="00BE476E" w:rsidP="00527456">
      <w:pPr>
        <w:pStyle w:val="1"/>
        <w:spacing w:before="0" w:line="240" w:lineRule="auto"/>
        <w:ind w:firstLine="709"/>
        <w:jc w:val="both"/>
        <w:rPr>
          <w:rFonts w:ascii="Times New Roman" w:eastAsia="Calibri" w:hAnsi="Times New Roman" w:cs="Times New Roman"/>
          <w:color w:val="auto"/>
          <w:lang w:eastAsia="ru-RU"/>
        </w:rPr>
        <w:sectPr w:rsidR="00BE476E" w:rsidRPr="0013502F" w:rsidSect="00AA7E3E">
          <w:pgSz w:w="16838" w:h="11906" w:orient="landscape"/>
          <w:pgMar w:top="1134" w:right="851" w:bottom="851" w:left="1134" w:header="709" w:footer="709" w:gutter="0"/>
          <w:cols w:space="708"/>
          <w:docGrid w:linePitch="360"/>
        </w:sectPr>
      </w:pPr>
    </w:p>
    <w:p w14:paraId="7BD22804" w14:textId="77777777" w:rsidR="00EB4435" w:rsidRPr="0013502F" w:rsidRDefault="00EB4435" w:rsidP="00527456">
      <w:pPr>
        <w:pStyle w:val="1"/>
        <w:spacing w:before="0" w:line="240" w:lineRule="auto"/>
        <w:ind w:firstLine="709"/>
        <w:jc w:val="both"/>
        <w:rPr>
          <w:rFonts w:ascii="Times New Roman" w:eastAsia="Calibri" w:hAnsi="Times New Roman" w:cs="Times New Roman"/>
          <w:color w:val="auto"/>
          <w:lang w:eastAsia="ru-RU"/>
        </w:rPr>
      </w:pPr>
      <w:r w:rsidRPr="0013502F">
        <w:rPr>
          <w:rFonts w:ascii="Times New Roman" w:eastAsia="Calibri" w:hAnsi="Times New Roman" w:cs="Times New Roman"/>
          <w:color w:val="auto"/>
          <w:lang w:eastAsia="ru-RU"/>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p w14:paraId="48562434" w14:textId="77777777" w:rsidR="00EB4435" w:rsidRPr="0013502F" w:rsidRDefault="00EB4435" w:rsidP="00527456">
      <w:pPr>
        <w:spacing w:after="0" w:line="240" w:lineRule="auto"/>
        <w:ind w:firstLine="709"/>
        <w:jc w:val="center"/>
        <w:rPr>
          <w:rFonts w:ascii="Times New Roman" w:eastAsia="Calibri" w:hAnsi="Times New Roman" w:cs="Times New Roman"/>
          <w:sz w:val="28"/>
          <w:szCs w:val="28"/>
        </w:rPr>
      </w:pPr>
    </w:p>
    <w:p w14:paraId="2BB7B762" w14:textId="77777777" w:rsidR="00D95B29" w:rsidRDefault="00D95B29"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p>
    <w:p w14:paraId="4202F1EF" w14:textId="77777777" w:rsidR="00C746D6" w:rsidRPr="0013502F" w:rsidRDefault="00C746D6"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060834AC"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целях реализации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продолжена работа по развитию</w:t>
      </w:r>
      <w:r w:rsidRPr="0013502F">
        <w:rPr>
          <w:rFonts w:ascii="Times New Roman" w:eastAsia="Calibri" w:hAnsi="Times New Roman" w:cs="Times New Roman"/>
        </w:rPr>
        <w:t xml:space="preserve"> </w:t>
      </w:r>
      <w:r w:rsidRPr="0013502F">
        <w:rPr>
          <w:rFonts w:ascii="Times New Roman" w:eastAsia="Calibri" w:hAnsi="Times New Roman" w:cs="Times New Roman"/>
          <w:sz w:val="28"/>
          <w:szCs w:val="28"/>
          <w:lang w:eastAsia="ru-RU"/>
        </w:rPr>
        <w:t>и продвижению Официального портала органов местного самоуправления города Ханты-Мансийска (далее – Официальный портал).</w:t>
      </w:r>
    </w:p>
    <w:p w14:paraId="03D94B9B" w14:textId="77777777" w:rsidR="00887BD8" w:rsidRPr="0013502F" w:rsidRDefault="00887BD8" w:rsidP="0052745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2016 году по сравнению в 2015 годом практически в 2,5 раза увеличилось количество обращений граждан в органы Администрации посредством интерактивного сервиса «Улучшим наш город». По большинству заявок были приняты необходимые меры (2013 год – 112, 2014 год – 34, 2015 год –</w:t>
      </w:r>
      <w:r w:rsidR="00527456">
        <w:rPr>
          <w:rFonts w:ascii="Times New Roman" w:eastAsia="Calibri" w:hAnsi="Times New Roman" w:cs="Times New Roman"/>
          <w:sz w:val="28"/>
          <w:szCs w:val="28"/>
          <w:lang w:eastAsia="ru-RU"/>
        </w:rPr>
        <w:t xml:space="preserve"> 110, 2016 год – 262) (Рисунок </w:t>
      </w:r>
      <w:r w:rsidRPr="0013502F">
        <w:rPr>
          <w:rFonts w:ascii="Times New Roman" w:eastAsia="Calibri" w:hAnsi="Times New Roman" w:cs="Times New Roman"/>
          <w:sz w:val="28"/>
          <w:szCs w:val="28"/>
          <w:lang w:eastAsia="ru-RU"/>
        </w:rPr>
        <w:t>9).</w:t>
      </w:r>
    </w:p>
    <w:p w14:paraId="423637B9"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350499D0" w14:textId="77777777" w:rsidR="00ED543A" w:rsidRPr="0013502F" w:rsidRDefault="00527456" w:rsidP="00527456">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Рисунок 9</w:t>
      </w:r>
    </w:p>
    <w:p w14:paraId="0C8D7FBB" w14:textId="77777777" w:rsidR="00887BD8" w:rsidRDefault="00887BD8" w:rsidP="00527456">
      <w:pPr>
        <w:spacing w:after="0" w:line="240" w:lineRule="auto"/>
        <w:ind w:firstLine="567"/>
        <w:jc w:val="center"/>
        <w:rPr>
          <w:rFonts w:ascii="Times New Roman" w:eastAsia="Calibri" w:hAnsi="Times New Roman" w:cs="Times New Roman"/>
          <w:sz w:val="24"/>
          <w:szCs w:val="24"/>
          <w:lang w:eastAsia="ru-RU"/>
        </w:rPr>
      </w:pPr>
      <w:r w:rsidRPr="0013502F">
        <w:rPr>
          <w:rFonts w:ascii="Times New Roman" w:eastAsia="Calibri" w:hAnsi="Times New Roman" w:cs="Times New Roman"/>
          <w:sz w:val="24"/>
          <w:szCs w:val="24"/>
          <w:lang w:eastAsia="ru-RU"/>
        </w:rPr>
        <w:t>Улучшим наш город</w:t>
      </w:r>
    </w:p>
    <w:p w14:paraId="2B69E122" w14:textId="77777777" w:rsidR="00C746D6" w:rsidRPr="0013502F" w:rsidRDefault="00C746D6" w:rsidP="00527456">
      <w:pPr>
        <w:spacing w:after="0" w:line="240" w:lineRule="auto"/>
        <w:ind w:firstLine="567"/>
        <w:jc w:val="center"/>
        <w:rPr>
          <w:rFonts w:ascii="Times New Roman" w:eastAsia="Calibri" w:hAnsi="Times New Roman" w:cs="Times New Roman"/>
          <w:sz w:val="24"/>
          <w:szCs w:val="24"/>
          <w:lang w:eastAsia="ru-RU"/>
        </w:rPr>
      </w:pPr>
    </w:p>
    <w:p w14:paraId="17EE91AC" w14:textId="77777777" w:rsidR="00ED543A" w:rsidRPr="0013502F" w:rsidRDefault="00887BD8" w:rsidP="00527456">
      <w:pPr>
        <w:widowControl w:val="0"/>
        <w:shd w:val="clear" w:color="auto" w:fill="FFFFFF"/>
        <w:spacing w:after="0" w:line="240" w:lineRule="auto"/>
        <w:jc w:val="center"/>
        <w:rPr>
          <w:rFonts w:ascii="Times New Roman" w:eastAsia="Calibri" w:hAnsi="Times New Roman" w:cs="Times New Roman"/>
          <w:sz w:val="28"/>
          <w:szCs w:val="28"/>
          <w:lang w:eastAsia="ru-RU"/>
        </w:rPr>
      </w:pPr>
      <w:r w:rsidRPr="0013502F">
        <w:rPr>
          <w:rFonts w:ascii="Times New Roman" w:hAnsi="Times New Roman" w:cs="Times New Roman"/>
          <w:noProof/>
          <w:lang w:eastAsia="ru-RU"/>
        </w:rPr>
        <w:drawing>
          <wp:inline distT="0" distB="0" distL="0" distR="0" wp14:anchorId="450F8A3E" wp14:editId="00373AFA">
            <wp:extent cx="3924300" cy="1689100"/>
            <wp:effectExtent l="0" t="0" r="0" b="63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572F6E" w14:textId="77777777" w:rsidR="003D2F8B" w:rsidRPr="0013502F" w:rsidRDefault="003D2F8B" w:rsidP="0052745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p>
    <w:p w14:paraId="49C34E6D" w14:textId="77777777" w:rsidR="00887BD8" w:rsidRPr="0013502F" w:rsidRDefault="00887BD8" w:rsidP="00527456">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 xml:space="preserve">В 2016 году на 43 % по сравнению с 2015 годом увеличилось число горожан, подписанных на бесплатную СМС-рассылку о проводимых мероприятиях, публичных слушаниях, актированных днях (2013 год – 308, 2014 год – 964, 2015 год – 1566, 2016 год – 2240 (Рисунок </w:t>
      </w:r>
      <w:r w:rsidR="00527456">
        <w:rPr>
          <w:rFonts w:ascii="Times New Roman" w:eastAsia="Calibri" w:hAnsi="Times New Roman" w:cs="Times New Roman"/>
          <w:sz w:val="28"/>
          <w:szCs w:val="28"/>
          <w:lang w:eastAsia="ru-RU"/>
        </w:rPr>
        <w:t>1</w:t>
      </w:r>
      <w:r w:rsidRPr="0013502F">
        <w:rPr>
          <w:rFonts w:ascii="Times New Roman" w:eastAsia="Calibri" w:hAnsi="Times New Roman" w:cs="Times New Roman"/>
          <w:sz w:val="28"/>
          <w:szCs w:val="28"/>
          <w:lang w:eastAsia="ru-RU"/>
        </w:rPr>
        <w:t>0).</w:t>
      </w:r>
    </w:p>
    <w:p w14:paraId="64A47FAA" w14:textId="77777777" w:rsidR="00887BD8" w:rsidRDefault="00887BD8" w:rsidP="00527456">
      <w:pPr>
        <w:spacing w:after="0" w:line="240" w:lineRule="auto"/>
        <w:ind w:firstLine="709"/>
        <w:jc w:val="right"/>
        <w:rPr>
          <w:rFonts w:ascii="Times New Roman" w:eastAsia="Calibri" w:hAnsi="Times New Roman" w:cs="Times New Roman"/>
          <w:sz w:val="28"/>
          <w:szCs w:val="28"/>
          <w:lang w:eastAsia="ru-RU"/>
        </w:rPr>
      </w:pPr>
    </w:p>
    <w:p w14:paraId="15C29552"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64E7283A"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12FF372D"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63F487B9"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37079DE6"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3A41444A"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74E5AC83" w14:textId="77777777" w:rsidR="00C746D6" w:rsidRPr="0013502F" w:rsidRDefault="00C746D6" w:rsidP="00527456">
      <w:pPr>
        <w:spacing w:after="0" w:line="240" w:lineRule="auto"/>
        <w:ind w:firstLine="709"/>
        <w:jc w:val="right"/>
        <w:rPr>
          <w:rFonts w:ascii="Times New Roman" w:eastAsia="Calibri" w:hAnsi="Times New Roman" w:cs="Times New Roman"/>
          <w:sz w:val="28"/>
          <w:szCs w:val="28"/>
          <w:lang w:eastAsia="ru-RU"/>
        </w:rPr>
      </w:pPr>
    </w:p>
    <w:p w14:paraId="2A18116E" w14:textId="77777777" w:rsidR="00887BD8" w:rsidRPr="0013502F" w:rsidRDefault="00527456" w:rsidP="00527456">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Рисунок 1</w:t>
      </w:r>
      <w:r w:rsidR="00887BD8" w:rsidRPr="0013502F">
        <w:rPr>
          <w:rFonts w:ascii="Times New Roman" w:eastAsia="Calibri" w:hAnsi="Times New Roman" w:cs="Times New Roman"/>
          <w:sz w:val="28"/>
          <w:szCs w:val="28"/>
          <w:lang w:eastAsia="ru-RU"/>
        </w:rPr>
        <w:t>0</w:t>
      </w:r>
    </w:p>
    <w:p w14:paraId="78617BE7" w14:textId="77777777" w:rsidR="00887BD8" w:rsidRDefault="00887BD8" w:rsidP="00527456">
      <w:pPr>
        <w:spacing w:after="0" w:line="240" w:lineRule="auto"/>
        <w:ind w:firstLine="567"/>
        <w:jc w:val="center"/>
        <w:rPr>
          <w:rFonts w:ascii="Times New Roman" w:eastAsia="Calibri" w:hAnsi="Times New Roman" w:cs="Times New Roman"/>
          <w:sz w:val="24"/>
          <w:szCs w:val="24"/>
          <w:lang w:eastAsia="ru-RU"/>
        </w:rPr>
      </w:pPr>
      <w:r w:rsidRPr="0013502F">
        <w:rPr>
          <w:rFonts w:ascii="Times New Roman" w:eastAsia="Calibri" w:hAnsi="Times New Roman" w:cs="Times New Roman"/>
          <w:sz w:val="24"/>
          <w:szCs w:val="24"/>
          <w:lang w:eastAsia="ru-RU"/>
        </w:rPr>
        <w:t>Количество граждан, подписанных на смс-рассылку</w:t>
      </w:r>
    </w:p>
    <w:p w14:paraId="4EDB500B" w14:textId="77777777" w:rsidR="00C746D6" w:rsidRPr="0013502F" w:rsidRDefault="00C746D6" w:rsidP="00527456">
      <w:pPr>
        <w:spacing w:after="0" w:line="240" w:lineRule="auto"/>
        <w:ind w:firstLine="567"/>
        <w:jc w:val="center"/>
        <w:rPr>
          <w:rFonts w:ascii="Times New Roman" w:eastAsia="Calibri" w:hAnsi="Times New Roman" w:cs="Times New Roman"/>
          <w:sz w:val="24"/>
          <w:szCs w:val="24"/>
          <w:lang w:eastAsia="ru-RU"/>
        </w:rPr>
      </w:pPr>
    </w:p>
    <w:p w14:paraId="4E9A8B0A" w14:textId="77777777" w:rsidR="00887BD8" w:rsidRPr="0013502F" w:rsidRDefault="00887BD8" w:rsidP="00527456">
      <w:pPr>
        <w:spacing w:after="0" w:line="240" w:lineRule="auto"/>
        <w:ind w:firstLine="709"/>
        <w:jc w:val="center"/>
        <w:rPr>
          <w:rFonts w:ascii="Times New Roman" w:eastAsia="Calibri" w:hAnsi="Times New Roman" w:cs="Times New Roman"/>
          <w:sz w:val="28"/>
          <w:szCs w:val="28"/>
          <w:lang w:eastAsia="ru-RU"/>
        </w:rPr>
      </w:pPr>
      <w:r w:rsidRPr="0013502F">
        <w:rPr>
          <w:rFonts w:ascii="Times New Roman" w:hAnsi="Times New Roman" w:cs="Times New Roman"/>
          <w:noProof/>
          <w:lang w:eastAsia="ru-RU"/>
        </w:rPr>
        <w:drawing>
          <wp:inline distT="0" distB="0" distL="0" distR="0" wp14:anchorId="61DE431D" wp14:editId="26C19584">
            <wp:extent cx="3417570" cy="1581150"/>
            <wp:effectExtent l="0" t="0" r="1143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D4DEB2" w14:textId="77777777" w:rsidR="00C746D6" w:rsidRDefault="00C746D6" w:rsidP="00527456">
      <w:pPr>
        <w:spacing w:after="0" w:line="240" w:lineRule="auto"/>
        <w:ind w:firstLine="709"/>
        <w:jc w:val="both"/>
        <w:rPr>
          <w:rFonts w:ascii="Times New Roman" w:eastAsia="Calibri" w:hAnsi="Times New Roman" w:cs="Times New Roman"/>
          <w:sz w:val="28"/>
          <w:szCs w:val="28"/>
        </w:rPr>
      </w:pPr>
    </w:p>
    <w:p w14:paraId="167000E6" w14:textId="77777777" w:rsidR="00887BD8" w:rsidRPr="0013502F" w:rsidRDefault="00887BD8" w:rsidP="00527456">
      <w:pPr>
        <w:spacing w:after="0" w:line="240" w:lineRule="auto"/>
        <w:ind w:firstLine="709"/>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rPr>
        <w:t xml:space="preserve">На 10 % увеличилось количество </w:t>
      </w:r>
      <w:r w:rsidRPr="0013502F">
        <w:rPr>
          <w:rFonts w:ascii="Times New Roman" w:eastAsia="Calibri" w:hAnsi="Times New Roman" w:cs="Times New Roman"/>
          <w:sz w:val="28"/>
          <w:szCs w:val="28"/>
          <w:lang w:eastAsia="ru-RU"/>
        </w:rPr>
        <w:t>запросов на проверку очереди в детские сады (2013 год – 8 000, 2014 год – 12 000, 2015 год – 20 248</w:t>
      </w:r>
      <w:r w:rsidR="00527456">
        <w:rPr>
          <w:rFonts w:ascii="Times New Roman" w:eastAsia="Calibri" w:hAnsi="Times New Roman" w:cs="Times New Roman"/>
          <w:sz w:val="28"/>
          <w:szCs w:val="28"/>
          <w:lang w:eastAsia="ru-RU"/>
        </w:rPr>
        <w:t>, 2016 год – 22 352</w:t>
      </w:r>
      <w:proofErr w:type="gramStart"/>
      <w:r w:rsidR="00527456">
        <w:rPr>
          <w:rFonts w:ascii="Times New Roman" w:eastAsia="Calibri" w:hAnsi="Times New Roman" w:cs="Times New Roman"/>
          <w:sz w:val="28"/>
          <w:szCs w:val="28"/>
          <w:lang w:eastAsia="ru-RU"/>
        </w:rPr>
        <w:t>)  (</w:t>
      </w:r>
      <w:proofErr w:type="gramEnd"/>
      <w:r w:rsidR="00527456">
        <w:rPr>
          <w:rFonts w:ascii="Times New Roman" w:eastAsia="Calibri" w:hAnsi="Times New Roman" w:cs="Times New Roman"/>
          <w:sz w:val="28"/>
          <w:szCs w:val="28"/>
          <w:lang w:eastAsia="ru-RU"/>
        </w:rPr>
        <w:t>Рисунок 1</w:t>
      </w:r>
      <w:r w:rsidRPr="0013502F">
        <w:rPr>
          <w:rFonts w:ascii="Times New Roman" w:eastAsia="Calibri" w:hAnsi="Times New Roman" w:cs="Times New Roman"/>
          <w:sz w:val="28"/>
          <w:szCs w:val="28"/>
          <w:lang w:eastAsia="ru-RU"/>
        </w:rPr>
        <w:t xml:space="preserve">1). </w:t>
      </w:r>
    </w:p>
    <w:p w14:paraId="61DF2DCD" w14:textId="77777777" w:rsidR="00C746D6" w:rsidRDefault="00C746D6" w:rsidP="00527456">
      <w:pPr>
        <w:spacing w:after="0" w:line="240" w:lineRule="auto"/>
        <w:ind w:firstLine="709"/>
        <w:jc w:val="right"/>
        <w:rPr>
          <w:rFonts w:ascii="Times New Roman" w:eastAsia="Calibri" w:hAnsi="Times New Roman" w:cs="Times New Roman"/>
          <w:sz w:val="28"/>
          <w:szCs w:val="28"/>
          <w:lang w:eastAsia="ru-RU"/>
        </w:rPr>
      </w:pPr>
    </w:p>
    <w:p w14:paraId="49ECFECB" w14:textId="77777777" w:rsidR="00887BD8" w:rsidRPr="0013502F" w:rsidRDefault="00527456" w:rsidP="00527456">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Рисунок 1</w:t>
      </w:r>
      <w:r w:rsidR="00887BD8" w:rsidRPr="0013502F">
        <w:rPr>
          <w:rFonts w:ascii="Times New Roman" w:eastAsia="Calibri" w:hAnsi="Times New Roman" w:cs="Times New Roman"/>
          <w:sz w:val="28"/>
          <w:szCs w:val="28"/>
          <w:lang w:eastAsia="ru-RU"/>
        </w:rPr>
        <w:t>1</w:t>
      </w:r>
    </w:p>
    <w:p w14:paraId="23F78C1D" w14:textId="77777777" w:rsidR="00887BD8" w:rsidRDefault="00887BD8" w:rsidP="00527456">
      <w:pPr>
        <w:spacing w:after="0" w:line="240" w:lineRule="auto"/>
        <w:ind w:firstLine="567"/>
        <w:jc w:val="center"/>
        <w:rPr>
          <w:rFonts w:ascii="Times New Roman" w:eastAsia="Calibri" w:hAnsi="Times New Roman" w:cs="Times New Roman"/>
          <w:sz w:val="24"/>
          <w:szCs w:val="24"/>
          <w:lang w:eastAsia="ru-RU"/>
        </w:rPr>
      </w:pPr>
      <w:r w:rsidRPr="0013502F">
        <w:rPr>
          <w:rFonts w:ascii="Times New Roman" w:eastAsia="Calibri" w:hAnsi="Times New Roman" w:cs="Times New Roman"/>
          <w:sz w:val="24"/>
          <w:szCs w:val="24"/>
          <w:lang w:eastAsia="ru-RU"/>
        </w:rPr>
        <w:t>Количество запросов на проверку очереди в детский сад</w:t>
      </w:r>
    </w:p>
    <w:p w14:paraId="6AC6EA42" w14:textId="77777777" w:rsidR="00C746D6" w:rsidRPr="0013502F" w:rsidRDefault="00C746D6" w:rsidP="00527456">
      <w:pPr>
        <w:spacing w:after="0" w:line="240" w:lineRule="auto"/>
        <w:ind w:firstLine="567"/>
        <w:jc w:val="center"/>
        <w:rPr>
          <w:rFonts w:ascii="Times New Roman" w:eastAsia="Calibri" w:hAnsi="Times New Roman" w:cs="Times New Roman"/>
          <w:sz w:val="24"/>
          <w:szCs w:val="24"/>
          <w:lang w:eastAsia="ru-RU"/>
        </w:rPr>
      </w:pPr>
    </w:p>
    <w:p w14:paraId="6C15C8E1" w14:textId="77777777" w:rsidR="00887BD8" w:rsidRPr="0013502F" w:rsidRDefault="00887BD8" w:rsidP="00527456">
      <w:pPr>
        <w:spacing w:after="0" w:line="240" w:lineRule="auto"/>
        <w:ind w:firstLine="709"/>
        <w:jc w:val="center"/>
        <w:rPr>
          <w:rFonts w:ascii="Times New Roman" w:eastAsia="Calibri" w:hAnsi="Times New Roman" w:cs="Times New Roman"/>
          <w:sz w:val="28"/>
          <w:szCs w:val="28"/>
          <w:lang w:eastAsia="ru-RU"/>
        </w:rPr>
      </w:pPr>
      <w:r w:rsidRPr="0013502F">
        <w:rPr>
          <w:rFonts w:ascii="Times New Roman" w:eastAsia="Calibri" w:hAnsi="Times New Roman" w:cs="Times New Roman"/>
          <w:noProof/>
          <w:lang w:eastAsia="ru-RU"/>
        </w:rPr>
        <w:drawing>
          <wp:inline distT="0" distB="0" distL="0" distR="0" wp14:anchorId="6B91B2FB" wp14:editId="4F8C32B4">
            <wp:extent cx="3838575" cy="1699260"/>
            <wp:effectExtent l="0" t="0" r="9525" b="1524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C856F4"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p>
    <w:p w14:paraId="12BC81D2"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текущем году на Официальном портале появился новый интерактивный сервис «Карта гаражно-строительных кооперативов и садово-огороднических товариществ», где можно получить информацию по всем садово-огородническим товариществам и гаражно-строительным кооперативам (паспорт объекта, местоположение, проложить маршрут проезда).</w:t>
      </w:r>
    </w:p>
    <w:p w14:paraId="64CD0B16"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Общий объем информации, размещенной на официальном информационном портале, составляет более 62 Гигабайт.</w:t>
      </w:r>
    </w:p>
    <w:p w14:paraId="292F34DE"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 xml:space="preserve">Такое значительное количество информации, размещаемой на портале и увеличение количества пользователей сервисов Официального информационного портала, свидетельствует о его востребованности среди жителей города, актуальности, доступности и открытости информации о деятельности органов местного самоуправления города Ханты-Мансийска. </w:t>
      </w:r>
    </w:p>
    <w:p w14:paraId="130BF561"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 xml:space="preserve">Стоит отметить, что Официальный портал разработан на базе отечественного программного продукта «1С </w:t>
      </w:r>
      <w:proofErr w:type="spellStart"/>
      <w:r w:rsidRPr="0013502F">
        <w:rPr>
          <w:rFonts w:ascii="Times New Roman" w:eastAsia="Calibri" w:hAnsi="Times New Roman" w:cs="Times New Roman"/>
          <w:sz w:val="28"/>
          <w:szCs w:val="28"/>
          <w:lang w:eastAsia="ru-RU"/>
        </w:rPr>
        <w:t>Битрикс</w:t>
      </w:r>
      <w:proofErr w:type="spellEnd"/>
      <w:r w:rsidRPr="0013502F">
        <w:rPr>
          <w:rFonts w:ascii="Times New Roman" w:eastAsia="Calibri" w:hAnsi="Times New Roman" w:cs="Times New Roman"/>
          <w:sz w:val="28"/>
          <w:szCs w:val="28"/>
          <w:lang w:eastAsia="ru-RU"/>
        </w:rPr>
        <w:t>. Управление сайтом», который включен в Единый реестр российских программ для электронных вычислительных машин и баз данных.</w:t>
      </w:r>
    </w:p>
    <w:p w14:paraId="4CD13DB7"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 xml:space="preserve"> В 2016 году Официальный портал в очередной раз был удостоен звания лучшего официального сайта по итогам окружного конкурса на лучший официальный сайт органа местного самоуправления муниципального образования Ханты-Мансийского автономного округа – Югры (2013 год – 1 место, 2014 год – 2 место, 2015 - 1 место).</w:t>
      </w:r>
    </w:p>
    <w:p w14:paraId="12396728"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Times New Roman" w:hAnsi="Times New Roman" w:cs="Times New Roman"/>
          <w:b/>
          <w:i/>
          <w:sz w:val="28"/>
          <w:szCs w:val="28"/>
          <w:lang w:eastAsia="ru-RU"/>
        </w:rPr>
      </w:pPr>
      <w:r w:rsidRPr="0013502F">
        <w:rPr>
          <w:rFonts w:ascii="Times New Roman" w:eastAsia="Calibri" w:hAnsi="Times New Roman" w:cs="Times New Roman"/>
          <w:sz w:val="28"/>
          <w:szCs w:val="28"/>
          <w:lang w:eastAsia="ru-RU"/>
        </w:rPr>
        <w:t xml:space="preserve">Ханты-Мансийск является единственным муниципальным образованием автономного округа, которое имеет отдельный ресурс по публикации информации о своей деятельности в формате открытых данных – Портал открытых данных города Ханты-Мансийска. </w:t>
      </w:r>
    </w:p>
    <w:p w14:paraId="3F371C8F" w14:textId="77777777" w:rsidR="00887BD8" w:rsidRPr="0013502F" w:rsidRDefault="00887BD8"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настоящее время на Портале открытых данных города Ханты-Мансийска размещено 39 наборов открытых данных, на основании которых разработаны мобильные приложения (в 2015 году было 20 наборов открытых данных).</w:t>
      </w:r>
    </w:p>
    <w:p w14:paraId="404F682D" w14:textId="77777777" w:rsidR="00887BD8" w:rsidRPr="0013502F" w:rsidRDefault="00887BD8" w:rsidP="00527456">
      <w:pPr>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 xml:space="preserve">В 2016 году реализация проекта по открытым данным получила новое развитие. Администрация города Ханты-Мансийска приняла активное участие в проведении конкурса для разработчиков мобильных приложений и веб-сервисов на основе открытых данных </w:t>
      </w:r>
      <w:proofErr w:type="spellStart"/>
      <w:r w:rsidRPr="0013502F">
        <w:rPr>
          <w:rFonts w:ascii="Times New Roman" w:eastAsia="Calibri" w:hAnsi="Times New Roman" w:cs="Times New Roman"/>
          <w:sz w:val="28"/>
          <w:szCs w:val="28"/>
          <w:lang w:eastAsia="ru-RU"/>
        </w:rPr>
        <w:t>хакатон</w:t>
      </w:r>
      <w:proofErr w:type="spellEnd"/>
      <w:r w:rsidRPr="0013502F">
        <w:rPr>
          <w:rFonts w:ascii="Times New Roman" w:eastAsia="Calibri" w:hAnsi="Times New Roman" w:cs="Times New Roman"/>
          <w:sz w:val="28"/>
          <w:szCs w:val="28"/>
          <w:lang w:eastAsia="ru-RU"/>
        </w:rPr>
        <w:t xml:space="preserve"> «</w:t>
      </w:r>
      <w:proofErr w:type="spellStart"/>
      <w:r w:rsidRPr="0013502F">
        <w:rPr>
          <w:rFonts w:ascii="Times New Roman" w:eastAsia="Calibri" w:hAnsi="Times New Roman" w:cs="Times New Roman"/>
          <w:sz w:val="28"/>
          <w:szCs w:val="28"/>
          <w:lang w:eastAsia="ru-RU"/>
        </w:rPr>
        <w:t>Хантатон</w:t>
      </w:r>
      <w:proofErr w:type="spellEnd"/>
      <w:r w:rsidRPr="0013502F">
        <w:rPr>
          <w:rFonts w:ascii="Times New Roman" w:eastAsia="Calibri" w:hAnsi="Times New Roman" w:cs="Times New Roman"/>
          <w:sz w:val="28"/>
          <w:szCs w:val="28"/>
          <w:lang w:eastAsia="ru-RU"/>
        </w:rPr>
        <w:t xml:space="preserve"> 2016», который впервые прошел в Югре. </w:t>
      </w:r>
    </w:p>
    <w:p w14:paraId="415C521A" w14:textId="77777777" w:rsidR="00887BD8" w:rsidRPr="0013502F" w:rsidRDefault="00887BD8" w:rsidP="0052745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3502F">
        <w:rPr>
          <w:rFonts w:ascii="Times New Roman" w:eastAsia="Calibri" w:hAnsi="Times New Roman" w:cs="Times New Roman"/>
          <w:sz w:val="28"/>
          <w:szCs w:val="28"/>
          <w:lang w:eastAsia="ru-RU"/>
        </w:rPr>
        <w:t>Конкурс был направлен на создание общедоступных социально значимых, либо инновационных приложений и веб-сервисов для повышения экономической эффективности автономного округа. При создании сервисов, направленных на совершенствование систем образования, ЖКХ, повышение туристической привлекательности города, командами использовались и наборы открытых данных города Ханты-Мансийска</w:t>
      </w:r>
      <w:r w:rsidRPr="0013502F">
        <w:rPr>
          <w:rFonts w:ascii="Times New Roman" w:eastAsia="Times New Roman" w:hAnsi="Times New Roman" w:cs="Times New Roman"/>
          <w:sz w:val="28"/>
          <w:szCs w:val="28"/>
          <w:lang w:eastAsia="ru-RU"/>
        </w:rPr>
        <w:t>.</w:t>
      </w:r>
    </w:p>
    <w:p w14:paraId="0DC67B6D" w14:textId="77777777" w:rsidR="00887BD8" w:rsidRPr="0013502F" w:rsidRDefault="00887BD8" w:rsidP="00527456">
      <w:pPr>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 xml:space="preserve">От города Ханты-Мансийска в </w:t>
      </w:r>
      <w:proofErr w:type="spellStart"/>
      <w:r w:rsidRPr="0013502F">
        <w:rPr>
          <w:rFonts w:ascii="Times New Roman" w:eastAsia="Calibri" w:hAnsi="Times New Roman" w:cs="Times New Roman"/>
          <w:sz w:val="28"/>
          <w:szCs w:val="28"/>
          <w:lang w:eastAsia="ru-RU"/>
        </w:rPr>
        <w:t>хакатоне</w:t>
      </w:r>
      <w:proofErr w:type="spellEnd"/>
      <w:r w:rsidRPr="0013502F">
        <w:rPr>
          <w:rFonts w:ascii="Times New Roman" w:eastAsia="Calibri" w:hAnsi="Times New Roman" w:cs="Times New Roman"/>
          <w:sz w:val="28"/>
          <w:szCs w:val="28"/>
          <w:lang w:eastAsia="ru-RU"/>
        </w:rPr>
        <w:t xml:space="preserve"> приняло участие 4 команды, две из которых заняли второе и третье места.</w:t>
      </w:r>
    </w:p>
    <w:p w14:paraId="1279BF1F" w14:textId="77777777" w:rsidR="00887BD8" w:rsidRPr="0013502F" w:rsidRDefault="00887BD8" w:rsidP="00527456">
      <w:pPr>
        <w:spacing w:after="0" w:line="240" w:lineRule="auto"/>
        <w:ind w:firstLine="709"/>
        <w:jc w:val="center"/>
        <w:rPr>
          <w:rFonts w:ascii="Times New Roman" w:eastAsia="Calibri" w:hAnsi="Times New Roman" w:cs="Times New Roman"/>
          <w:sz w:val="28"/>
          <w:szCs w:val="28"/>
          <w:lang w:eastAsia="ru-RU"/>
        </w:rPr>
      </w:pPr>
    </w:p>
    <w:p w14:paraId="63A5B66A" w14:textId="77777777" w:rsidR="00512E7A" w:rsidRPr="0013502F" w:rsidRDefault="00512E7A" w:rsidP="00527456">
      <w:pPr>
        <w:spacing w:after="0" w:line="240" w:lineRule="auto"/>
        <w:ind w:firstLine="709"/>
        <w:jc w:val="both"/>
        <w:rPr>
          <w:rFonts w:ascii="Times New Roman" w:eastAsia="Calibri" w:hAnsi="Times New Roman" w:cs="Times New Roman"/>
          <w:sz w:val="28"/>
          <w:szCs w:val="28"/>
        </w:rPr>
      </w:pPr>
    </w:p>
    <w:p w14:paraId="6753FC83" w14:textId="77777777" w:rsidR="00D95B29" w:rsidRPr="0013502F" w:rsidRDefault="00D95B29"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 xml:space="preserve">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w:t>
      </w:r>
      <w:r w:rsidR="003D2F8B" w:rsidRPr="0013502F">
        <w:rPr>
          <w:rFonts w:ascii="Times New Roman" w:eastAsia="Times New Roman" w:hAnsi="Times New Roman" w:cs="Times New Roman"/>
          <w:b/>
          <w:sz w:val="28"/>
          <w:szCs w:val="28"/>
          <w:lang w:eastAsia="ru-RU"/>
        </w:rPr>
        <w:br/>
      </w:r>
      <w:r w:rsidRPr="0013502F">
        <w:rPr>
          <w:rFonts w:ascii="Times New Roman" w:eastAsia="Times New Roman" w:hAnsi="Times New Roman" w:cs="Times New Roman"/>
          <w:b/>
          <w:sz w:val="28"/>
          <w:szCs w:val="28"/>
          <w:lang w:eastAsia="ru-RU"/>
        </w:rPr>
        <w:t xml:space="preserve">и </w:t>
      </w:r>
      <w:proofErr w:type="spellStart"/>
      <w:r w:rsidRPr="0013502F">
        <w:rPr>
          <w:rFonts w:ascii="Times New Roman" w:eastAsia="Times New Roman" w:hAnsi="Times New Roman" w:cs="Times New Roman"/>
          <w:b/>
          <w:sz w:val="28"/>
          <w:szCs w:val="28"/>
          <w:lang w:eastAsia="ru-RU"/>
        </w:rPr>
        <w:t>медийная</w:t>
      </w:r>
      <w:proofErr w:type="spellEnd"/>
      <w:r w:rsidRPr="0013502F">
        <w:rPr>
          <w:rFonts w:ascii="Times New Roman" w:eastAsia="Times New Roman" w:hAnsi="Times New Roman" w:cs="Times New Roman"/>
          <w:b/>
          <w:sz w:val="28"/>
          <w:szCs w:val="28"/>
          <w:lang w:eastAsia="ru-RU"/>
        </w:rPr>
        <w:t xml:space="preserve"> (публикации и выступления в СМИ) активность глав городских округов и муниципальных районов автономного округа, работа </w:t>
      </w:r>
      <w:r w:rsidR="003D2F8B" w:rsidRPr="0013502F">
        <w:rPr>
          <w:rFonts w:ascii="Times New Roman" w:eastAsia="Times New Roman" w:hAnsi="Times New Roman" w:cs="Times New Roman"/>
          <w:b/>
          <w:sz w:val="28"/>
          <w:szCs w:val="28"/>
          <w:lang w:eastAsia="ru-RU"/>
        </w:rPr>
        <w:br/>
      </w:r>
      <w:r w:rsidRPr="0013502F">
        <w:rPr>
          <w:rFonts w:ascii="Times New Roman" w:eastAsia="Times New Roman" w:hAnsi="Times New Roman" w:cs="Times New Roman"/>
          <w:b/>
          <w:sz w:val="28"/>
          <w:szCs w:val="28"/>
          <w:lang w:eastAsia="ru-RU"/>
        </w:rPr>
        <w:t>с населением.</w:t>
      </w:r>
    </w:p>
    <w:p w14:paraId="1C0B1F09" w14:textId="77777777" w:rsidR="00887BD8" w:rsidRPr="0013502F" w:rsidRDefault="00887BD8" w:rsidP="00527456">
      <w:pPr>
        <w:widowControl w:val="0"/>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13502F">
        <w:rPr>
          <w:rFonts w:ascii="Times New Roman" w:eastAsia="Times New Roman" w:hAnsi="Times New Roman" w:cs="Times New Roman"/>
          <w:color w:val="000000"/>
          <w:sz w:val="28"/>
          <w:szCs w:val="28"/>
          <w:shd w:val="clear" w:color="auto" w:fill="FFFFFF"/>
          <w:lang w:eastAsia="ru-RU"/>
        </w:rPr>
        <w:t>События и темы городской жизни Ханты-Мансийска в отчетный период 2016 года систематически освещали около 20 средств массовой информации УРФО, региональных и городских СМИ, среди которых – информационные агентства, электронные версии газет, информационно-развлекательные порталы.</w:t>
      </w:r>
    </w:p>
    <w:p w14:paraId="71B24FE4" w14:textId="77777777" w:rsidR="00887BD8" w:rsidRPr="0013502F" w:rsidRDefault="00887BD8" w:rsidP="00527456">
      <w:pPr>
        <w:widowControl w:val="0"/>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В рамках информирования жителей города о деятельности органов местного самоуправления за 2016 год подготовлено и размещено </w:t>
      </w:r>
      <w:r w:rsidRPr="0013502F">
        <w:rPr>
          <w:rFonts w:ascii="Times New Roman" w:eastAsia="Times New Roman" w:hAnsi="Times New Roman" w:cs="Times New Roman"/>
          <w:sz w:val="28"/>
          <w:szCs w:val="28"/>
        </w:rPr>
        <w:t>4609 информационных материалов (за 2015 год – 3870), что на 19 % больше по сравнению с 2015 годом (диаграмма №1)</w:t>
      </w:r>
      <w:r w:rsidRPr="0013502F">
        <w:rPr>
          <w:rFonts w:ascii="Times New Roman" w:eastAsia="Times New Roman" w:hAnsi="Times New Roman" w:cs="Times New Roman"/>
          <w:sz w:val="28"/>
          <w:szCs w:val="28"/>
          <w:lang w:eastAsia="ru-RU"/>
        </w:rPr>
        <w:t xml:space="preserve">: </w:t>
      </w:r>
    </w:p>
    <w:p w14:paraId="60AFE3CC" w14:textId="77777777" w:rsidR="00887BD8" w:rsidRPr="0013502F" w:rsidRDefault="00887BD8" w:rsidP="00527456">
      <w:pPr>
        <w:widowControl w:val="0"/>
        <w:numPr>
          <w:ilvl w:val="0"/>
          <w:numId w:val="8"/>
        </w:numPr>
        <w:spacing w:after="0" w:line="240" w:lineRule="auto"/>
        <w:ind w:left="993" w:hanging="426"/>
        <w:contextualSpacing/>
        <w:jc w:val="both"/>
        <w:rPr>
          <w:rFonts w:ascii="Times New Roman" w:eastAsia="Times New Roman" w:hAnsi="Times New Roman" w:cs="Times New Roman"/>
          <w:sz w:val="28"/>
          <w:szCs w:val="28"/>
        </w:rPr>
      </w:pPr>
      <w:r w:rsidRPr="0013502F">
        <w:rPr>
          <w:rFonts w:ascii="Times New Roman" w:eastAsia="Times New Roman" w:hAnsi="Times New Roman" w:cs="Times New Roman"/>
          <w:sz w:val="28"/>
          <w:szCs w:val="28"/>
        </w:rPr>
        <w:t>на официальном сайте www.admhmansy.ru – 1512 пресс-релизов;</w:t>
      </w:r>
    </w:p>
    <w:p w14:paraId="56C3009E" w14:textId="77777777" w:rsidR="00887BD8" w:rsidRPr="0013502F" w:rsidRDefault="00887BD8" w:rsidP="00527456">
      <w:pPr>
        <w:widowControl w:val="0"/>
        <w:numPr>
          <w:ilvl w:val="0"/>
          <w:numId w:val="8"/>
        </w:numPr>
        <w:spacing w:after="0" w:line="240" w:lineRule="auto"/>
        <w:ind w:left="993" w:hanging="426"/>
        <w:contextualSpacing/>
        <w:jc w:val="both"/>
        <w:rPr>
          <w:rFonts w:ascii="Times New Roman" w:eastAsia="Times New Roman" w:hAnsi="Times New Roman" w:cs="Times New Roman"/>
          <w:sz w:val="28"/>
          <w:szCs w:val="28"/>
        </w:rPr>
      </w:pPr>
      <w:r w:rsidRPr="0013502F">
        <w:rPr>
          <w:rFonts w:ascii="Times New Roman" w:eastAsia="Times New Roman" w:hAnsi="Times New Roman" w:cs="Times New Roman"/>
          <w:sz w:val="28"/>
          <w:szCs w:val="28"/>
        </w:rPr>
        <w:t xml:space="preserve">в городских СМИ </w:t>
      </w:r>
      <w:r w:rsidRPr="0013502F">
        <w:rPr>
          <w:rFonts w:ascii="Times New Roman" w:eastAsia="Times New Roman" w:hAnsi="Times New Roman" w:cs="Times New Roman"/>
          <w:sz w:val="28"/>
          <w:szCs w:val="28"/>
          <w:lang w:eastAsia="ru-RU"/>
        </w:rPr>
        <w:t>(газета «</w:t>
      </w:r>
      <w:proofErr w:type="spellStart"/>
      <w:r w:rsidRPr="0013502F">
        <w:rPr>
          <w:rFonts w:ascii="Times New Roman" w:eastAsia="Times New Roman" w:hAnsi="Times New Roman" w:cs="Times New Roman"/>
          <w:sz w:val="28"/>
          <w:szCs w:val="28"/>
          <w:lang w:eastAsia="ru-RU"/>
        </w:rPr>
        <w:t>Самарово</w:t>
      </w:r>
      <w:proofErr w:type="spellEnd"/>
      <w:r w:rsidRPr="0013502F">
        <w:rPr>
          <w:rFonts w:ascii="Times New Roman" w:eastAsia="Times New Roman" w:hAnsi="Times New Roman" w:cs="Times New Roman"/>
          <w:sz w:val="28"/>
          <w:szCs w:val="28"/>
          <w:lang w:eastAsia="ru-RU"/>
        </w:rPr>
        <w:t>-Ханты-Мансийск», телевидение «Новая студия»)</w:t>
      </w:r>
      <w:r w:rsidRPr="0013502F">
        <w:rPr>
          <w:rFonts w:ascii="Times New Roman" w:eastAsia="Times New Roman" w:hAnsi="Times New Roman" w:cs="Times New Roman"/>
          <w:sz w:val="28"/>
          <w:szCs w:val="28"/>
        </w:rPr>
        <w:t xml:space="preserve"> – 2335 материала (за 2015 год – 1820);</w:t>
      </w:r>
    </w:p>
    <w:p w14:paraId="11FBA2BD" w14:textId="77777777" w:rsidR="00887BD8" w:rsidRPr="0013502F" w:rsidRDefault="00887BD8" w:rsidP="00527456">
      <w:pPr>
        <w:widowControl w:val="0"/>
        <w:numPr>
          <w:ilvl w:val="0"/>
          <w:numId w:val="9"/>
        </w:numPr>
        <w:spacing w:after="0" w:line="240" w:lineRule="auto"/>
        <w:ind w:left="993" w:hanging="426"/>
        <w:contextualSpacing/>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в федеральных и региональных СМИ по информационным договорам сотрудничества – 762 материала (за 2015 год – 365).</w:t>
      </w:r>
    </w:p>
    <w:p w14:paraId="7D9EF15E" w14:textId="77777777" w:rsidR="00887BD8" w:rsidRDefault="00887BD8" w:rsidP="00527456">
      <w:pPr>
        <w:widowControl w:val="0"/>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доля городских информационных поводов, процитированных федеральными, окружными и городскими интернет изданиями от общего числа пресс-релизов и журналистских материалов, размещенных на официальном информационном портале органов местного самоуправления города Ханты-Мансийска, за 2016 год составила 65,4 %. Среди региональных изданий, наиболее часто цитирующих городские информационные поводы стали интернет-издания «</w:t>
      </w:r>
      <w:proofErr w:type="spellStart"/>
      <w:r w:rsidRPr="0013502F">
        <w:rPr>
          <w:rFonts w:ascii="Times New Roman" w:eastAsia="Times New Roman" w:hAnsi="Times New Roman" w:cs="Times New Roman"/>
          <w:sz w:val="28"/>
          <w:szCs w:val="28"/>
          <w:lang w:eastAsia="ru-RU"/>
        </w:rPr>
        <w:t>Мангазея</w:t>
      </w:r>
      <w:proofErr w:type="spellEnd"/>
      <w:r w:rsidRPr="0013502F">
        <w:rPr>
          <w:rFonts w:ascii="Times New Roman" w:eastAsia="Times New Roman" w:hAnsi="Times New Roman" w:cs="Times New Roman"/>
          <w:sz w:val="28"/>
          <w:szCs w:val="28"/>
          <w:lang w:eastAsia="ru-RU"/>
        </w:rPr>
        <w:t>», «</w:t>
      </w:r>
      <w:proofErr w:type="spellStart"/>
      <w:r w:rsidRPr="0013502F">
        <w:rPr>
          <w:rFonts w:ascii="Times New Roman" w:eastAsia="Times New Roman" w:hAnsi="Times New Roman" w:cs="Times New Roman"/>
          <w:sz w:val="28"/>
          <w:szCs w:val="28"/>
          <w:lang w:val="en-US" w:eastAsia="ru-RU"/>
        </w:rPr>
        <w:t>Ugranews</w:t>
      </w:r>
      <w:proofErr w:type="spellEnd"/>
      <w:r w:rsidRPr="0013502F">
        <w:rPr>
          <w:rFonts w:ascii="Times New Roman" w:eastAsia="Times New Roman" w:hAnsi="Times New Roman" w:cs="Times New Roman"/>
          <w:sz w:val="28"/>
          <w:szCs w:val="28"/>
          <w:lang w:eastAsia="ru-RU"/>
        </w:rPr>
        <w:t>», «</w:t>
      </w:r>
      <w:proofErr w:type="spellStart"/>
      <w:r w:rsidRPr="0013502F">
        <w:rPr>
          <w:rFonts w:ascii="Times New Roman" w:eastAsia="Times New Roman" w:hAnsi="Times New Roman" w:cs="Times New Roman"/>
          <w:sz w:val="28"/>
          <w:szCs w:val="28"/>
          <w:lang w:eastAsia="ru-RU"/>
        </w:rPr>
        <w:t>ЮграPRO</w:t>
      </w:r>
      <w:proofErr w:type="spellEnd"/>
      <w:r w:rsidRPr="0013502F">
        <w:rPr>
          <w:rFonts w:ascii="Times New Roman" w:eastAsia="Times New Roman" w:hAnsi="Times New Roman" w:cs="Times New Roman"/>
          <w:sz w:val="28"/>
          <w:szCs w:val="28"/>
          <w:lang w:eastAsia="ru-RU"/>
        </w:rPr>
        <w:t>», «</w:t>
      </w:r>
      <w:proofErr w:type="spellStart"/>
      <w:r w:rsidRPr="0013502F">
        <w:rPr>
          <w:rFonts w:ascii="Times New Roman" w:eastAsia="Times New Roman" w:hAnsi="Times New Roman" w:cs="Times New Roman"/>
          <w:sz w:val="28"/>
          <w:szCs w:val="28"/>
          <w:lang w:eastAsia="ru-RU"/>
        </w:rPr>
        <w:t>UgraNow</w:t>
      </w:r>
      <w:proofErr w:type="spellEnd"/>
      <w:r w:rsidRPr="0013502F">
        <w:rPr>
          <w:rFonts w:ascii="Times New Roman" w:eastAsia="Times New Roman" w:hAnsi="Times New Roman" w:cs="Times New Roman"/>
          <w:sz w:val="28"/>
          <w:szCs w:val="28"/>
          <w:lang w:eastAsia="ru-RU"/>
        </w:rPr>
        <w:t>», «АиФ Югра», «</w:t>
      </w:r>
      <w:proofErr w:type="spellStart"/>
      <w:r w:rsidRPr="0013502F">
        <w:rPr>
          <w:rFonts w:ascii="Times New Roman" w:eastAsia="Times New Roman" w:hAnsi="Times New Roman" w:cs="Times New Roman"/>
          <w:sz w:val="28"/>
          <w:szCs w:val="28"/>
          <w:lang w:eastAsia="ru-RU"/>
        </w:rPr>
        <w:t>Риц</w:t>
      </w:r>
      <w:proofErr w:type="spellEnd"/>
      <w:r w:rsidRPr="0013502F">
        <w:rPr>
          <w:rFonts w:ascii="Times New Roman" w:eastAsia="Times New Roman" w:hAnsi="Times New Roman" w:cs="Times New Roman"/>
          <w:sz w:val="28"/>
          <w:szCs w:val="28"/>
          <w:lang w:eastAsia="ru-RU"/>
        </w:rPr>
        <w:t xml:space="preserve"> Югра», среди федеральных – </w:t>
      </w:r>
      <w:proofErr w:type="spellStart"/>
      <w:r w:rsidRPr="0013502F">
        <w:rPr>
          <w:rFonts w:ascii="Times New Roman" w:eastAsia="Times New Roman" w:hAnsi="Times New Roman" w:cs="Times New Roman"/>
          <w:sz w:val="28"/>
          <w:szCs w:val="28"/>
          <w:lang w:eastAsia="ru-RU"/>
        </w:rPr>
        <w:t>РиаНовости</w:t>
      </w:r>
      <w:proofErr w:type="spellEnd"/>
      <w:r w:rsidRPr="0013502F">
        <w:rPr>
          <w:rFonts w:ascii="Times New Roman" w:eastAsia="Times New Roman" w:hAnsi="Times New Roman" w:cs="Times New Roman"/>
          <w:sz w:val="28"/>
          <w:szCs w:val="28"/>
          <w:lang w:eastAsia="ru-RU"/>
        </w:rPr>
        <w:t xml:space="preserve">, </w:t>
      </w:r>
      <w:proofErr w:type="spellStart"/>
      <w:r w:rsidRPr="0013502F">
        <w:rPr>
          <w:rFonts w:ascii="Times New Roman" w:eastAsia="Times New Roman" w:hAnsi="Times New Roman" w:cs="Times New Roman"/>
          <w:sz w:val="28"/>
          <w:szCs w:val="28"/>
          <w:lang w:eastAsia="ru-RU"/>
        </w:rPr>
        <w:t>ТассУрал</w:t>
      </w:r>
      <w:proofErr w:type="spellEnd"/>
      <w:r w:rsidRPr="0013502F">
        <w:rPr>
          <w:rFonts w:ascii="Times New Roman" w:eastAsia="Times New Roman" w:hAnsi="Times New Roman" w:cs="Times New Roman"/>
          <w:sz w:val="28"/>
          <w:szCs w:val="28"/>
          <w:lang w:eastAsia="ru-RU"/>
        </w:rPr>
        <w:t xml:space="preserve">, </w:t>
      </w:r>
      <w:proofErr w:type="spellStart"/>
      <w:r w:rsidRPr="0013502F">
        <w:rPr>
          <w:rFonts w:ascii="Times New Roman" w:eastAsia="Times New Roman" w:hAnsi="Times New Roman" w:cs="Times New Roman"/>
          <w:sz w:val="28"/>
          <w:szCs w:val="28"/>
          <w:lang w:eastAsia="ru-RU"/>
        </w:rPr>
        <w:t>Накануне.ру</w:t>
      </w:r>
      <w:proofErr w:type="spellEnd"/>
      <w:r w:rsidRPr="0013502F">
        <w:rPr>
          <w:rFonts w:ascii="Times New Roman" w:eastAsia="Times New Roman" w:hAnsi="Times New Roman" w:cs="Times New Roman"/>
          <w:sz w:val="28"/>
          <w:szCs w:val="28"/>
          <w:lang w:eastAsia="ru-RU"/>
        </w:rPr>
        <w:t xml:space="preserve">, Правда </w:t>
      </w:r>
      <w:proofErr w:type="spellStart"/>
      <w:r w:rsidRPr="0013502F">
        <w:rPr>
          <w:rFonts w:ascii="Times New Roman" w:eastAsia="Times New Roman" w:hAnsi="Times New Roman" w:cs="Times New Roman"/>
          <w:sz w:val="28"/>
          <w:szCs w:val="28"/>
          <w:lang w:eastAsia="ru-RU"/>
        </w:rPr>
        <w:t>Урфо</w:t>
      </w:r>
      <w:proofErr w:type="spellEnd"/>
      <w:r w:rsidRPr="0013502F">
        <w:rPr>
          <w:rFonts w:ascii="Times New Roman" w:eastAsia="Times New Roman" w:hAnsi="Times New Roman" w:cs="Times New Roman"/>
          <w:sz w:val="28"/>
          <w:szCs w:val="28"/>
          <w:lang w:eastAsia="ru-RU"/>
        </w:rPr>
        <w:t>.</w:t>
      </w:r>
    </w:p>
    <w:p w14:paraId="559E92A4" w14:textId="77777777" w:rsidR="00527456" w:rsidRPr="0013502F" w:rsidRDefault="00527456" w:rsidP="00527456">
      <w:pPr>
        <w:widowControl w:val="0"/>
        <w:spacing w:after="0" w:line="240" w:lineRule="auto"/>
        <w:ind w:left="928"/>
        <w:contextualSpacing/>
        <w:jc w:val="both"/>
        <w:rPr>
          <w:rFonts w:ascii="Times New Roman" w:eastAsia="Times New Roman" w:hAnsi="Times New Roman" w:cs="Times New Roman"/>
          <w:sz w:val="28"/>
          <w:szCs w:val="28"/>
          <w:lang w:eastAsia="ru-RU"/>
        </w:rPr>
      </w:pPr>
    </w:p>
    <w:p w14:paraId="3F6C8235" w14:textId="77777777" w:rsidR="00B03809" w:rsidRPr="0013502F" w:rsidRDefault="00527456" w:rsidP="00527456">
      <w:pPr>
        <w:spacing w:after="0" w:line="240" w:lineRule="auto"/>
        <w:ind w:firstLine="709"/>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Рисунок</w:t>
      </w:r>
      <w:r w:rsidR="00B03809" w:rsidRPr="0013502F">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12</w:t>
      </w:r>
    </w:p>
    <w:p w14:paraId="40CC02EC" w14:textId="77777777" w:rsidR="00B03809" w:rsidRPr="0013502F" w:rsidRDefault="00B03809" w:rsidP="00527456">
      <w:pPr>
        <w:spacing w:after="0" w:line="240" w:lineRule="auto"/>
        <w:ind w:firstLine="709"/>
        <w:jc w:val="center"/>
        <w:rPr>
          <w:rFonts w:ascii="Calibri" w:eastAsia="Calibri" w:hAnsi="Calibri" w:cs="Times New Roman"/>
          <w:noProof/>
          <w:lang w:eastAsia="ru-RU"/>
        </w:rPr>
      </w:pPr>
    </w:p>
    <w:p w14:paraId="6D98DF23" w14:textId="77777777" w:rsidR="00887BD8" w:rsidRPr="0013502F" w:rsidRDefault="00887BD8" w:rsidP="00527456">
      <w:pPr>
        <w:spacing w:after="0" w:line="240" w:lineRule="auto"/>
        <w:ind w:firstLine="709"/>
        <w:jc w:val="center"/>
        <w:rPr>
          <w:rFonts w:ascii="Times New Roman" w:eastAsia="Calibri" w:hAnsi="Times New Roman" w:cs="Times New Roman"/>
          <w:b/>
          <w:color w:val="000000"/>
          <w:sz w:val="28"/>
          <w:szCs w:val="28"/>
        </w:rPr>
      </w:pPr>
      <w:r w:rsidRPr="0013502F">
        <w:rPr>
          <w:rFonts w:ascii="Times New Roman" w:hAnsi="Times New Roman" w:cs="Times New Roman"/>
          <w:b/>
          <w:noProof/>
          <w:color w:val="000000" w:themeColor="text1"/>
          <w:sz w:val="28"/>
          <w:szCs w:val="28"/>
          <w:lang w:eastAsia="ru-RU"/>
        </w:rPr>
        <w:drawing>
          <wp:inline distT="0" distB="0" distL="0" distR="0" wp14:anchorId="50821668" wp14:editId="29A266A7">
            <wp:extent cx="5915771" cy="2170706"/>
            <wp:effectExtent l="0" t="0" r="27940"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B545E4" w14:textId="77777777" w:rsidR="00887BD8" w:rsidRPr="0013502F" w:rsidRDefault="00887BD8" w:rsidP="00527456">
      <w:pPr>
        <w:spacing w:after="0" w:line="240" w:lineRule="auto"/>
        <w:ind w:firstLine="709"/>
        <w:jc w:val="center"/>
        <w:rPr>
          <w:rFonts w:ascii="Times New Roman" w:eastAsia="Calibri" w:hAnsi="Times New Roman" w:cs="Times New Roman"/>
          <w:b/>
          <w:color w:val="000000"/>
          <w:sz w:val="28"/>
          <w:szCs w:val="28"/>
        </w:rPr>
      </w:pPr>
    </w:p>
    <w:p w14:paraId="7146FF30" w14:textId="77777777" w:rsidR="00887BD8" w:rsidRPr="0013502F" w:rsidRDefault="00887BD8" w:rsidP="00527456">
      <w:pPr>
        <w:spacing w:after="0" w:line="240" w:lineRule="auto"/>
        <w:ind w:firstLine="708"/>
        <w:jc w:val="both"/>
        <w:rPr>
          <w:rFonts w:ascii="Times New Roman" w:hAnsi="Times New Roman" w:cs="Times New Roman"/>
          <w:color w:val="000000" w:themeColor="text1"/>
          <w:sz w:val="28"/>
          <w:szCs w:val="28"/>
        </w:rPr>
      </w:pPr>
      <w:bookmarkStart w:id="7" w:name="_3._Исполнение_отдельных"/>
      <w:bookmarkEnd w:id="7"/>
      <w:r w:rsidRPr="0013502F">
        <w:rPr>
          <w:rFonts w:ascii="Times New Roman" w:hAnsi="Times New Roman" w:cs="Times New Roman"/>
          <w:sz w:val="28"/>
          <w:szCs w:val="28"/>
        </w:rPr>
        <w:t xml:space="preserve">Муниципальным бюджетным учреждением «Городской информационный центр» реализуются основные информационные проекты с помощью телевидения </w:t>
      </w:r>
      <w:r w:rsidRPr="0013502F">
        <w:rPr>
          <w:rFonts w:ascii="Times New Roman" w:hAnsi="Times New Roman" w:cs="Times New Roman"/>
          <w:color w:val="000000" w:themeColor="text1"/>
          <w:sz w:val="28"/>
          <w:szCs w:val="28"/>
        </w:rPr>
        <w:t xml:space="preserve">города Ханты-Мансийска </w:t>
      </w:r>
      <w:r w:rsidRPr="0013502F">
        <w:rPr>
          <w:rFonts w:ascii="Times New Roman" w:hAnsi="Times New Roman" w:cs="Times New Roman"/>
          <w:sz w:val="28"/>
          <w:szCs w:val="28"/>
        </w:rPr>
        <w:t xml:space="preserve">«Новая студия» и общественно-политической газеты </w:t>
      </w:r>
      <w:r w:rsidRPr="0013502F">
        <w:rPr>
          <w:rFonts w:ascii="Times New Roman" w:hAnsi="Times New Roman" w:cs="Times New Roman"/>
          <w:color w:val="000000" w:themeColor="text1"/>
          <w:sz w:val="28"/>
          <w:szCs w:val="28"/>
        </w:rPr>
        <w:t>«</w:t>
      </w:r>
      <w:proofErr w:type="spellStart"/>
      <w:r w:rsidRPr="0013502F">
        <w:rPr>
          <w:rFonts w:ascii="Times New Roman" w:hAnsi="Times New Roman" w:cs="Times New Roman"/>
          <w:color w:val="000000" w:themeColor="text1"/>
          <w:sz w:val="28"/>
          <w:szCs w:val="28"/>
        </w:rPr>
        <w:t>Самарово</w:t>
      </w:r>
      <w:proofErr w:type="spellEnd"/>
      <w:r w:rsidRPr="0013502F">
        <w:rPr>
          <w:rFonts w:ascii="Times New Roman" w:hAnsi="Times New Roman" w:cs="Times New Roman"/>
          <w:color w:val="000000" w:themeColor="text1"/>
          <w:sz w:val="28"/>
          <w:szCs w:val="28"/>
        </w:rPr>
        <w:t xml:space="preserve"> – Ханты-Мансийск»</w:t>
      </w:r>
      <w:r w:rsidRPr="0013502F">
        <w:rPr>
          <w:rFonts w:ascii="Times New Roman" w:hAnsi="Times New Roman" w:cs="Times New Roman"/>
          <w:sz w:val="28"/>
          <w:szCs w:val="28"/>
        </w:rPr>
        <w:t xml:space="preserve">. </w:t>
      </w:r>
      <w:r w:rsidRPr="0013502F">
        <w:rPr>
          <w:rFonts w:ascii="Times New Roman" w:hAnsi="Times New Roman" w:cs="Times New Roman"/>
          <w:color w:val="000000" w:themeColor="text1"/>
          <w:sz w:val="28"/>
          <w:szCs w:val="28"/>
        </w:rPr>
        <w:t xml:space="preserve">Всего Городским информационным центром за 2016 год осуществлено производство и выход в эфир (печать) более 2000 журналистских материалов, что на 28 % больше по сравнению с 2015 годом. </w:t>
      </w:r>
      <w:r w:rsidRPr="0013502F">
        <w:rPr>
          <w:rFonts w:ascii="Times New Roman" w:hAnsi="Times New Roman" w:cs="Times New Roman"/>
          <w:sz w:val="28"/>
          <w:szCs w:val="28"/>
        </w:rPr>
        <w:t xml:space="preserve">За последние два года тираж городской газеты </w:t>
      </w:r>
      <w:r w:rsidRPr="0013502F">
        <w:rPr>
          <w:rFonts w:ascii="Times New Roman" w:hAnsi="Times New Roman" w:cs="Times New Roman"/>
          <w:color w:val="000000" w:themeColor="text1"/>
          <w:sz w:val="28"/>
          <w:szCs w:val="28"/>
        </w:rPr>
        <w:t>«</w:t>
      </w:r>
      <w:proofErr w:type="spellStart"/>
      <w:r w:rsidRPr="0013502F">
        <w:rPr>
          <w:rFonts w:ascii="Times New Roman" w:hAnsi="Times New Roman" w:cs="Times New Roman"/>
          <w:color w:val="000000" w:themeColor="text1"/>
          <w:sz w:val="28"/>
          <w:szCs w:val="28"/>
        </w:rPr>
        <w:t>Самарово</w:t>
      </w:r>
      <w:proofErr w:type="spellEnd"/>
      <w:r w:rsidRPr="0013502F">
        <w:rPr>
          <w:rFonts w:ascii="Times New Roman" w:hAnsi="Times New Roman" w:cs="Times New Roman"/>
          <w:color w:val="000000" w:themeColor="text1"/>
          <w:sz w:val="28"/>
          <w:szCs w:val="28"/>
        </w:rPr>
        <w:t xml:space="preserve"> – Ханты-Мансийск» </w:t>
      </w:r>
      <w:r w:rsidRPr="0013502F">
        <w:rPr>
          <w:rFonts w:ascii="Times New Roman" w:hAnsi="Times New Roman" w:cs="Times New Roman"/>
          <w:sz w:val="28"/>
          <w:szCs w:val="28"/>
        </w:rPr>
        <w:t>увеличился с 5900 до 6100 экз.</w:t>
      </w:r>
      <w:r w:rsidRPr="0013502F">
        <w:rPr>
          <w:rFonts w:ascii="Times New Roman" w:hAnsi="Times New Roman" w:cs="Times New Roman"/>
          <w:color w:val="000000" w:themeColor="text1"/>
          <w:sz w:val="28"/>
          <w:szCs w:val="28"/>
        </w:rPr>
        <w:t xml:space="preserve"> (в 2015 году- 6000, в 2014 году – 5900 экз.).</w:t>
      </w:r>
    </w:p>
    <w:p w14:paraId="4BB8B997" w14:textId="77777777" w:rsidR="00887BD8" w:rsidRPr="0013502F" w:rsidRDefault="00887BD8" w:rsidP="00527456">
      <w:pPr>
        <w:spacing w:after="0" w:line="240" w:lineRule="auto"/>
        <w:ind w:firstLine="708"/>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 xml:space="preserve">Развитие общества, и прежде всего, информационных технологий, выводящих коммуникацию между людьми на новый уровень, дает возможность по привлечению широкого круга общественности к обсуждению насущных проблем и их решению путем выработки коллективных рекомендаций в адрес органов власти. С этой целью в Ханты-Мансийске с 2016 года реализуется </w:t>
      </w:r>
      <w:proofErr w:type="spellStart"/>
      <w:r w:rsidRPr="0013502F">
        <w:rPr>
          <w:rFonts w:ascii="Times New Roman" w:eastAsia="Times New Roman" w:hAnsi="Times New Roman" w:cs="Times New Roman"/>
          <w:sz w:val="28"/>
          <w:szCs w:val="28"/>
          <w:lang w:eastAsia="ru-RU"/>
        </w:rPr>
        <w:t>краудсорсинговый</w:t>
      </w:r>
      <w:proofErr w:type="spellEnd"/>
      <w:r w:rsidRPr="0013502F">
        <w:rPr>
          <w:rFonts w:ascii="Times New Roman" w:eastAsia="Times New Roman" w:hAnsi="Times New Roman" w:cs="Times New Roman"/>
          <w:sz w:val="28"/>
          <w:szCs w:val="28"/>
          <w:lang w:eastAsia="ru-RU"/>
        </w:rPr>
        <w:t xml:space="preserve"> проект «Мы вместе!». </w:t>
      </w:r>
      <w:r w:rsidRPr="0013502F">
        <w:rPr>
          <w:rFonts w:ascii="Times New Roman" w:eastAsia="Times New Roman" w:hAnsi="Times New Roman" w:cs="Times New Roman"/>
          <w:bCs/>
          <w:sz w:val="28"/>
          <w:szCs w:val="28"/>
          <w:lang w:eastAsia="ru-RU"/>
        </w:rPr>
        <w:t xml:space="preserve">За время его реализации более 2000 горожан приняли участие в интернет-голосованиях и публичных обсуждениях. Вопросами, получившие наибольший отклик населения, стали темы городского значения: высадка деревьев в Ханты-Мансийске, текущий ремонт дорожного полотна, доступность информации для жителей об использовании бюджетных средств, установка памятника Ленину. </w:t>
      </w:r>
    </w:p>
    <w:p w14:paraId="08B4B817" w14:textId="77777777" w:rsidR="00887BD8" w:rsidRPr="0013502F" w:rsidRDefault="00887BD8" w:rsidP="00527456">
      <w:pPr>
        <w:spacing w:after="0" w:line="240" w:lineRule="auto"/>
        <w:ind w:firstLine="709"/>
        <w:jc w:val="both"/>
        <w:rPr>
          <w:rFonts w:ascii="Times New Roman" w:eastAsia="Times New Roman" w:hAnsi="Times New Roman" w:cs="Times New Roman"/>
          <w:color w:val="000000"/>
          <w:sz w:val="28"/>
          <w:szCs w:val="28"/>
          <w:lang w:eastAsia="ru-RU"/>
        </w:rPr>
      </w:pPr>
      <w:r w:rsidRPr="0013502F">
        <w:rPr>
          <w:rFonts w:ascii="Times New Roman" w:eastAsia="Times New Roman" w:hAnsi="Times New Roman" w:cs="Times New Roman"/>
          <w:color w:val="000000" w:themeColor="text1"/>
          <w:sz w:val="28"/>
          <w:szCs w:val="28"/>
          <w:lang w:eastAsia="ru-RU"/>
        </w:rPr>
        <w:t xml:space="preserve">Социологические исследования – важный инструмент обратной связи с населением. </w:t>
      </w:r>
      <w:r w:rsidRPr="0013502F">
        <w:rPr>
          <w:rFonts w:ascii="Times New Roman" w:eastAsia="Times New Roman" w:hAnsi="Times New Roman" w:cs="Times New Roman"/>
          <w:sz w:val="28"/>
          <w:szCs w:val="28"/>
          <w:lang w:eastAsia="ru-RU"/>
        </w:rPr>
        <w:t xml:space="preserve">Социальное самочувствие населения является одним из самых информативных показателей реакции граждан на деятельность органов власти. В 2016 году </w:t>
      </w:r>
      <w:r w:rsidRPr="0013502F">
        <w:rPr>
          <w:rFonts w:ascii="Times New Roman" w:eastAsia="Times New Roman" w:hAnsi="Times New Roman" w:cs="Times New Roman"/>
          <w:color w:val="000000"/>
          <w:sz w:val="28"/>
          <w:szCs w:val="28"/>
          <w:lang w:eastAsia="ru-RU"/>
        </w:rPr>
        <w:t>жители Ханты-Мансийска довольно высоко оценивают свой уровень жизни: 63,3% опрошенных характеризуют его как «хороший» или «скорее хороший». У</w:t>
      </w:r>
      <w:r w:rsidRPr="0013502F">
        <w:rPr>
          <w:rFonts w:ascii="Times New Roman" w:eastAsia="Times New Roman" w:hAnsi="Times New Roman" w:cs="Times New Roman"/>
          <w:sz w:val="28"/>
          <w:szCs w:val="28"/>
          <w:lang w:eastAsia="ru-RU"/>
        </w:rPr>
        <w:t>ровень удовлетворенности качеством городской среды выше среднего и составляет 58,2 балла из ста возможных. Жители наиболее удовлетворены качеством медицинских услуг (59,5 баллов), качество ЖКУ занимает промежуточную позицию с 58,5 баллами из 100 возможных.</w:t>
      </w:r>
      <w:r w:rsidRPr="0013502F">
        <w:rPr>
          <w:rFonts w:ascii="Times New Roman" w:eastAsia="Times New Roman" w:hAnsi="Times New Roman" w:cs="Times New Roman"/>
          <w:color w:val="000000" w:themeColor="text1"/>
          <w:sz w:val="28"/>
          <w:szCs w:val="28"/>
          <w:lang w:eastAsia="ru-RU"/>
        </w:rPr>
        <w:t xml:space="preserve"> </w:t>
      </w:r>
      <w:r w:rsidRPr="0013502F">
        <w:rPr>
          <w:rFonts w:ascii="Times New Roman" w:eastAsia="Times New Roman" w:hAnsi="Times New Roman" w:cs="Times New Roman"/>
          <w:sz w:val="28"/>
          <w:szCs w:val="28"/>
          <w:lang w:eastAsia="ru-RU"/>
        </w:rPr>
        <w:t>При анализе качества городской среды отмечается возрастающий позитив в оценках качества здравоохранения и городских дорог, а также жилищной проблемы. Усилия городской власти по решению этих проблем оказались не только наиболее заметны, но и поддержаны горожанами.</w:t>
      </w:r>
      <w:r w:rsidRPr="0013502F">
        <w:rPr>
          <w:rFonts w:ascii="Times New Roman" w:eastAsia="Times New Roman" w:hAnsi="Times New Roman" w:cs="Times New Roman"/>
          <w:color w:val="000000" w:themeColor="text1"/>
          <w:sz w:val="28"/>
          <w:szCs w:val="28"/>
          <w:lang w:eastAsia="ru-RU"/>
        </w:rPr>
        <w:t xml:space="preserve"> </w:t>
      </w:r>
      <w:r w:rsidRPr="0013502F">
        <w:rPr>
          <w:rFonts w:ascii="Times New Roman" w:eastAsia="Times New Roman" w:hAnsi="Times New Roman" w:cs="Times New Roman"/>
          <w:sz w:val="28"/>
          <w:szCs w:val="28"/>
          <w:lang w:eastAsia="ru-RU"/>
        </w:rPr>
        <w:t>Наиболее высоко жители города Ханты-Мансийска оценили работу городской администрации – 68,6% дали положительную оценку ее работе, что на 18,5% выше показателя 2014 года.</w:t>
      </w:r>
    </w:p>
    <w:p w14:paraId="180702DB" w14:textId="77777777" w:rsidR="005C0A64" w:rsidRPr="0013502F" w:rsidRDefault="005C0A64" w:rsidP="00527456">
      <w:pPr>
        <w:widowControl w:val="0"/>
        <w:spacing w:after="0" w:line="240" w:lineRule="auto"/>
        <w:ind w:firstLine="709"/>
        <w:jc w:val="both"/>
        <w:rPr>
          <w:rFonts w:ascii="Times New Roman" w:eastAsia="Times New Roman" w:hAnsi="Times New Roman" w:cs="Times New Roman"/>
          <w:b/>
          <w:sz w:val="28"/>
          <w:szCs w:val="28"/>
          <w:lang w:eastAsia="ru-RU"/>
        </w:rPr>
      </w:pPr>
    </w:p>
    <w:p w14:paraId="60053D62" w14:textId="77777777" w:rsidR="00D95B29" w:rsidRPr="0013502F" w:rsidRDefault="00D95B29" w:rsidP="0052745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3502F">
        <w:rPr>
          <w:rFonts w:ascii="Times New Roman" w:eastAsia="Times New Roman" w:hAnsi="Times New Roman" w:cs="Times New Roman"/>
          <w:b/>
          <w:sz w:val="28"/>
          <w:szCs w:val="28"/>
          <w:lang w:eastAsia="ru-RU"/>
        </w:rPr>
        <w:t xml:space="preserve">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w:t>
      </w:r>
      <w:r w:rsidR="00337895" w:rsidRPr="0013502F">
        <w:rPr>
          <w:rFonts w:ascii="Times New Roman" w:eastAsia="Times New Roman" w:hAnsi="Times New Roman" w:cs="Times New Roman"/>
          <w:b/>
          <w:sz w:val="28"/>
          <w:szCs w:val="28"/>
          <w:lang w:eastAsia="ru-RU"/>
        </w:rPr>
        <w:br/>
      </w:r>
      <w:r w:rsidRPr="0013502F">
        <w:rPr>
          <w:rFonts w:ascii="Times New Roman" w:eastAsia="Times New Roman" w:hAnsi="Times New Roman" w:cs="Times New Roman"/>
          <w:b/>
          <w:sz w:val="28"/>
          <w:szCs w:val="28"/>
          <w:lang w:eastAsia="ru-RU"/>
        </w:rPr>
        <w:t>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p w14:paraId="4410D0C9" w14:textId="77777777" w:rsidR="00427086" w:rsidRPr="0013502F" w:rsidRDefault="00427086" w:rsidP="00527456">
      <w:pPr>
        <w:widowControl w:val="0"/>
        <w:shd w:val="clear" w:color="auto" w:fill="FFFFFF"/>
        <w:tabs>
          <w:tab w:val="left" w:pos="567"/>
        </w:tabs>
        <w:spacing w:after="0" w:line="240" w:lineRule="auto"/>
        <w:ind w:firstLine="567"/>
        <w:contextualSpacing/>
        <w:jc w:val="both"/>
        <w:rPr>
          <w:rFonts w:ascii="Times New Roman" w:eastAsia="Calibri" w:hAnsi="Times New Roman" w:cs="Times New Roman"/>
          <w:sz w:val="28"/>
          <w:szCs w:val="28"/>
          <w:lang w:val="x-none" w:eastAsia="ru-RU"/>
        </w:rPr>
      </w:pPr>
      <w:r w:rsidRPr="0013502F">
        <w:rPr>
          <w:rFonts w:ascii="Times New Roman" w:eastAsia="Calibri" w:hAnsi="Times New Roman" w:cs="Times New Roman"/>
          <w:sz w:val="28"/>
          <w:szCs w:val="28"/>
          <w:lang w:val="x-none" w:eastAsia="ru-RU"/>
        </w:rPr>
        <w:t xml:space="preserve">За отчетный период </w:t>
      </w:r>
      <w:r w:rsidRPr="0013502F">
        <w:rPr>
          <w:rFonts w:ascii="Times New Roman" w:eastAsia="Calibri" w:hAnsi="Times New Roman" w:cs="Times New Roman"/>
          <w:sz w:val="28"/>
          <w:szCs w:val="28"/>
          <w:lang w:val="x-none" w:eastAsia="x-none"/>
        </w:rPr>
        <w:t>проведена значительная работа по совершенствованию нормативного правового регулирования в сфере оказания муниципальных услуг населению. Внесены изменения в 45 муниципальных правовых акт</w:t>
      </w:r>
      <w:r w:rsidRPr="0013502F">
        <w:rPr>
          <w:rFonts w:ascii="Times New Roman" w:eastAsia="Calibri" w:hAnsi="Times New Roman" w:cs="Times New Roman"/>
          <w:sz w:val="28"/>
          <w:szCs w:val="28"/>
          <w:lang w:eastAsia="x-none"/>
        </w:rPr>
        <w:t>а</w:t>
      </w:r>
      <w:r w:rsidRPr="0013502F">
        <w:rPr>
          <w:rFonts w:ascii="Times New Roman" w:eastAsia="Calibri" w:hAnsi="Times New Roman" w:cs="Times New Roman"/>
          <w:sz w:val="28"/>
          <w:szCs w:val="28"/>
          <w:lang w:val="x-none" w:eastAsia="x-none"/>
        </w:rPr>
        <w:t xml:space="preserve">, регулирующих отношения, возникающие в связи с предоставлением муниципальных услуг. </w:t>
      </w:r>
      <w:r w:rsidRPr="0013502F">
        <w:rPr>
          <w:rFonts w:ascii="Times New Roman" w:eastAsia="Times New Roman" w:hAnsi="Times New Roman" w:cs="Times New Roman"/>
          <w:sz w:val="28"/>
          <w:szCs w:val="28"/>
          <w:lang w:val="x-none" w:eastAsia="ru-RU"/>
        </w:rPr>
        <w:t>Изменения вносились в связи с</w:t>
      </w:r>
      <w:r w:rsidRPr="0013502F">
        <w:rPr>
          <w:rFonts w:ascii="Times New Roman" w:eastAsia="Times New Roman" w:hAnsi="Times New Roman" w:cs="Times New Roman"/>
          <w:sz w:val="28"/>
          <w:szCs w:val="28"/>
          <w:lang w:val="en-US" w:eastAsia="ru-RU"/>
        </w:rPr>
        <w:t> </w:t>
      </w:r>
      <w:r w:rsidRPr="0013502F">
        <w:rPr>
          <w:rFonts w:ascii="Times New Roman" w:eastAsia="Times New Roman" w:hAnsi="Times New Roman" w:cs="Times New Roman"/>
          <w:sz w:val="28"/>
          <w:szCs w:val="28"/>
          <w:lang w:val="x-none" w:eastAsia="ru-RU"/>
        </w:rPr>
        <w:t>необходимостью приведения административных регламентов в соответствие действующему законодательству, а также в целях увеличения количества услуг, предоставляемых по принципу «одного окна»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14:paraId="54269658" w14:textId="77777777" w:rsidR="00427086" w:rsidRPr="0013502F" w:rsidRDefault="00427086" w:rsidP="00527456">
      <w:pPr>
        <w:widowControl w:val="0"/>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ru-RU"/>
        </w:rPr>
      </w:pPr>
      <w:r w:rsidRPr="0013502F">
        <w:rPr>
          <w:rFonts w:ascii="Times New Roman" w:eastAsia="Times New Roman" w:hAnsi="Times New Roman" w:cs="Times New Roman"/>
          <w:sz w:val="28"/>
          <w:szCs w:val="28"/>
          <w:lang w:eastAsia="ru-RU"/>
        </w:rPr>
        <w:t>Общее число предоставляемых органами местного самоуправления государственных и муниципальных услуг составляет 67.</w:t>
      </w:r>
    </w:p>
    <w:p w14:paraId="67629A50" w14:textId="77777777" w:rsidR="00427086" w:rsidRPr="0013502F" w:rsidRDefault="00427086" w:rsidP="00527456">
      <w:pPr>
        <w:widowControl w:val="0"/>
        <w:shd w:val="clear" w:color="auto" w:fill="FFFFFF"/>
        <w:tabs>
          <w:tab w:val="left" w:pos="567"/>
        </w:tabs>
        <w:spacing w:after="0" w:line="240" w:lineRule="auto"/>
        <w:ind w:firstLine="567"/>
        <w:jc w:val="both"/>
        <w:rPr>
          <w:rFonts w:ascii="Times New Roman" w:eastAsia="Times New Roman" w:hAnsi="Times New Roman" w:cs="Times New Roman"/>
          <w:sz w:val="14"/>
          <w:szCs w:val="14"/>
          <w:lang w:eastAsia="ru-RU"/>
        </w:rPr>
      </w:pPr>
      <w:r w:rsidRPr="0013502F">
        <w:rPr>
          <w:rFonts w:ascii="Times New Roman" w:eastAsia="Times New Roman" w:hAnsi="Times New Roman" w:cs="Times New Roman"/>
          <w:sz w:val="28"/>
          <w:szCs w:val="28"/>
          <w:lang w:eastAsia="ru-RU"/>
        </w:rPr>
        <w:t>Количество заявителей, получивших муниципальные услуги, предоставленные органами Администрации города Ханты-Мансийска, в 2016 году составило 26 192, что на 3,6% больше по сравнению с 2015 годом (25 292 услуги).</w:t>
      </w:r>
    </w:p>
    <w:p w14:paraId="4CC6E1ED" w14:textId="77777777" w:rsidR="00427086" w:rsidRPr="0013502F" w:rsidRDefault="00427086"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2016 году внесены изменения в Соглашение о взаимодействии между Администрацией города Ханты-Мансийска и АУ МФЦ Югры. В соответствии с</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eastAsia="ru-RU"/>
        </w:rPr>
        <w:t>новым Соглашением в АУ МФЦ Югры в настоящее время можно получить 40 муниципальных услуг (</w:t>
      </w:r>
      <w:r w:rsidRPr="0013502F">
        <w:rPr>
          <w:rFonts w:ascii="Times New Roman" w:eastAsia="Calibri" w:hAnsi="Times New Roman" w:cs="Times New Roman"/>
          <w:sz w:val="28"/>
          <w:szCs w:val="28"/>
        </w:rPr>
        <w:t>в 2013 году – 7 муниципальных услуг, в 2014 году – 16 муниципальных услуг, в 2015 году – 22 муниципальные услуги).</w:t>
      </w:r>
    </w:p>
    <w:p w14:paraId="04D62C66" w14:textId="77777777" w:rsidR="00427086" w:rsidRPr="0013502F" w:rsidRDefault="00427086" w:rsidP="00527456">
      <w:pPr>
        <w:widowControl w:val="0"/>
        <w:shd w:val="clear" w:color="auto" w:fill="FFFFFF"/>
        <w:tabs>
          <w:tab w:val="left" w:pos="567"/>
        </w:tabs>
        <w:spacing w:after="0" w:line="240" w:lineRule="auto"/>
        <w:ind w:firstLine="567"/>
        <w:jc w:val="both"/>
        <w:rPr>
          <w:rFonts w:ascii="Times New Roman" w:eastAsia="Times New Roman" w:hAnsi="Times New Roman" w:cs="Times New Roman"/>
          <w:sz w:val="14"/>
          <w:szCs w:val="14"/>
          <w:shd w:val="clear" w:color="auto" w:fill="FFFFFF"/>
          <w:lang w:eastAsia="ru-RU"/>
        </w:rPr>
      </w:pPr>
      <w:r w:rsidRPr="0013502F">
        <w:rPr>
          <w:rFonts w:ascii="Times New Roman" w:eastAsia="Calibri" w:hAnsi="Times New Roman" w:cs="Times New Roman"/>
          <w:sz w:val="28"/>
          <w:szCs w:val="28"/>
          <w:lang w:eastAsia="ru-RU"/>
        </w:rPr>
        <w:t>П</w:t>
      </w:r>
      <w:r w:rsidRPr="0013502F">
        <w:rPr>
          <w:rFonts w:ascii="Times New Roman" w:eastAsia="Times New Roman" w:hAnsi="Times New Roman" w:cs="Times New Roman"/>
          <w:sz w:val="28"/>
          <w:szCs w:val="28"/>
          <w:lang w:eastAsia="ru-RU"/>
        </w:rPr>
        <w:t xml:space="preserve">о состоянию </w:t>
      </w:r>
      <w:r w:rsidRPr="0013502F">
        <w:rPr>
          <w:rFonts w:ascii="Times New Roman" w:eastAsia="Times New Roman" w:hAnsi="Times New Roman" w:cs="Times New Roman"/>
          <w:sz w:val="28"/>
          <w:szCs w:val="28"/>
          <w:shd w:val="clear" w:color="auto" w:fill="FFFFFF"/>
          <w:lang w:eastAsia="ru-RU"/>
        </w:rPr>
        <w:t>на 1 января 2017 года в АУ МФЦ Югры за предоставлением муниципальных услуг обратилось 1099 заявителей.</w:t>
      </w:r>
    </w:p>
    <w:p w14:paraId="2771FCBA" w14:textId="77777777" w:rsidR="00427086" w:rsidRPr="0013502F" w:rsidRDefault="00427086" w:rsidP="00527456">
      <w:pPr>
        <w:widowControl w:val="0"/>
        <w:shd w:val="clear" w:color="auto" w:fill="FFFFFF"/>
        <w:spacing w:after="0" w:line="240" w:lineRule="auto"/>
        <w:ind w:firstLine="708"/>
        <w:jc w:val="both"/>
        <w:rPr>
          <w:rFonts w:ascii="Times New Roman" w:eastAsia="Calibri" w:hAnsi="Times New Roman" w:cs="Times New Roman"/>
          <w:color w:val="000000"/>
          <w:sz w:val="28"/>
          <w:szCs w:val="28"/>
        </w:rPr>
      </w:pPr>
      <w:r w:rsidRPr="0013502F">
        <w:rPr>
          <w:rFonts w:ascii="Times New Roman" w:eastAsia="Calibri" w:hAnsi="Times New Roman" w:cs="Times New Roman"/>
          <w:color w:val="000000"/>
          <w:sz w:val="28"/>
          <w:szCs w:val="28"/>
        </w:rPr>
        <w:t xml:space="preserve">С целью повышения качества и доступности муниципальных услуг, ведется планомерная работа по увеличению количества услуг, предоставляемых в электронном виде на Едином портале государственных услуг. На сегодняшний день на портале доступны для получения в электронном виде 35 услуг, предоставляемых органами Администрации города Ханты-Мансийска (2012 год – 19 услуг, 2013 год – 26 услуг, 2014 год – 31 услуга, 2015 год – 34 услуги). Диаграмма количества услуг, доступных для получения в электронном виде представлена на рисунке </w:t>
      </w:r>
      <w:r w:rsidR="00527456">
        <w:rPr>
          <w:rFonts w:ascii="Times New Roman" w:eastAsia="Calibri" w:hAnsi="Times New Roman" w:cs="Times New Roman"/>
          <w:color w:val="000000"/>
          <w:sz w:val="28"/>
          <w:szCs w:val="28"/>
        </w:rPr>
        <w:t>13</w:t>
      </w:r>
      <w:r w:rsidRPr="0013502F">
        <w:rPr>
          <w:rFonts w:ascii="Times New Roman" w:eastAsia="Calibri" w:hAnsi="Times New Roman" w:cs="Times New Roman"/>
          <w:color w:val="000000"/>
          <w:sz w:val="28"/>
          <w:szCs w:val="28"/>
        </w:rPr>
        <w:t>.</w:t>
      </w:r>
    </w:p>
    <w:p w14:paraId="5AF943D6" w14:textId="77777777" w:rsidR="00427086" w:rsidRPr="0013502F" w:rsidRDefault="00527456" w:rsidP="00527456">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w:t>
      </w:r>
      <w:r w:rsidR="00427086" w:rsidRPr="0013502F">
        <w:rPr>
          <w:rFonts w:ascii="Times New Roman" w:eastAsia="Calibri" w:hAnsi="Times New Roman" w:cs="Times New Roman"/>
          <w:sz w:val="28"/>
          <w:szCs w:val="28"/>
        </w:rPr>
        <w:t xml:space="preserve"> </w:t>
      </w:r>
      <w:r>
        <w:rPr>
          <w:rFonts w:ascii="Times New Roman" w:eastAsia="Calibri" w:hAnsi="Times New Roman" w:cs="Times New Roman"/>
          <w:sz w:val="28"/>
          <w:szCs w:val="28"/>
        </w:rPr>
        <w:t>13</w:t>
      </w:r>
    </w:p>
    <w:p w14:paraId="27AC4189" w14:textId="77777777" w:rsidR="00427086" w:rsidRPr="0013502F" w:rsidRDefault="00427086" w:rsidP="00527456">
      <w:pPr>
        <w:spacing w:after="0" w:line="240" w:lineRule="auto"/>
        <w:ind w:firstLine="567"/>
        <w:jc w:val="center"/>
        <w:rPr>
          <w:rFonts w:ascii="Times New Roman" w:eastAsia="Calibri" w:hAnsi="Times New Roman" w:cs="Times New Roman"/>
          <w:color w:val="000000"/>
          <w:sz w:val="24"/>
          <w:szCs w:val="24"/>
        </w:rPr>
      </w:pPr>
      <w:r w:rsidRPr="0013502F">
        <w:rPr>
          <w:rFonts w:ascii="Times New Roman" w:eastAsia="Calibri" w:hAnsi="Times New Roman" w:cs="Times New Roman"/>
          <w:color w:val="000000"/>
          <w:sz w:val="24"/>
          <w:szCs w:val="24"/>
        </w:rPr>
        <w:t>Количество услуг, доступных для получения в электронном виде</w:t>
      </w:r>
    </w:p>
    <w:p w14:paraId="165AE19D" w14:textId="77777777" w:rsidR="00427086" w:rsidRPr="0013502F" w:rsidRDefault="00427086" w:rsidP="00527456">
      <w:pPr>
        <w:widowControl w:val="0"/>
        <w:shd w:val="clear" w:color="auto" w:fill="FFFFFF"/>
        <w:spacing w:after="0" w:line="240" w:lineRule="auto"/>
        <w:ind w:firstLine="708"/>
        <w:jc w:val="both"/>
        <w:rPr>
          <w:rFonts w:ascii="Times New Roman" w:eastAsia="Calibri" w:hAnsi="Times New Roman" w:cs="Times New Roman"/>
          <w:color w:val="000000"/>
          <w:sz w:val="28"/>
          <w:szCs w:val="28"/>
        </w:rPr>
      </w:pPr>
    </w:p>
    <w:p w14:paraId="378E0A65" w14:textId="77777777" w:rsidR="00337895" w:rsidRPr="0013502F" w:rsidRDefault="00427086" w:rsidP="00527456">
      <w:pPr>
        <w:spacing w:after="0" w:line="240" w:lineRule="auto"/>
        <w:ind w:firstLine="709"/>
        <w:jc w:val="center"/>
        <w:rPr>
          <w:rFonts w:ascii="Times New Roman" w:eastAsia="Calibri" w:hAnsi="Times New Roman" w:cs="Times New Roman"/>
          <w:color w:val="000000"/>
          <w:sz w:val="28"/>
          <w:szCs w:val="28"/>
        </w:rPr>
      </w:pPr>
      <w:r w:rsidRPr="0013502F">
        <w:rPr>
          <w:rFonts w:ascii="Times New Roman" w:eastAsia="Calibri" w:hAnsi="Times New Roman" w:cs="Times New Roman"/>
          <w:noProof/>
          <w:lang w:eastAsia="ru-RU"/>
        </w:rPr>
        <w:drawing>
          <wp:inline distT="0" distB="0" distL="0" distR="0" wp14:anchorId="5648EA76" wp14:editId="465789E2">
            <wp:extent cx="2910178" cy="1447137"/>
            <wp:effectExtent l="0" t="0" r="5080" b="127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318DAC" w14:textId="77777777" w:rsidR="00337895" w:rsidRPr="0013502F" w:rsidRDefault="00337895" w:rsidP="00527456">
      <w:pPr>
        <w:spacing w:after="0" w:line="240" w:lineRule="auto"/>
        <w:ind w:firstLine="709"/>
        <w:jc w:val="both"/>
        <w:rPr>
          <w:rFonts w:ascii="Times New Roman" w:eastAsia="Calibri" w:hAnsi="Times New Roman" w:cs="Times New Roman"/>
          <w:color w:val="000000"/>
          <w:sz w:val="28"/>
          <w:szCs w:val="28"/>
        </w:rPr>
      </w:pPr>
    </w:p>
    <w:p w14:paraId="0B14D62E" w14:textId="77777777" w:rsidR="00427086" w:rsidRPr="0013502F" w:rsidRDefault="00427086" w:rsidP="00527456">
      <w:pPr>
        <w:tabs>
          <w:tab w:val="left" w:pos="567"/>
        </w:tabs>
        <w:spacing w:after="0" w:line="240" w:lineRule="auto"/>
        <w:ind w:firstLine="709"/>
        <w:jc w:val="both"/>
        <w:rPr>
          <w:rFonts w:ascii="Times New Roman" w:eastAsia="Calibri" w:hAnsi="Times New Roman" w:cs="Times New Roman"/>
          <w:color w:val="000000"/>
          <w:sz w:val="28"/>
          <w:szCs w:val="28"/>
        </w:rPr>
      </w:pPr>
      <w:r w:rsidRPr="0013502F">
        <w:rPr>
          <w:rFonts w:ascii="Times New Roman" w:eastAsia="Calibri" w:hAnsi="Times New Roman" w:cs="Times New Roman"/>
          <w:color w:val="000000"/>
          <w:sz w:val="28"/>
          <w:szCs w:val="28"/>
        </w:rPr>
        <w:t>Наиболее востребованы у горожан следующие услуги в электронном виде:</w:t>
      </w:r>
    </w:p>
    <w:p w14:paraId="39695C42" w14:textId="77777777" w:rsidR="00427086" w:rsidRPr="0013502F" w:rsidRDefault="00427086" w:rsidP="00527456">
      <w:pPr>
        <w:tabs>
          <w:tab w:val="left" w:pos="567"/>
          <w:tab w:val="left" w:pos="851"/>
        </w:tabs>
        <w:spacing w:after="0" w:line="240" w:lineRule="auto"/>
        <w:contextualSpacing/>
        <w:jc w:val="both"/>
        <w:rPr>
          <w:rFonts w:ascii="Times New Roman" w:eastAsia="Calibri" w:hAnsi="Times New Roman" w:cs="Times New Roman"/>
          <w:sz w:val="28"/>
          <w:szCs w:val="28"/>
          <w:lang w:val="x-none" w:eastAsia="x-none"/>
        </w:rPr>
      </w:pPr>
      <w:r w:rsidRPr="0013502F">
        <w:rPr>
          <w:rFonts w:ascii="Times New Roman" w:eastAsia="Calibri" w:hAnsi="Times New Roman" w:cs="Times New Roman"/>
          <w:sz w:val="28"/>
          <w:szCs w:val="28"/>
          <w:lang w:eastAsia="x-none"/>
        </w:rPr>
        <w:tab/>
        <w:t xml:space="preserve">- </w:t>
      </w:r>
      <w:r w:rsidRPr="0013502F">
        <w:rPr>
          <w:rFonts w:ascii="Times New Roman" w:eastAsia="Calibri" w:hAnsi="Times New Roman" w:cs="Times New Roman"/>
          <w:sz w:val="28"/>
          <w:szCs w:val="28"/>
          <w:lang w:val="x-none" w:eastAsia="x-none"/>
        </w:rPr>
        <w:t>прием заявлений, постановка на учет детей в образовательные учреждения, реализующие основную общеобразовательную программу дошкольного образования (46 услуг);</w:t>
      </w:r>
    </w:p>
    <w:p w14:paraId="1A0516A3" w14:textId="77777777" w:rsidR="00427086" w:rsidRPr="0013502F" w:rsidRDefault="00427086" w:rsidP="00527456">
      <w:pPr>
        <w:tabs>
          <w:tab w:val="left" w:pos="567"/>
          <w:tab w:val="left" w:pos="851"/>
        </w:tabs>
        <w:spacing w:after="0" w:line="240" w:lineRule="auto"/>
        <w:contextualSpacing/>
        <w:jc w:val="both"/>
        <w:rPr>
          <w:rFonts w:ascii="Times New Roman" w:eastAsia="Calibri" w:hAnsi="Times New Roman" w:cs="Times New Roman"/>
          <w:sz w:val="28"/>
          <w:szCs w:val="28"/>
          <w:lang w:val="x-none" w:eastAsia="x-none"/>
        </w:rPr>
      </w:pPr>
      <w:r w:rsidRPr="0013502F">
        <w:rPr>
          <w:rFonts w:ascii="Times New Roman" w:eastAsia="Calibri" w:hAnsi="Times New Roman" w:cs="Times New Roman"/>
          <w:sz w:val="28"/>
          <w:szCs w:val="28"/>
          <w:lang w:eastAsia="x-none"/>
        </w:rPr>
        <w:tab/>
        <w:t xml:space="preserve">- </w:t>
      </w:r>
      <w:r w:rsidRPr="0013502F">
        <w:rPr>
          <w:rFonts w:ascii="Times New Roman" w:eastAsia="Calibri" w:hAnsi="Times New Roman" w:cs="Times New Roman"/>
          <w:sz w:val="28"/>
          <w:szCs w:val="28"/>
          <w:lang w:val="x-none" w:eastAsia="x-none"/>
        </w:rPr>
        <w:t>государственная регистрация рождения (10 услуг);</w:t>
      </w:r>
    </w:p>
    <w:p w14:paraId="504229B4" w14:textId="77777777" w:rsidR="00427086" w:rsidRPr="0013502F" w:rsidRDefault="00427086" w:rsidP="00527456">
      <w:pPr>
        <w:tabs>
          <w:tab w:val="left" w:pos="567"/>
          <w:tab w:val="left" w:pos="851"/>
        </w:tabs>
        <w:spacing w:after="0" w:line="240" w:lineRule="auto"/>
        <w:contextualSpacing/>
        <w:jc w:val="both"/>
        <w:rPr>
          <w:rFonts w:ascii="Times New Roman" w:eastAsia="Calibri" w:hAnsi="Times New Roman" w:cs="Times New Roman"/>
          <w:sz w:val="28"/>
          <w:szCs w:val="28"/>
          <w:lang w:val="x-none" w:eastAsia="x-none"/>
        </w:rPr>
      </w:pPr>
      <w:r w:rsidRPr="0013502F">
        <w:rPr>
          <w:rFonts w:ascii="Times New Roman" w:eastAsia="Calibri" w:hAnsi="Times New Roman" w:cs="Times New Roman"/>
          <w:sz w:val="28"/>
          <w:szCs w:val="28"/>
          <w:lang w:eastAsia="x-none"/>
        </w:rPr>
        <w:tab/>
        <w:t xml:space="preserve">- </w:t>
      </w:r>
      <w:r w:rsidRPr="0013502F">
        <w:rPr>
          <w:rFonts w:ascii="Times New Roman" w:eastAsia="Calibri" w:hAnsi="Times New Roman" w:cs="Times New Roman"/>
          <w:sz w:val="28"/>
          <w:szCs w:val="28"/>
          <w:lang w:val="x-none" w:eastAsia="x-none"/>
        </w:rPr>
        <w:t>государственная регистрация заключения брака (102 услуги).</w:t>
      </w:r>
    </w:p>
    <w:p w14:paraId="1546CAF7"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14"/>
          <w:szCs w:val="14"/>
          <w:lang w:eastAsia="ru-RU"/>
        </w:rPr>
      </w:pPr>
      <w:r w:rsidRPr="0013502F">
        <w:rPr>
          <w:rFonts w:ascii="Times New Roman" w:eastAsia="Calibri" w:hAnsi="Times New Roman" w:cs="Times New Roman"/>
          <w:color w:val="000000"/>
          <w:sz w:val="28"/>
          <w:szCs w:val="28"/>
        </w:rPr>
        <w:t>За 2016 год предоставлено в электронном виде 44 299 услуг, в том числе 44 032 услуги по предоставлению информации о текущей успеваемости учащегося (в 2014 году в электронном виде было оказано всего 62 услуги, в 2015 году – 22 882, из них 22 694 услуги по предоставлению информации о текущей успеваемости учащегося).</w:t>
      </w:r>
    </w:p>
    <w:p w14:paraId="57E520C6" w14:textId="77777777" w:rsidR="00427086" w:rsidRPr="0013502F" w:rsidRDefault="00427086" w:rsidP="00527456">
      <w:pPr>
        <w:widowControl w:val="0"/>
        <w:shd w:val="clear" w:color="auto" w:fill="FFFFFF"/>
        <w:tabs>
          <w:tab w:val="left" w:pos="567"/>
        </w:tabs>
        <w:spacing w:after="0" w:line="240" w:lineRule="auto"/>
        <w:ind w:firstLine="567"/>
        <w:jc w:val="both"/>
        <w:rPr>
          <w:rFonts w:ascii="Times New Roman" w:eastAsia="Calibri" w:hAnsi="Times New Roman" w:cs="Times New Roman"/>
          <w:sz w:val="28"/>
          <w:szCs w:val="28"/>
          <w:lang w:eastAsia="ru-RU"/>
        </w:rPr>
      </w:pPr>
      <w:r w:rsidRPr="0013502F">
        <w:rPr>
          <w:rFonts w:ascii="Times New Roman" w:eastAsia="Calibri" w:hAnsi="Times New Roman" w:cs="Times New Roman"/>
          <w:sz w:val="28"/>
          <w:szCs w:val="28"/>
          <w:lang w:eastAsia="ru-RU"/>
        </w:rPr>
        <w:t>В целях популяризации среди граждан механизма получения государственных и муниципальных услуг в электронной форме в течение 2016 года проведен ряд мероприятий, направленных на повышение информированности граждан о преимуществах получения услуг в электронной форме. К числу таких мероприятий относятся:</w:t>
      </w:r>
    </w:p>
    <w:p w14:paraId="0C272ADE" w14:textId="77777777" w:rsidR="00427086" w:rsidRPr="0013502F" w:rsidRDefault="00427086" w:rsidP="00527456">
      <w:pPr>
        <w:widowControl w:val="0"/>
        <w:shd w:val="clear" w:color="auto" w:fill="FFFFFF"/>
        <w:tabs>
          <w:tab w:val="left" w:pos="567"/>
          <w:tab w:val="left" w:pos="851"/>
        </w:tabs>
        <w:spacing w:after="0" w:line="240" w:lineRule="auto"/>
        <w:contextualSpacing/>
        <w:jc w:val="both"/>
        <w:rPr>
          <w:rFonts w:ascii="Times New Roman" w:eastAsia="Calibri" w:hAnsi="Times New Roman" w:cs="Times New Roman"/>
          <w:sz w:val="28"/>
          <w:szCs w:val="28"/>
          <w:lang w:val="x-none" w:eastAsia="ru-RU"/>
        </w:rPr>
      </w:pPr>
      <w:r w:rsidRPr="0013502F">
        <w:rPr>
          <w:rFonts w:ascii="Times New Roman" w:eastAsia="Calibri" w:hAnsi="Times New Roman" w:cs="Times New Roman"/>
          <w:sz w:val="28"/>
          <w:szCs w:val="28"/>
          <w:lang w:eastAsia="ru-RU"/>
        </w:rPr>
        <w:tab/>
        <w:t xml:space="preserve">- </w:t>
      </w:r>
      <w:r w:rsidRPr="0013502F">
        <w:rPr>
          <w:rFonts w:ascii="Times New Roman" w:eastAsia="Calibri" w:hAnsi="Times New Roman" w:cs="Times New Roman"/>
          <w:sz w:val="28"/>
          <w:szCs w:val="28"/>
          <w:lang w:val="x-none" w:eastAsia="ru-RU"/>
        </w:rPr>
        <w:t>регистрация населения в Единой системе идентификации и</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val="x-none" w:eastAsia="ru-RU"/>
        </w:rPr>
        <w:t>аутентификации в Единый день голосования (18 сентября 2016 года);</w:t>
      </w:r>
    </w:p>
    <w:p w14:paraId="55A43F71" w14:textId="77777777" w:rsidR="00427086" w:rsidRPr="0013502F" w:rsidRDefault="00427086" w:rsidP="00527456">
      <w:pPr>
        <w:widowControl w:val="0"/>
        <w:shd w:val="clear" w:color="auto" w:fill="FFFFFF"/>
        <w:tabs>
          <w:tab w:val="left" w:pos="567"/>
          <w:tab w:val="left" w:pos="851"/>
        </w:tabs>
        <w:spacing w:after="0" w:line="240" w:lineRule="auto"/>
        <w:contextualSpacing/>
        <w:jc w:val="both"/>
        <w:rPr>
          <w:rFonts w:ascii="Times New Roman" w:eastAsia="Calibri" w:hAnsi="Times New Roman" w:cs="Times New Roman"/>
          <w:sz w:val="28"/>
          <w:szCs w:val="28"/>
          <w:lang w:val="x-none" w:eastAsia="ru-RU"/>
        </w:rPr>
      </w:pPr>
      <w:r w:rsidRPr="0013502F">
        <w:rPr>
          <w:rFonts w:ascii="Times New Roman" w:eastAsia="Calibri" w:hAnsi="Times New Roman" w:cs="Times New Roman"/>
          <w:sz w:val="28"/>
          <w:szCs w:val="28"/>
          <w:lang w:eastAsia="ru-RU"/>
        </w:rPr>
        <w:tab/>
        <w:t xml:space="preserve">- </w:t>
      </w:r>
      <w:r w:rsidRPr="0013502F">
        <w:rPr>
          <w:rFonts w:ascii="Times New Roman" w:eastAsia="Calibri" w:hAnsi="Times New Roman" w:cs="Times New Roman"/>
          <w:sz w:val="28"/>
          <w:szCs w:val="28"/>
          <w:lang w:val="x-none" w:eastAsia="ru-RU"/>
        </w:rPr>
        <w:t>проведение мероприятий по информированию граждан о получении государственных и муниципальных услуг в электронной форме, реализованных в</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val="x-none" w:eastAsia="ru-RU"/>
        </w:rPr>
        <w:t>рамках Плана комплексных мероприятий по популяризации механизмов получения услуг в электронной форме. План разработан с учетом методических рекомендаций органам местного самоуправления по информированию граждан о преимуществах получения государственных и муниципальных услуг в</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val="x-none" w:eastAsia="ru-RU"/>
        </w:rPr>
        <w:t>электронной форме (интервью на телевидении, пресс-релизы на официальном сайте Администрации города Ханты-Мансийска и др.);</w:t>
      </w:r>
    </w:p>
    <w:p w14:paraId="1922C61E" w14:textId="77777777" w:rsidR="00427086" w:rsidRPr="0013502F" w:rsidRDefault="00427086" w:rsidP="00527456">
      <w:pPr>
        <w:widowControl w:val="0"/>
        <w:shd w:val="clear" w:color="auto" w:fill="FFFFFF"/>
        <w:tabs>
          <w:tab w:val="left" w:pos="567"/>
          <w:tab w:val="left" w:pos="851"/>
        </w:tabs>
        <w:spacing w:after="0" w:line="240" w:lineRule="auto"/>
        <w:contextualSpacing/>
        <w:jc w:val="both"/>
        <w:rPr>
          <w:rFonts w:ascii="Times New Roman" w:eastAsia="Calibri" w:hAnsi="Times New Roman" w:cs="Times New Roman"/>
          <w:sz w:val="28"/>
          <w:szCs w:val="28"/>
          <w:lang w:val="x-none" w:eastAsia="ru-RU"/>
        </w:rPr>
      </w:pPr>
      <w:r w:rsidRPr="0013502F">
        <w:rPr>
          <w:rFonts w:ascii="Times New Roman" w:eastAsia="Calibri" w:hAnsi="Times New Roman" w:cs="Times New Roman"/>
          <w:sz w:val="28"/>
          <w:szCs w:val="28"/>
          <w:lang w:eastAsia="ru-RU"/>
        </w:rPr>
        <w:tab/>
        <w:t xml:space="preserve">- </w:t>
      </w:r>
      <w:r w:rsidRPr="0013502F">
        <w:rPr>
          <w:rFonts w:ascii="Times New Roman" w:eastAsia="Calibri" w:hAnsi="Times New Roman" w:cs="Times New Roman"/>
          <w:sz w:val="28"/>
          <w:szCs w:val="28"/>
          <w:lang w:val="x-none" w:eastAsia="ru-RU"/>
        </w:rPr>
        <w:t>проведение тематических родительских собраний в образовательных организациях города по популяризации среди граждан механизма получения государственных и муниципальных услуг в</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val="x-none" w:eastAsia="ru-RU"/>
        </w:rPr>
        <w:t>электронной форме;</w:t>
      </w:r>
    </w:p>
    <w:p w14:paraId="66172E3C" w14:textId="77777777" w:rsidR="00427086" w:rsidRPr="0013502F" w:rsidRDefault="00427086" w:rsidP="00527456">
      <w:pPr>
        <w:widowControl w:val="0"/>
        <w:shd w:val="clear" w:color="auto" w:fill="FFFFFF"/>
        <w:tabs>
          <w:tab w:val="left" w:pos="567"/>
          <w:tab w:val="left" w:pos="851"/>
        </w:tabs>
        <w:spacing w:after="0" w:line="240" w:lineRule="auto"/>
        <w:contextualSpacing/>
        <w:jc w:val="both"/>
        <w:rPr>
          <w:rFonts w:ascii="Times New Roman" w:eastAsia="Calibri" w:hAnsi="Times New Roman" w:cs="Times New Roman"/>
          <w:sz w:val="14"/>
          <w:szCs w:val="14"/>
          <w:lang w:val="x-none" w:eastAsia="x-none"/>
        </w:rPr>
      </w:pPr>
      <w:r w:rsidRPr="0013502F">
        <w:rPr>
          <w:rFonts w:ascii="Times New Roman" w:eastAsia="Calibri" w:hAnsi="Times New Roman" w:cs="Times New Roman"/>
          <w:sz w:val="28"/>
          <w:szCs w:val="28"/>
          <w:lang w:eastAsia="ru-RU"/>
        </w:rPr>
        <w:tab/>
        <w:t xml:space="preserve">- </w:t>
      </w:r>
      <w:r w:rsidRPr="0013502F">
        <w:rPr>
          <w:rFonts w:ascii="Times New Roman" w:eastAsia="Calibri" w:hAnsi="Times New Roman" w:cs="Times New Roman"/>
          <w:sz w:val="28"/>
          <w:szCs w:val="28"/>
          <w:lang w:val="x-none" w:eastAsia="ru-RU"/>
        </w:rPr>
        <w:t xml:space="preserve">размещение на информационных стендах и на официальных сайтах образовательных организаций города информация о регистрации на портале </w:t>
      </w:r>
      <w:proofErr w:type="spellStart"/>
      <w:r w:rsidRPr="0013502F">
        <w:rPr>
          <w:rFonts w:ascii="Times New Roman" w:eastAsia="Calibri" w:hAnsi="Times New Roman" w:cs="Times New Roman"/>
          <w:sz w:val="28"/>
          <w:szCs w:val="28"/>
          <w:lang w:val="x-none" w:eastAsia="ru-RU"/>
        </w:rPr>
        <w:t>госуслуг</w:t>
      </w:r>
      <w:proofErr w:type="spellEnd"/>
      <w:r w:rsidRPr="0013502F">
        <w:rPr>
          <w:rFonts w:ascii="Times New Roman" w:eastAsia="Calibri" w:hAnsi="Times New Roman" w:cs="Times New Roman"/>
          <w:sz w:val="28"/>
          <w:szCs w:val="28"/>
          <w:lang w:val="x-none" w:eastAsia="ru-RU"/>
        </w:rPr>
        <w:t xml:space="preserve">, а также видеороликов о возможности получении </w:t>
      </w:r>
      <w:proofErr w:type="spellStart"/>
      <w:r w:rsidRPr="0013502F">
        <w:rPr>
          <w:rFonts w:ascii="Times New Roman" w:eastAsia="Calibri" w:hAnsi="Times New Roman" w:cs="Times New Roman"/>
          <w:sz w:val="28"/>
          <w:szCs w:val="28"/>
          <w:lang w:val="x-none" w:eastAsia="ru-RU"/>
        </w:rPr>
        <w:t>госуслуг</w:t>
      </w:r>
      <w:proofErr w:type="spellEnd"/>
      <w:r w:rsidRPr="0013502F">
        <w:rPr>
          <w:rFonts w:ascii="Times New Roman" w:eastAsia="Calibri" w:hAnsi="Times New Roman" w:cs="Times New Roman"/>
          <w:sz w:val="28"/>
          <w:szCs w:val="28"/>
          <w:lang w:val="x-none" w:eastAsia="ru-RU"/>
        </w:rPr>
        <w:t xml:space="preserve"> в</w:t>
      </w:r>
      <w:r w:rsidRPr="0013502F">
        <w:rPr>
          <w:rFonts w:ascii="Times New Roman" w:eastAsia="Calibri" w:hAnsi="Times New Roman" w:cs="Times New Roman"/>
          <w:sz w:val="28"/>
          <w:szCs w:val="28"/>
          <w:lang w:val="en-US" w:eastAsia="ru-RU"/>
        </w:rPr>
        <w:t> </w:t>
      </w:r>
      <w:r w:rsidRPr="0013502F">
        <w:rPr>
          <w:rFonts w:ascii="Times New Roman" w:eastAsia="Calibri" w:hAnsi="Times New Roman" w:cs="Times New Roman"/>
          <w:sz w:val="28"/>
          <w:szCs w:val="28"/>
          <w:lang w:val="x-none" w:eastAsia="ru-RU"/>
        </w:rPr>
        <w:t>электронной форме.</w:t>
      </w:r>
    </w:p>
    <w:p w14:paraId="22559CA0" w14:textId="77777777" w:rsidR="00427086" w:rsidRPr="0013502F" w:rsidRDefault="00427086" w:rsidP="00527456">
      <w:pPr>
        <w:widowControl w:val="0"/>
        <w:shd w:val="clear" w:color="auto" w:fill="FFFFFF"/>
        <w:tabs>
          <w:tab w:val="left" w:pos="567"/>
        </w:tabs>
        <w:spacing w:after="0" w:line="240" w:lineRule="auto"/>
        <w:ind w:firstLine="567"/>
        <w:contextualSpacing/>
        <w:jc w:val="both"/>
        <w:rPr>
          <w:rFonts w:ascii="Times New Roman" w:eastAsia="Calibri" w:hAnsi="Times New Roman" w:cs="Times New Roman"/>
          <w:sz w:val="28"/>
          <w:szCs w:val="28"/>
          <w:lang w:val="x-none" w:eastAsia="ru-RU"/>
        </w:rPr>
      </w:pPr>
      <w:r w:rsidRPr="0013502F">
        <w:rPr>
          <w:rFonts w:ascii="Times New Roman" w:eastAsia="Calibri" w:hAnsi="Times New Roman" w:cs="Times New Roman"/>
          <w:sz w:val="28"/>
          <w:szCs w:val="28"/>
          <w:lang w:val="x-none" w:eastAsia="ru-RU"/>
        </w:rPr>
        <w:t>Важным фактором, содействующим развитию в городе Ханты-Мансийске информационного общества, улучшения качества жизни и условий ведения предпринимательской деятельности является уровень распространения среди населения базовых навыков использования информационно-коммуникационных технологий.</w:t>
      </w:r>
    </w:p>
    <w:p w14:paraId="49665E05" w14:textId="77777777" w:rsidR="00427086" w:rsidRPr="0013502F" w:rsidRDefault="00427086" w:rsidP="00527456">
      <w:pPr>
        <w:widowControl w:val="0"/>
        <w:shd w:val="clear" w:color="auto" w:fill="FFFFFF"/>
        <w:tabs>
          <w:tab w:val="left" w:pos="567"/>
        </w:tabs>
        <w:spacing w:after="0" w:line="240" w:lineRule="auto"/>
        <w:ind w:firstLine="567"/>
        <w:contextualSpacing/>
        <w:jc w:val="both"/>
        <w:rPr>
          <w:rFonts w:ascii="Times New Roman" w:eastAsia="Calibri" w:hAnsi="Times New Roman" w:cs="Times New Roman"/>
          <w:sz w:val="28"/>
          <w:szCs w:val="28"/>
          <w:lang w:val="x-none" w:eastAsia="x-none"/>
        </w:rPr>
      </w:pPr>
      <w:r w:rsidRPr="0013502F">
        <w:rPr>
          <w:rFonts w:ascii="Times New Roman" w:eastAsia="Calibri" w:hAnsi="Times New Roman" w:cs="Times New Roman"/>
          <w:sz w:val="28"/>
          <w:szCs w:val="28"/>
          <w:lang w:val="x-none" w:eastAsia="x-none"/>
        </w:rPr>
        <w:t>Для организации равного доступа населения, в том числе лиц с ограниченными возможностями здоровья, к информации о деятельности органов местного самоуправления в 2016 году совместно с Департаментом информационных технологий автономного округа обеспечена работа 4-х центров общественного доступа (</w:t>
      </w:r>
      <w:r w:rsidRPr="0013502F">
        <w:rPr>
          <w:rFonts w:ascii="Times New Roman" w:eastAsia="Calibri" w:hAnsi="Times New Roman" w:cs="Times New Roman"/>
          <w:sz w:val="28"/>
          <w:szCs w:val="28"/>
          <w:lang w:eastAsia="x-none"/>
        </w:rPr>
        <w:t xml:space="preserve">далее – </w:t>
      </w:r>
      <w:r w:rsidRPr="0013502F">
        <w:rPr>
          <w:rFonts w:ascii="Times New Roman" w:eastAsia="Calibri" w:hAnsi="Times New Roman" w:cs="Times New Roman"/>
          <w:sz w:val="28"/>
          <w:szCs w:val="28"/>
          <w:lang w:val="x-none" w:eastAsia="x-none"/>
        </w:rPr>
        <w:t>ЦОД) к информации, государственным и муниципальным услугам, предоставляемым в электронной форме на территории автономного округа.</w:t>
      </w:r>
    </w:p>
    <w:p w14:paraId="7731D2FC"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В </w:t>
      </w:r>
      <w:proofErr w:type="spellStart"/>
      <w:r w:rsidRPr="0013502F">
        <w:rPr>
          <w:rFonts w:ascii="Times New Roman" w:eastAsia="Calibri" w:hAnsi="Times New Roman" w:cs="Times New Roman"/>
          <w:sz w:val="28"/>
          <w:szCs w:val="28"/>
        </w:rPr>
        <w:t>ЦОДах</w:t>
      </w:r>
      <w:proofErr w:type="spellEnd"/>
      <w:r w:rsidRPr="0013502F">
        <w:rPr>
          <w:rFonts w:ascii="Times New Roman" w:eastAsia="Calibri" w:hAnsi="Times New Roman" w:cs="Times New Roman"/>
          <w:sz w:val="28"/>
          <w:szCs w:val="28"/>
        </w:rPr>
        <w:t xml:space="preserve"> предоставляется бесплатный доступ в сеть Интернет и справочно-правовым системам, а также осуществляется обучение жителей города Ханты-Мансийска по программе «Электронный гражданин». В 2016 году обучено 100 горожан. Работа в этом направлении будет продолжена и в 2017 году.</w:t>
      </w:r>
    </w:p>
    <w:p w14:paraId="4D780056" w14:textId="77777777" w:rsidR="00427086" w:rsidRPr="0013502F" w:rsidRDefault="00427086" w:rsidP="00527456">
      <w:pPr>
        <w:widowControl w:val="0"/>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Также с целью увеличения доли граждан, использующих механизм получения государственных и муниципальных услуг в электронной форме, в 4 органах Администрации города Ханты-Мансийска действуют Центры обслуживания пользователей портала </w:t>
      </w:r>
      <w:proofErr w:type="spellStart"/>
      <w:r w:rsidRPr="0013502F">
        <w:rPr>
          <w:rFonts w:ascii="Times New Roman" w:eastAsia="Calibri" w:hAnsi="Times New Roman" w:cs="Times New Roman"/>
          <w:sz w:val="28"/>
          <w:szCs w:val="28"/>
        </w:rPr>
        <w:t>госуслуг</w:t>
      </w:r>
      <w:proofErr w:type="spellEnd"/>
      <w:r w:rsidRPr="0013502F">
        <w:rPr>
          <w:rFonts w:ascii="Times New Roman" w:eastAsia="Calibri" w:hAnsi="Times New Roman" w:cs="Times New Roman"/>
          <w:sz w:val="28"/>
          <w:szCs w:val="28"/>
        </w:rPr>
        <w:t xml:space="preserve">, осуществляющие регистрацию пользователей на портале </w:t>
      </w:r>
      <w:proofErr w:type="spellStart"/>
      <w:r w:rsidRPr="0013502F">
        <w:rPr>
          <w:rFonts w:ascii="Times New Roman" w:eastAsia="Calibri" w:hAnsi="Times New Roman" w:cs="Times New Roman"/>
          <w:sz w:val="28"/>
          <w:szCs w:val="28"/>
        </w:rPr>
        <w:t>госуслуг</w:t>
      </w:r>
      <w:proofErr w:type="spellEnd"/>
      <w:r w:rsidRPr="0013502F">
        <w:rPr>
          <w:rFonts w:ascii="Times New Roman" w:eastAsia="Calibri" w:hAnsi="Times New Roman" w:cs="Times New Roman"/>
          <w:sz w:val="28"/>
          <w:szCs w:val="28"/>
        </w:rPr>
        <w:t xml:space="preserve"> и подтверждение личности в Единой системе идентификации и аутентификации. </w:t>
      </w:r>
    </w:p>
    <w:p w14:paraId="0FB1C793" w14:textId="77777777" w:rsidR="00427086" w:rsidRPr="0013502F" w:rsidRDefault="00427086" w:rsidP="00527456">
      <w:pPr>
        <w:widowControl w:val="0"/>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2016 году в Центрах подтверждена учетная запись 937 пользователям (в 2015 году – 221, в 2014 году – 22).</w:t>
      </w:r>
    </w:p>
    <w:p w14:paraId="32420E32"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Для организации межведомственного взаимодействия в Администрации города создан защищенный сегмент корпоративной сети (52 рабочих места </w:t>
      </w:r>
      <w:proofErr w:type="spellStart"/>
      <w:r w:rsidRPr="0013502F">
        <w:rPr>
          <w:rFonts w:ascii="Times New Roman" w:eastAsia="Calibri" w:hAnsi="Times New Roman" w:cs="Times New Roman"/>
          <w:sz w:val="28"/>
          <w:szCs w:val="28"/>
        </w:rPr>
        <w:t>VipNET</w:t>
      </w:r>
      <w:proofErr w:type="spellEnd"/>
      <w:r w:rsidRPr="0013502F">
        <w:rPr>
          <w:rFonts w:ascii="Times New Roman" w:eastAsia="Calibri" w:hAnsi="Times New Roman" w:cs="Times New Roman"/>
          <w:sz w:val="28"/>
          <w:szCs w:val="28"/>
        </w:rPr>
        <w:t xml:space="preserve">), который интегрирован в систему межведомственного электронного взаимодействия автономного округа, что позволяет специалистам органов Администрации города Ханты-Мансийска получать сведения по необходимым федеральным и региональным сервисам. </w:t>
      </w:r>
    </w:p>
    <w:p w14:paraId="2B276C0E"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К настоящему времени посредством системы межведомственного электронного взаимодействия (далее – СМЭВ) специалисты органов Администрации города Ханты-Мансийска имеют возможность самостоятельно получать различные документы (сведения), необходимые при предоставлении государственных и муниципальных услуг.</w:t>
      </w:r>
    </w:p>
    <w:p w14:paraId="22693166"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Согласно статистике, по каналам СМЭВ, сотрудниками органов Администрации города Ханты-Мансийска при предоставлении государственных и</w:t>
      </w:r>
      <w:r w:rsidRPr="0013502F">
        <w:rPr>
          <w:rFonts w:ascii="Times New Roman" w:eastAsia="Calibri" w:hAnsi="Times New Roman" w:cs="Times New Roman"/>
          <w:sz w:val="28"/>
          <w:szCs w:val="28"/>
          <w:lang w:val="en-US"/>
        </w:rPr>
        <w:t> </w:t>
      </w:r>
      <w:r w:rsidRPr="0013502F">
        <w:rPr>
          <w:rFonts w:ascii="Times New Roman" w:eastAsia="Calibri" w:hAnsi="Times New Roman" w:cs="Times New Roman"/>
          <w:sz w:val="28"/>
          <w:szCs w:val="28"/>
        </w:rPr>
        <w:t>муниципальных услуг за 2016 год направлено около 7 тыс. запросов о предоставлении документов и справок, что избавило заявителей от необходимости лично приносить в орган власти документы при получении услуг (6902 запроса в 2016 году, 6821 запрос в 2015 году и 4174 запроса в 2014 году).</w:t>
      </w:r>
    </w:p>
    <w:p w14:paraId="3898E781" w14:textId="77777777" w:rsidR="00427086" w:rsidRPr="0013502F" w:rsidRDefault="00427086" w:rsidP="00527456">
      <w:pPr>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 xml:space="preserve">Наиболее востребованными сведениями, запрашиваемыми по каналам СМЭВ, являются сведения, предоставляемые </w:t>
      </w:r>
      <w:proofErr w:type="spellStart"/>
      <w:r w:rsidRPr="0013502F">
        <w:rPr>
          <w:rFonts w:ascii="Times New Roman" w:eastAsia="Calibri" w:hAnsi="Times New Roman" w:cs="Times New Roman"/>
          <w:sz w:val="28"/>
          <w:szCs w:val="28"/>
        </w:rPr>
        <w:t>Росреестром</w:t>
      </w:r>
      <w:proofErr w:type="spellEnd"/>
      <w:r w:rsidRPr="0013502F">
        <w:rPr>
          <w:rFonts w:ascii="Times New Roman" w:eastAsia="Calibri" w:hAnsi="Times New Roman" w:cs="Times New Roman"/>
          <w:sz w:val="28"/>
          <w:szCs w:val="28"/>
        </w:rPr>
        <w:t>, ФНС России, Пенсионным фондом Российской Федерации.</w:t>
      </w:r>
    </w:p>
    <w:p w14:paraId="5CF60459" w14:textId="77777777" w:rsidR="00427086" w:rsidRPr="0013502F" w:rsidRDefault="00427086" w:rsidP="00527456">
      <w:pPr>
        <w:widowControl w:val="0"/>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Всего сотрудниками органов Администрации города Ханты-Мансийска в 2016 году направлено 13 854 межведомственных запроса (в 2015 году – 12 952 запроса, в 2014 году – 10 482 запроса).</w:t>
      </w:r>
    </w:p>
    <w:p w14:paraId="6511A4EB" w14:textId="77777777" w:rsidR="00427086" w:rsidRPr="00266FFD" w:rsidRDefault="00427086" w:rsidP="00527456">
      <w:pPr>
        <w:widowControl w:val="0"/>
        <w:tabs>
          <w:tab w:val="left" w:pos="567"/>
        </w:tabs>
        <w:spacing w:after="0" w:line="240" w:lineRule="auto"/>
        <w:ind w:firstLine="567"/>
        <w:jc w:val="both"/>
        <w:rPr>
          <w:rFonts w:ascii="Times New Roman" w:eastAsia="Calibri" w:hAnsi="Times New Roman" w:cs="Times New Roman"/>
          <w:sz w:val="28"/>
          <w:szCs w:val="28"/>
        </w:rPr>
      </w:pPr>
      <w:r w:rsidRPr="0013502F">
        <w:rPr>
          <w:rFonts w:ascii="Times New Roman" w:eastAsia="Calibri" w:hAnsi="Times New Roman" w:cs="Times New Roman"/>
          <w:sz w:val="28"/>
          <w:szCs w:val="28"/>
        </w:rPr>
        <w:t>В целях исполнения требований Закона № 210-ФЗ сотрудниками органов Администрации города Ханты-Мансийска в 2016 году было предоставлено 3385 ответов на поступившие от исполнительных органов государственной власти межведомственных запросов посредством СМЭВ, что на 17,4% больше, чем в предыдущем году (в 2015 году – 2883 ответа, в 2014 году 4498 ответов).</w:t>
      </w:r>
    </w:p>
    <w:p w14:paraId="70F0BC5C" w14:textId="77777777" w:rsidR="00512E7A" w:rsidRPr="00512E7A" w:rsidRDefault="00161320" w:rsidP="00427B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sectPr w:rsidR="00512E7A" w:rsidRPr="00512E7A" w:rsidSect="00AA7E3E">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64BDD" w14:textId="77777777" w:rsidR="003B7F92" w:rsidRDefault="003B7F92" w:rsidP="00AD59E0">
      <w:pPr>
        <w:spacing w:after="0" w:line="240" w:lineRule="auto"/>
      </w:pPr>
      <w:r>
        <w:separator/>
      </w:r>
    </w:p>
  </w:endnote>
  <w:endnote w:type="continuationSeparator" w:id="0">
    <w:p w14:paraId="5F801DEE" w14:textId="77777777" w:rsidR="003B7F92" w:rsidRDefault="003B7F92" w:rsidP="00AD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510231"/>
      <w:docPartObj>
        <w:docPartGallery w:val="Page Numbers (Bottom of Page)"/>
        <w:docPartUnique/>
      </w:docPartObj>
    </w:sdtPr>
    <w:sdtEndPr>
      <w:rPr>
        <w:rFonts w:ascii="Times New Roman" w:hAnsi="Times New Roman" w:cs="Times New Roman"/>
        <w:sz w:val="28"/>
      </w:rPr>
    </w:sdtEndPr>
    <w:sdtContent>
      <w:p w14:paraId="5E1E6717" w14:textId="77777777" w:rsidR="003B7F92" w:rsidRPr="00AD59E0" w:rsidRDefault="003B7F92" w:rsidP="00AD59E0">
        <w:pPr>
          <w:pStyle w:val="a8"/>
          <w:jc w:val="right"/>
          <w:rPr>
            <w:rFonts w:ascii="Times New Roman" w:hAnsi="Times New Roman" w:cs="Times New Roman"/>
            <w:sz w:val="28"/>
          </w:rPr>
        </w:pPr>
        <w:r w:rsidRPr="00AD59E0">
          <w:rPr>
            <w:rFonts w:ascii="Times New Roman" w:hAnsi="Times New Roman" w:cs="Times New Roman"/>
            <w:sz w:val="28"/>
          </w:rPr>
          <w:fldChar w:fldCharType="begin"/>
        </w:r>
        <w:r w:rsidRPr="00AD59E0">
          <w:rPr>
            <w:rFonts w:ascii="Times New Roman" w:hAnsi="Times New Roman" w:cs="Times New Roman"/>
            <w:sz w:val="28"/>
          </w:rPr>
          <w:instrText>PAGE   \* MERGEFORMAT</w:instrText>
        </w:r>
        <w:r w:rsidRPr="00AD59E0">
          <w:rPr>
            <w:rFonts w:ascii="Times New Roman" w:hAnsi="Times New Roman" w:cs="Times New Roman"/>
            <w:sz w:val="28"/>
          </w:rPr>
          <w:fldChar w:fldCharType="separate"/>
        </w:r>
        <w:r w:rsidR="00441A9F">
          <w:rPr>
            <w:rFonts w:ascii="Times New Roman" w:hAnsi="Times New Roman" w:cs="Times New Roman"/>
            <w:noProof/>
            <w:sz w:val="28"/>
          </w:rPr>
          <w:t>27</w:t>
        </w:r>
        <w:r w:rsidRPr="00AD59E0">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40F3B" w14:textId="77777777" w:rsidR="003B7F92" w:rsidRDefault="003B7F92" w:rsidP="00AD59E0">
      <w:pPr>
        <w:spacing w:after="0" w:line="240" w:lineRule="auto"/>
      </w:pPr>
      <w:r>
        <w:separator/>
      </w:r>
    </w:p>
  </w:footnote>
  <w:footnote w:type="continuationSeparator" w:id="0">
    <w:p w14:paraId="59435AC4" w14:textId="77777777" w:rsidR="003B7F92" w:rsidRDefault="003B7F92" w:rsidP="00AD5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23E32"/>
    <w:multiLevelType w:val="hybridMultilevel"/>
    <w:tmpl w:val="6DF24194"/>
    <w:lvl w:ilvl="0" w:tplc="D25EE35A">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E5363C0"/>
    <w:multiLevelType w:val="hybridMultilevel"/>
    <w:tmpl w:val="C0E6EFF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2F255B27"/>
    <w:multiLevelType w:val="multilevel"/>
    <w:tmpl w:val="403E163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4584335"/>
    <w:multiLevelType w:val="hybridMultilevel"/>
    <w:tmpl w:val="30A6AF56"/>
    <w:lvl w:ilvl="0" w:tplc="FDC65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D14655"/>
    <w:multiLevelType w:val="hybridMultilevel"/>
    <w:tmpl w:val="EE70C4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1450B7"/>
    <w:multiLevelType w:val="hybridMultilevel"/>
    <w:tmpl w:val="B98E0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1D17C5"/>
    <w:multiLevelType w:val="hybridMultilevel"/>
    <w:tmpl w:val="2DC8BA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9C96EA7"/>
    <w:multiLevelType w:val="hybridMultilevel"/>
    <w:tmpl w:val="08922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C23FE"/>
    <w:multiLevelType w:val="hybridMultilevel"/>
    <w:tmpl w:val="BB30AA82"/>
    <w:lvl w:ilvl="0" w:tplc="E1AC48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5"/>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89"/>
    <w:rsid w:val="00000BCF"/>
    <w:rsid w:val="00002985"/>
    <w:rsid w:val="00007977"/>
    <w:rsid w:val="0001314C"/>
    <w:rsid w:val="000131A4"/>
    <w:rsid w:val="00014C2D"/>
    <w:rsid w:val="00017F00"/>
    <w:rsid w:val="00026C85"/>
    <w:rsid w:val="00046967"/>
    <w:rsid w:val="00056013"/>
    <w:rsid w:val="000563C8"/>
    <w:rsid w:val="00062FC5"/>
    <w:rsid w:val="0007036C"/>
    <w:rsid w:val="000722F0"/>
    <w:rsid w:val="000768CE"/>
    <w:rsid w:val="00083224"/>
    <w:rsid w:val="00096798"/>
    <w:rsid w:val="000A1A58"/>
    <w:rsid w:val="000A71F3"/>
    <w:rsid w:val="000B0140"/>
    <w:rsid w:val="000B6666"/>
    <w:rsid w:val="000B761F"/>
    <w:rsid w:val="000C1177"/>
    <w:rsid w:val="000C2558"/>
    <w:rsid w:val="000E19CD"/>
    <w:rsid w:val="000E1A87"/>
    <w:rsid w:val="000F4A28"/>
    <w:rsid w:val="00106947"/>
    <w:rsid w:val="00112204"/>
    <w:rsid w:val="00112E9C"/>
    <w:rsid w:val="0011768C"/>
    <w:rsid w:val="0012684E"/>
    <w:rsid w:val="00134E43"/>
    <w:rsid w:val="0013502F"/>
    <w:rsid w:val="00137E44"/>
    <w:rsid w:val="0014068E"/>
    <w:rsid w:val="00144760"/>
    <w:rsid w:val="001612EE"/>
    <w:rsid w:val="00161320"/>
    <w:rsid w:val="001754F3"/>
    <w:rsid w:val="001772BD"/>
    <w:rsid w:val="00182243"/>
    <w:rsid w:val="00185EB4"/>
    <w:rsid w:val="0019186E"/>
    <w:rsid w:val="0019483D"/>
    <w:rsid w:val="001A25E7"/>
    <w:rsid w:val="001A74C6"/>
    <w:rsid w:val="001B066B"/>
    <w:rsid w:val="001B3AEC"/>
    <w:rsid w:val="001B40E2"/>
    <w:rsid w:val="001B4CDD"/>
    <w:rsid w:val="001B791F"/>
    <w:rsid w:val="001C2450"/>
    <w:rsid w:val="001D38A9"/>
    <w:rsid w:val="001D5512"/>
    <w:rsid w:val="00202881"/>
    <w:rsid w:val="00207D80"/>
    <w:rsid w:val="00233B72"/>
    <w:rsid w:val="00236941"/>
    <w:rsid w:val="00265B98"/>
    <w:rsid w:val="00271B9E"/>
    <w:rsid w:val="002846F8"/>
    <w:rsid w:val="00285349"/>
    <w:rsid w:val="00285D44"/>
    <w:rsid w:val="00286AEA"/>
    <w:rsid w:val="00287B67"/>
    <w:rsid w:val="0029431A"/>
    <w:rsid w:val="002D1C38"/>
    <w:rsid w:val="002D2E23"/>
    <w:rsid w:val="002D55EE"/>
    <w:rsid w:val="002D5884"/>
    <w:rsid w:val="002D7328"/>
    <w:rsid w:val="002F2988"/>
    <w:rsid w:val="002F2C4E"/>
    <w:rsid w:val="002F5347"/>
    <w:rsid w:val="0030254B"/>
    <w:rsid w:val="00304DE2"/>
    <w:rsid w:val="0030507E"/>
    <w:rsid w:val="003131CD"/>
    <w:rsid w:val="00313FFC"/>
    <w:rsid w:val="003169BF"/>
    <w:rsid w:val="00321AED"/>
    <w:rsid w:val="00324B5E"/>
    <w:rsid w:val="00331D86"/>
    <w:rsid w:val="00337895"/>
    <w:rsid w:val="00341BAC"/>
    <w:rsid w:val="00350F0F"/>
    <w:rsid w:val="003511EA"/>
    <w:rsid w:val="003527B3"/>
    <w:rsid w:val="00353C63"/>
    <w:rsid w:val="0035520A"/>
    <w:rsid w:val="003556B4"/>
    <w:rsid w:val="00360D72"/>
    <w:rsid w:val="00366DA9"/>
    <w:rsid w:val="003747AB"/>
    <w:rsid w:val="003807BD"/>
    <w:rsid w:val="0038198C"/>
    <w:rsid w:val="00383796"/>
    <w:rsid w:val="003A02A6"/>
    <w:rsid w:val="003B7F92"/>
    <w:rsid w:val="003C08A7"/>
    <w:rsid w:val="003C42C0"/>
    <w:rsid w:val="003D2F8B"/>
    <w:rsid w:val="003D6753"/>
    <w:rsid w:val="003E29D8"/>
    <w:rsid w:val="003F027E"/>
    <w:rsid w:val="003F716E"/>
    <w:rsid w:val="003F73FA"/>
    <w:rsid w:val="004003F1"/>
    <w:rsid w:val="00405629"/>
    <w:rsid w:val="0041179E"/>
    <w:rsid w:val="00411905"/>
    <w:rsid w:val="00427086"/>
    <w:rsid w:val="00427B03"/>
    <w:rsid w:val="00433FA8"/>
    <w:rsid w:val="00436733"/>
    <w:rsid w:val="00441A9F"/>
    <w:rsid w:val="00450197"/>
    <w:rsid w:val="0045259F"/>
    <w:rsid w:val="00462AAD"/>
    <w:rsid w:val="0048418E"/>
    <w:rsid w:val="004850BB"/>
    <w:rsid w:val="004877BA"/>
    <w:rsid w:val="004923CD"/>
    <w:rsid w:val="00493095"/>
    <w:rsid w:val="004A0AD7"/>
    <w:rsid w:val="004A3BC0"/>
    <w:rsid w:val="004B7A3B"/>
    <w:rsid w:val="004D5ABC"/>
    <w:rsid w:val="004E535F"/>
    <w:rsid w:val="004E5E83"/>
    <w:rsid w:val="004E6D11"/>
    <w:rsid w:val="004F23AD"/>
    <w:rsid w:val="004F2B70"/>
    <w:rsid w:val="004F7A7E"/>
    <w:rsid w:val="004F7E2F"/>
    <w:rsid w:val="00503D37"/>
    <w:rsid w:val="00512E7A"/>
    <w:rsid w:val="00527456"/>
    <w:rsid w:val="00530AA7"/>
    <w:rsid w:val="00532267"/>
    <w:rsid w:val="00546F02"/>
    <w:rsid w:val="00556F90"/>
    <w:rsid w:val="0056349D"/>
    <w:rsid w:val="00571307"/>
    <w:rsid w:val="0057242B"/>
    <w:rsid w:val="0057290F"/>
    <w:rsid w:val="00582DE6"/>
    <w:rsid w:val="005858B3"/>
    <w:rsid w:val="005908AA"/>
    <w:rsid w:val="005917B5"/>
    <w:rsid w:val="00592909"/>
    <w:rsid w:val="00593E5C"/>
    <w:rsid w:val="005A123F"/>
    <w:rsid w:val="005C0A64"/>
    <w:rsid w:val="005D11FB"/>
    <w:rsid w:val="005D169B"/>
    <w:rsid w:val="005D67D6"/>
    <w:rsid w:val="005E0747"/>
    <w:rsid w:val="005E295E"/>
    <w:rsid w:val="005E5023"/>
    <w:rsid w:val="005E6E7B"/>
    <w:rsid w:val="00604600"/>
    <w:rsid w:val="00636547"/>
    <w:rsid w:val="006403E6"/>
    <w:rsid w:val="00661691"/>
    <w:rsid w:val="006657C3"/>
    <w:rsid w:val="00671C6E"/>
    <w:rsid w:val="006736C6"/>
    <w:rsid w:val="00677B3D"/>
    <w:rsid w:val="00697F8A"/>
    <w:rsid w:val="006B4369"/>
    <w:rsid w:val="006C43F4"/>
    <w:rsid w:val="006C6748"/>
    <w:rsid w:val="006C6AD3"/>
    <w:rsid w:val="006D0542"/>
    <w:rsid w:val="006E34B2"/>
    <w:rsid w:val="006F18BA"/>
    <w:rsid w:val="006F2BFF"/>
    <w:rsid w:val="006F7E88"/>
    <w:rsid w:val="007008F0"/>
    <w:rsid w:val="007114B5"/>
    <w:rsid w:val="00711F3B"/>
    <w:rsid w:val="00712A04"/>
    <w:rsid w:val="00720E76"/>
    <w:rsid w:val="007321CE"/>
    <w:rsid w:val="00732810"/>
    <w:rsid w:val="00754267"/>
    <w:rsid w:val="00757232"/>
    <w:rsid w:val="007576D2"/>
    <w:rsid w:val="00782EFB"/>
    <w:rsid w:val="00784396"/>
    <w:rsid w:val="00790B66"/>
    <w:rsid w:val="007948DE"/>
    <w:rsid w:val="0079738C"/>
    <w:rsid w:val="007A684C"/>
    <w:rsid w:val="007B0404"/>
    <w:rsid w:val="007B2093"/>
    <w:rsid w:val="007C2224"/>
    <w:rsid w:val="007C5859"/>
    <w:rsid w:val="007C6C06"/>
    <w:rsid w:val="007D3796"/>
    <w:rsid w:val="007E26AC"/>
    <w:rsid w:val="007E60D9"/>
    <w:rsid w:val="008058CB"/>
    <w:rsid w:val="00811B56"/>
    <w:rsid w:val="00812A56"/>
    <w:rsid w:val="0081617C"/>
    <w:rsid w:val="0083145F"/>
    <w:rsid w:val="00835831"/>
    <w:rsid w:val="008551E9"/>
    <w:rsid w:val="008559F2"/>
    <w:rsid w:val="0086494E"/>
    <w:rsid w:val="00867C40"/>
    <w:rsid w:val="0087375B"/>
    <w:rsid w:val="00887BD8"/>
    <w:rsid w:val="00891BC2"/>
    <w:rsid w:val="008944B4"/>
    <w:rsid w:val="008A49E5"/>
    <w:rsid w:val="008B173C"/>
    <w:rsid w:val="008B3FF7"/>
    <w:rsid w:val="008B4118"/>
    <w:rsid w:val="008B6B44"/>
    <w:rsid w:val="008D6DF6"/>
    <w:rsid w:val="008E71BE"/>
    <w:rsid w:val="008E774F"/>
    <w:rsid w:val="008F718D"/>
    <w:rsid w:val="009016C7"/>
    <w:rsid w:val="00903D52"/>
    <w:rsid w:val="0090499A"/>
    <w:rsid w:val="00906DAD"/>
    <w:rsid w:val="00910DA5"/>
    <w:rsid w:val="009147F0"/>
    <w:rsid w:val="00916373"/>
    <w:rsid w:val="009204DF"/>
    <w:rsid w:val="009218C9"/>
    <w:rsid w:val="00943B64"/>
    <w:rsid w:val="009526CB"/>
    <w:rsid w:val="00962DA0"/>
    <w:rsid w:val="00967AA2"/>
    <w:rsid w:val="009772E6"/>
    <w:rsid w:val="009824C1"/>
    <w:rsid w:val="00990D38"/>
    <w:rsid w:val="00993AC0"/>
    <w:rsid w:val="00995B07"/>
    <w:rsid w:val="00996507"/>
    <w:rsid w:val="009A1D3D"/>
    <w:rsid w:val="009A2C16"/>
    <w:rsid w:val="009A7EFD"/>
    <w:rsid w:val="009B765C"/>
    <w:rsid w:val="009C3902"/>
    <w:rsid w:val="009D109F"/>
    <w:rsid w:val="009E6F84"/>
    <w:rsid w:val="009F31D9"/>
    <w:rsid w:val="009F66BD"/>
    <w:rsid w:val="009F724D"/>
    <w:rsid w:val="00A066BE"/>
    <w:rsid w:val="00A07D99"/>
    <w:rsid w:val="00A1716F"/>
    <w:rsid w:val="00A25EF2"/>
    <w:rsid w:val="00A34582"/>
    <w:rsid w:val="00A35177"/>
    <w:rsid w:val="00A367AC"/>
    <w:rsid w:val="00A44462"/>
    <w:rsid w:val="00A45CB3"/>
    <w:rsid w:val="00A4720E"/>
    <w:rsid w:val="00A60CFF"/>
    <w:rsid w:val="00A643DA"/>
    <w:rsid w:val="00A90272"/>
    <w:rsid w:val="00AA08B8"/>
    <w:rsid w:val="00AA5AD9"/>
    <w:rsid w:val="00AA7E3E"/>
    <w:rsid w:val="00AB1BE0"/>
    <w:rsid w:val="00AB29CD"/>
    <w:rsid w:val="00AD59E0"/>
    <w:rsid w:val="00AE31D9"/>
    <w:rsid w:val="00AE34DB"/>
    <w:rsid w:val="00AE4E26"/>
    <w:rsid w:val="00AE547D"/>
    <w:rsid w:val="00B03809"/>
    <w:rsid w:val="00B168AE"/>
    <w:rsid w:val="00B174B8"/>
    <w:rsid w:val="00B2228A"/>
    <w:rsid w:val="00B24B04"/>
    <w:rsid w:val="00B25AD3"/>
    <w:rsid w:val="00B3207F"/>
    <w:rsid w:val="00B34461"/>
    <w:rsid w:val="00B43136"/>
    <w:rsid w:val="00B50B94"/>
    <w:rsid w:val="00B60ABC"/>
    <w:rsid w:val="00B65212"/>
    <w:rsid w:val="00B6659D"/>
    <w:rsid w:val="00B84BF8"/>
    <w:rsid w:val="00B90440"/>
    <w:rsid w:val="00BA1EBA"/>
    <w:rsid w:val="00BB3DDD"/>
    <w:rsid w:val="00BB4A16"/>
    <w:rsid w:val="00BD4D65"/>
    <w:rsid w:val="00BE1D8A"/>
    <w:rsid w:val="00BE232E"/>
    <w:rsid w:val="00BE476E"/>
    <w:rsid w:val="00C0160B"/>
    <w:rsid w:val="00C1069E"/>
    <w:rsid w:val="00C14DD1"/>
    <w:rsid w:val="00C16D72"/>
    <w:rsid w:val="00C34C8E"/>
    <w:rsid w:val="00C401BD"/>
    <w:rsid w:val="00C45265"/>
    <w:rsid w:val="00C50C92"/>
    <w:rsid w:val="00C51049"/>
    <w:rsid w:val="00C524EF"/>
    <w:rsid w:val="00C5694B"/>
    <w:rsid w:val="00C6042B"/>
    <w:rsid w:val="00C63597"/>
    <w:rsid w:val="00C64FE2"/>
    <w:rsid w:val="00C7213C"/>
    <w:rsid w:val="00C726C9"/>
    <w:rsid w:val="00C73657"/>
    <w:rsid w:val="00C746D6"/>
    <w:rsid w:val="00C74849"/>
    <w:rsid w:val="00C7516F"/>
    <w:rsid w:val="00C76089"/>
    <w:rsid w:val="00C81A6B"/>
    <w:rsid w:val="00C835BA"/>
    <w:rsid w:val="00CA0EE3"/>
    <w:rsid w:val="00CA3801"/>
    <w:rsid w:val="00CC2578"/>
    <w:rsid w:val="00CD1036"/>
    <w:rsid w:val="00CD5B65"/>
    <w:rsid w:val="00D22B18"/>
    <w:rsid w:val="00D2461F"/>
    <w:rsid w:val="00D355FD"/>
    <w:rsid w:val="00D441C7"/>
    <w:rsid w:val="00D60393"/>
    <w:rsid w:val="00D6637D"/>
    <w:rsid w:val="00D72A25"/>
    <w:rsid w:val="00D73758"/>
    <w:rsid w:val="00D747C7"/>
    <w:rsid w:val="00D804E4"/>
    <w:rsid w:val="00D93751"/>
    <w:rsid w:val="00D9410A"/>
    <w:rsid w:val="00D95B29"/>
    <w:rsid w:val="00DA74BC"/>
    <w:rsid w:val="00DB3D5C"/>
    <w:rsid w:val="00DC0C43"/>
    <w:rsid w:val="00DC0C9D"/>
    <w:rsid w:val="00DC1628"/>
    <w:rsid w:val="00DD0384"/>
    <w:rsid w:val="00DE264A"/>
    <w:rsid w:val="00DF6119"/>
    <w:rsid w:val="00E06936"/>
    <w:rsid w:val="00E14388"/>
    <w:rsid w:val="00E157E8"/>
    <w:rsid w:val="00E21BB8"/>
    <w:rsid w:val="00E23F9D"/>
    <w:rsid w:val="00E26F60"/>
    <w:rsid w:val="00E40D68"/>
    <w:rsid w:val="00E413CE"/>
    <w:rsid w:val="00E51DF0"/>
    <w:rsid w:val="00E57359"/>
    <w:rsid w:val="00E630B8"/>
    <w:rsid w:val="00E6715B"/>
    <w:rsid w:val="00E73E34"/>
    <w:rsid w:val="00E93160"/>
    <w:rsid w:val="00EA0058"/>
    <w:rsid w:val="00EA0517"/>
    <w:rsid w:val="00EB11DA"/>
    <w:rsid w:val="00EB4435"/>
    <w:rsid w:val="00EC739D"/>
    <w:rsid w:val="00ED543A"/>
    <w:rsid w:val="00ED5E9A"/>
    <w:rsid w:val="00EE15EF"/>
    <w:rsid w:val="00EF1B9B"/>
    <w:rsid w:val="00EF264C"/>
    <w:rsid w:val="00EF4CEF"/>
    <w:rsid w:val="00EF64D2"/>
    <w:rsid w:val="00F35587"/>
    <w:rsid w:val="00F37FF9"/>
    <w:rsid w:val="00F42FBA"/>
    <w:rsid w:val="00F514CB"/>
    <w:rsid w:val="00F5231E"/>
    <w:rsid w:val="00F64C66"/>
    <w:rsid w:val="00F874DE"/>
    <w:rsid w:val="00F932B4"/>
    <w:rsid w:val="00FA45C2"/>
    <w:rsid w:val="00FB3CF6"/>
    <w:rsid w:val="00FC1094"/>
    <w:rsid w:val="00FC133B"/>
    <w:rsid w:val="00FC488B"/>
    <w:rsid w:val="00FC6D12"/>
    <w:rsid w:val="00FD05FA"/>
    <w:rsid w:val="00FD18A8"/>
    <w:rsid w:val="00FD4E52"/>
    <w:rsid w:val="00FD5029"/>
    <w:rsid w:val="00FE0342"/>
    <w:rsid w:val="00FE2340"/>
    <w:rsid w:val="00FF194F"/>
    <w:rsid w:val="00FF307B"/>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3B9F"/>
  <w15:docId w15:val="{2410AE19-834F-4276-A964-6D97B3F9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1EA"/>
  </w:style>
  <w:style w:type="paragraph" w:styleId="1">
    <w:name w:val="heading 1"/>
    <w:basedOn w:val="a"/>
    <w:next w:val="a"/>
    <w:link w:val="10"/>
    <w:uiPriority w:val="9"/>
    <w:qFormat/>
    <w:rsid w:val="00EB4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43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51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1EA"/>
    <w:rPr>
      <w:rFonts w:ascii="Tahoma" w:hAnsi="Tahoma" w:cs="Tahoma"/>
      <w:sz w:val="16"/>
      <w:szCs w:val="16"/>
    </w:rPr>
  </w:style>
  <w:style w:type="character" w:styleId="a5">
    <w:name w:val="Hyperlink"/>
    <w:uiPriority w:val="99"/>
    <w:unhideWhenUsed/>
    <w:rsid w:val="0001314C"/>
    <w:rPr>
      <w:color w:val="0000FF"/>
      <w:u w:val="single"/>
    </w:rPr>
  </w:style>
  <w:style w:type="paragraph" w:styleId="a6">
    <w:name w:val="header"/>
    <w:basedOn w:val="a"/>
    <w:link w:val="a7"/>
    <w:uiPriority w:val="99"/>
    <w:unhideWhenUsed/>
    <w:rsid w:val="00AD59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59E0"/>
  </w:style>
  <w:style w:type="paragraph" w:styleId="a8">
    <w:name w:val="footer"/>
    <w:basedOn w:val="a"/>
    <w:link w:val="a9"/>
    <w:uiPriority w:val="99"/>
    <w:unhideWhenUsed/>
    <w:rsid w:val="00AD59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59E0"/>
  </w:style>
  <w:style w:type="paragraph" w:styleId="aa">
    <w:name w:val="List Paragraph"/>
    <w:basedOn w:val="a"/>
    <w:uiPriority w:val="34"/>
    <w:qFormat/>
    <w:rsid w:val="009218C9"/>
    <w:pPr>
      <w:ind w:left="720"/>
      <w:contextualSpacing/>
    </w:pPr>
  </w:style>
  <w:style w:type="paragraph" w:styleId="ab">
    <w:name w:val="Body Text"/>
    <w:basedOn w:val="a"/>
    <w:link w:val="ac"/>
    <w:unhideWhenUsed/>
    <w:rsid w:val="003C42C0"/>
    <w:pPr>
      <w:spacing w:after="0" w:line="240" w:lineRule="auto"/>
      <w:jc w:val="both"/>
    </w:pPr>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b"/>
    <w:rsid w:val="003C42C0"/>
    <w:rPr>
      <w:rFonts w:ascii="Times New Roman" w:eastAsia="Times New Roman" w:hAnsi="Times New Roman" w:cs="Times New Roman"/>
      <w:sz w:val="24"/>
      <w:szCs w:val="24"/>
      <w:lang w:val="x-none" w:eastAsia="ru-RU"/>
    </w:rPr>
  </w:style>
  <w:style w:type="character" w:styleId="ad">
    <w:name w:val="FollowedHyperlink"/>
    <w:basedOn w:val="a0"/>
    <w:uiPriority w:val="99"/>
    <w:semiHidden/>
    <w:unhideWhenUsed/>
    <w:rsid w:val="008D6DF6"/>
    <w:rPr>
      <w:color w:val="800080"/>
      <w:u w:val="single"/>
    </w:rPr>
  </w:style>
  <w:style w:type="paragraph" w:customStyle="1" w:styleId="xl77">
    <w:name w:val="xl77"/>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8D6DF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8D6DF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0">
    <w:name w:val="xl80"/>
    <w:basedOn w:val="a"/>
    <w:rsid w:val="008D6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1">
    <w:name w:val="xl81"/>
    <w:basedOn w:val="a"/>
    <w:rsid w:val="008D6DF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2">
    <w:name w:val="xl82"/>
    <w:basedOn w:val="a"/>
    <w:rsid w:val="008D6DF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8D6D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4">
    <w:name w:val="xl84"/>
    <w:basedOn w:val="a"/>
    <w:rsid w:val="008D6D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5">
    <w:name w:val="xl85"/>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8D6DF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D6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8">
    <w:name w:val="xl88"/>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9">
    <w:name w:val="xl89"/>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D6D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8D6DF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styleId="ae">
    <w:name w:val="footnote text"/>
    <w:basedOn w:val="a"/>
    <w:link w:val="af"/>
    <w:uiPriority w:val="99"/>
    <w:semiHidden/>
    <w:unhideWhenUsed/>
    <w:rsid w:val="00056013"/>
    <w:pPr>
      <w:spacing w:after="0" w:line="240" w:lineRule="auto"/>
    </w:pPr>
    <w:rPr>
      <w:sz w:val="20"/>
      <w:szCs w:val="20"/>
    </w:rPr>
  </w:style>
  <w:style w:type="character" w:customStyle="1" w:styleId="af">
    <w:name w:val="Текст сноски Знак"/>
    <w:basedOn w:val="a0"/>
    <w:link w:val="ae"/>
    <w:uiPriority w:val="99"/>
    <w:semiHidden/>
    <w:rsid w:val="00056013"/>
    <w:rPr>
      <w:sz w:val="20"/>
      <w:szCs w:val="20"/>
    </w:rPr>
  </w:style>
  <w:style w:type="character" w:styleId="af0">
    <w:name w:val="footnote reference"/>
    <w:aliases w:val="Знак сноски 1,Знак сноски-FN,Ciae niinee-FN,SUPERS,Referencia nota al pie,fr,Used by Word for Help footnote symbols"/>
    <w:uiPriority w:val="99"/>
    <w:unhideWhenUsed/>
    <w:rsid w:val="00056013"/>
    <w:rPr>
      <w:rFonts w:cs="Times New Roman"/>
      <w:vertAlign w:val="superscript"/>
    </w:rPr>
  </w:style>
  <w:style w:type="numbering" w:customStyle="1" w:styleId="11">
    <w:name w:val="Нет списка1"/>
    <w:next w:val="a2"/>
    <w:uiPriority w:val="99"/>
    <w:semiHidden/>
    <w:unhideWhenUsed/>
    <w:rsid w:val="00D9410A"/>
  </w:style>
  <w:style w:type="paragraph" w:customStyle="1" w:styleId="xl94">
    <w:name w:val="xl94"/>
    <w:basedOn w:val="a"/>
    <w:rsid w:val="00D9410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D9410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ConsPlusNormal">
    <w:name w:val="ConsPlusNormal"/>
    <w:rsid w:val="003F027E"/>
    <w:pPr>
      <w:widowControl w:val="0"/>
      <w:autoSpaceDE w:val="0"/>
      <w:autoSpaceDN w:val="0"/>
      <w:spacing w:after="0" w:line="240" w:lineRule="auto"/>
    </w:pPr>
    <w:rPr>
      <w:rFonts w:ascii="Calibri" w:eastAsia="Times New Roman" w:hAnsi="Calibri" w:cs="Calibri"/>
      <w:szCs w:val="20"/>
      <w:lang w:eastAsia="ru-RU"/>
    </w:rPr>
  </w:style>
  <w:style w:type="paragraph" w:customStyle="1" w:styleId="xl96">
    <w:name w:val="xl96"/>
    <w:basedOn w:val="a"/>
    <w:rsid w:val="00202881"/>
    <w:pPr>
      <w:pBdr>
        <w:top w:val="single" w:sz="4" w:space="0" w:color="auto"/>
        <w:left w:val="single" w:sz="4" w:space="0" w:color="auto"/>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7">
    <w:name w:val="xl97"/>
    <w:basedOn w:val="a"/>
    <w:rsid w:val="00202881"/>
    <w:pPr>
      <w:pBdr>
        <w:top w:val="single" w:sz="4" w:space="0" w:color="auto"/>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8">
    <w:name w:val="xl98"/>
    <w:basedOn w:val="a"/>
    <w:rsid w:val="00202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20288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20288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2028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20288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20288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2028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character" w:styleId="af1">
    <w:name w:val="annotation reference"/>
    <w:basedOn w:val="a0"/>
    <w:uiPriority w:val="99"/>
    <w:semiHidden/>
    <w:unhideWhenUsed/>
    <w:rsid w:val="001B791F"/>
    <w:rPr>
      <w:sz w:val="16"/>
      <w:szCs w:val="16"/>
    </w:rPr>
  </w:style>
  <w:style w:type="paragraph" w:styleId="af2">
    <w:name w:val="annotation text"/>
    <w:basedOn w:val="a"/>
    <w:link w:val="af3"/>
    <w:uiPriority w:val="99"/>
    <w:semiHidden/>
    <w:unhideWhenUsed/>
    <w:rsid w:val="001B791F"/>
    <w:pPr>
      <w:spacing w:line="240" w:lineRule="auto"/>
    </w:pPr>
    <w:rPr>
      <w:sz w:val="20"/>
      <w:szCs w:val="20"/>
    </w:rPr>
  </w:style>
  <w:style w:type="character" w:customStyle="1" w:styleId="af3">
    <w:name w:val="Текст примечания Знак"/>
    <w:basedOn w:val="a0"/>
    <w:link w:val="af2"/>
    <w:uiPriority w:val="99"/>
    <w:semiHidden/>
    <w:rsid w:val="001B791F"/>
    <w:rPr>
      <w:sz w:val="20"/>
      <w:szCs w:val="20"/>
    </w:rPr>
  </w:style>
  <w:style w:type="paragraph" w:styleId="af4">
    <w:name w:val="annotation subject"/>
    <w:basedOn w:val="af2"/>
    <w:next w:val="af2"/>
    <w:link w:val="af5"/>
    <w:uiPriority w:val="99"/>
    <w:semiHidden/>
    <w:unhideWhenUsed/>
    <w:rsid w:val="001B791F"/>
    <w:rPr>
      <w:b/>
      <w:bCs/>
    </w:rPr>
  </w:style>
  <w:style w:type="character" w:customStyle="1" w:styleId="af5">
    <w:name w:val="Тема примечания Знак"/>
    <w:basedOn w:val="af3"/>
    <w:link w:val="af4"/>
    <w:uiPriority w:val="99"/>
    <w:semiHidden/>
    <w:rsid w:val="001B791F"/>
    <w:rPr>
      <w:b/>
      <w:bCs/>
      <w:sz w:val="20"/>
      <w:szCs w:val="20"/>
    </w:rPr>
  </w:style>
  <w:style w:type="table" w:styleId="af6">
    <w:name w:val="Table Grid"/>
    <w:basedOn w:val="a1"/>
    <w:uiPriority w:val="59"/>
    <w:rsid w:val="00D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5970">
      <w:bodyDiv w:val="1"/>
      <w:marLeft w:val="0"/>
      <w:marRight w:val="0"/>
      <w:marTop w:val="0"/>
      <w:marBottom w:val="0"/>
      <w:divBdr>
        <w:top w:val="none" w:sz="0" w:space="0" w:color="auto"/>
        <w:left w:val="none" w:sz="0" w:space="0" w:color="auto"/>
        <w:bottom w:val="none" w:sz="0" w:space="0" w:color="auto"/>
        <w:right w:val="none" w:sz="0" w:space="0" w:color="auto"/>
      </w:divBdr>
    </w:div>
    <w:div w:id="217131293">
      <w:bodyDiv w:val="1"/>
      <w:marLeft w:val="0"/>
      <w:marRight w:val="0"/>
      <w:marTop w:val="0"/>
      <w:marBottom w:val="0"/>
      <w:divBdr>
        <w:top w:val="none" w:sz="0" w:space="0" w:color="auto"/>
        <w:left w:val="none" w:sz="0" w:space="0" w:color="auto"/>
        <w:bottom w:val="none" w:sz="0" w:space="0" w:color="auto"/>
        <w:right w:val="none" w:sz="0" w:space="0" w:color="auto"/>
      </w:divBdr>
    </w:div>
    <w:div w:id="303707292">
      <w:bodyDiv w:val="1"/>
      <w:marLeft w:val="0"/>
      <w:marRight w:val="0"/>
      <w:marTop w:val="0"/>
      <w:marBottom w:val="0"/>
      <w:divBdr>
        <w:top w:val="none" w:sz="0" w:space="0" w:color="auto"/>
        <w:left w:val="none" w:sz="0" w:space="0" w:color="auto"/>
        <w:bottom w:val="none" w:sz="0" w:space="0" w:color="auto"/>
        <w:right w:val="none" w:sz="0" w:space="0" w:color="auto"/>
      </w:divBdr>
    </w:div>
    <w:div w:id="483543760">
      <w:bodyDiv w:val="1"/>
      <w:marLeft w:val="0"/>
      <w:marRight w:val="0"/>
      <w:marTop w:val="0"/>
      <w:marBottom w:val="0"/>
      <w:divBdr>
        <w:top w:val="none" w:sz="0" w:space="0" w:color="auto"/>
        <w:left w:val="none" w:sz="0" w:space="0" w:color="auto"/>
        <w:bottom w:val="none" w:sz="0" w:space="0" w:color="auto"/>
        <w:right w:val="none" w:sz="0" w:space="0" w:color="auto"/>
      </w:divBdr>
    </w:div>
    <w:div w:id="550265196">
      <w:bodyDiv w:val="1"/>
      <w:marLeft w:val="0"/>
      <w:marRight w:val="0"/>
      <w:marTop w:val="0"/>
      <w:marBottom w:val="0"/>
      <w:divBdr>
        <w:top w:val="none" w:sz="0" w:space="0" w:color="auto"/>
        <w:left w:val="none" w:sz="0" w:space="0" w:color="auto"/>
        <w:bottom w:val="none" w:sz="0" w:space="0" w:color="auto"/>
        <w:right w:val="none" w:sz="0" w:space="0" w:color="auto"/>
      </w:divBdr>
    </w:div>
    <w:div w:id="645814258">
      <w:bodyDiv w:val="1"/>
      <w:marLeft w:val="0"/>
      <w:marRight w:val="0"/>
      <w:marTop w:val="0"/>
      <w:marBottom w:val="0"/>
      <w:divBdr>
        <w:top w:val="none" w:sz="0" w:space="0" w:color="auto"/>
        <w:left w:val="none" w:sz="0" w:space="0" w:color="auto"/>
        <w:bottom w:val="none" w:sz="0" w:space="0" w:color="auto"/>
        <w:right w:val="none" w:sz="0" w:space="0" w:color="auto"/>
      </w:divBdr>
    </w:div>
    <w:div w:id="730616114">
      <w:bodyDiv w:val="1"/>
      <w:marLeft w:val="0"/>
      <w:marRight w:val="0"/>
      <w:marTop w:val="0"/>
      <w:marBottom w:val="0"/>
      <w:divBdr>
        <w:top w:val="none" w:sz="0" w:space="0" w:color="auto"/>
        <w:left w:val="none" w:sz="0" w:space="0" w:color="auto"/>
        <w:bottom w:val="none" w:sz="0" w:space="0" w:color="auto"/>
        <w:right w:val="none" w:sz="0" w:space="0" w:color="auto"/>
      </w:divBdr>
    </w:div>
    <w:div w:id="994801863">
      <w:bodyDiv w:val="1"/>
      <w:marLeft w:val="0"/>
      <w:marRight w:val="0"/>
      <w:marTop w:val="0"/>
      <w:marBottom w:val="0"/>
      <w:divBdr>
        <w:top w:val="none" w:sz="0" w:space="0" w:color="auto"/>
        <w:left w:val="none" w:sz="0" w:space="0" w:color="auto"/>
        <w:bottom w:val="none" w:sz="0" w:space="0" w:color="auto"/>
        <w:right w:val="none" w:sz="0" w:space="0" w:color="auto"/>
      </w:divBdr>
    </w:div>
    <w:div w:id="1084300873">
      <w:bodyDiv w:val="1"/>
      <w:marLeft w:val="0"/>
      <w:marRight w:val="0"/>
      <w:marTop w:val="0"/>
      <w:marBottom w:val="0"/>
      <w:divBdr>
        <w:top w:val="none" w:sz="0" w:space="0" w:color="auto"/>
        <w:left w:val="none" w:sz="0" w:space="0" w:color="auto"/>
        <w:bottom w:val="none" w:sz="0" w:space="0" w:color="auto"/>
        <w:right w:val="none" w:sz="0" w:space="0" w:color="auto"/>
      </w:divBdr>
    </w:div>
    <w:div w:id="1515921542">
      <w:bodyDiv w:val="1"/>
      <w:marLeft w:val="0"/>
      <w:marRight w:val="0"/>
      <w:marTop w:val="0"/>
      <w:marBottom w:val="0"/>
      <w:divBdr>
        <w:top w:val="none" w:sz="0" w:space="0" w:color="auto"/>
        <w:left w:val="none" w:sz="0" w:space="0" w:color="auto"/>
        <w:bottom w:val="none" w:sz="0" w:space="0" w:color="auto"/>
        <w:right w:val="none" w:sz="0" w:space="0" w:color="auto"/>
      </w:divBdr>
    </w:div>
    <w:div w:id="1541438133">
      <w:bodyDiv w:val="1"/>
      <w:marLeft w:val="0"/>
      <w:marRight w:val="0"/>
      <w:marTop w:val="0"/>
      <w:marBottom w:val="0"/>
      <w:divBdr>
        <w:top w:val="none" w:sz="0" w:space="0" w:color="auto"/>
        <w:left w:val="none" w:sz="0" w:space="0" w:color="auto"/>
        <w:bottom w:val="none" w:sz="0" w:space="0" w:color="auto"/>
        <w:right w:val="none" w:sz="0" w:space="0" w:color="auto"/>
      </w:divBdr>
    </w:div>
    <w:div w:id="1554075554">
      <w:bodyDiv w:val="1"/>
      <w:marLeft w:val="0"/>
      <w:marRight w:val="0"/>
      <w:marTop w:val="0"/>
      <w:marBottom w:val="0"/>
      <w:divBdr>
        <w:top w:val="none" w:sz="0" w:space="0" w:color="auto"/>
        <w:left w:val="none" w:sz="0" w:space="0" w:color="auto"/>
        <w:bottom w:val="none" w:sz="0" w:space="0" w:color="auto"/>
        <w:right w:val="none" w:sz="0" w:space="0" w:color="auto"/>
      </w:divBdr>
    </w:div>
    <w:div w:id="1712419841">
      <w:bodyDiv w:val="1"/>
      <w:marLeft w:val="0"/>
      <w:marRight w:val="0"/>
      <w:marTop w:val="0"/>
      <w:marBottom w:val="0"/>
      <w:divBdr>
        <w:top w:val="none" w:sz="0" w:space="0" w:color="auto"/>
        <w:left w:val="none" w:sz="0" w:space="0" w:color="auto"/>
        <w:bottom w:val="none" w:sz="0" w:space="0" w:color="auto"/>
        <w:right w:val="none" w:sz="0" w:space="0" w:color="auto"/>
      </w:divBdr>
    </w:div>
    <w:div w:id="17721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file:///C:\&#1059;&#1087;&#1088;&#1072;&#1074;&#1083;&#1077;&#1085;&#1080;&#1077;%20&#1101;&#1082;&#1086;&#1085;&#1086;&#1084;&#1080;&#1095;&#1077;&#1089;&#1082;&#1086;&#1075;&#1086;%20&#1088;&#1072;&#1079;&#1074;&#1080;&#1090;&#1080;&#1103;\&#1057;&#1080;&#1084;&#1086;&#1085;&#1095;&#1091;&#1082;\&#1087;&#1086;%20&#1086;&#1090;&#1095;&#1077;&#1090;&#1091;%20&#1043;&#1083;&#1072;&#1074;&#1099;%20&#1079;&#1072;%202016%20&#1075;&#1086;&#1076;\&#1076;&#1080;&#1072;&#1075;&#1088;&#1072;&#1084;&#1084;&#107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11.xml.rels><?xml version="1.0" encoding="UTF-8" standalone="yes"?>
<Relationships xmlns="http://schemas.openxmlformats.org/package/2006/relationships"><Relationship Id="rId2" Type="http://schemas.openxmlformats.org/officeDocument/2006/relationships/oleObject" Target="file:///C:\Users\KornevaOU\AppData\Local\Microsoft\Windows\Temporary%20Internet%20Files\Content.Outlook\UE0LKFWY\&#1044;&#1080;&#1072;&#1075;&#1088;&#1072;&#1084;&#1084;&#1099;.xlsx"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ksimchukPA\AppData\Local\Microsoft\Windows\Temporary%20Internet%20Files\Content.Outlook\HZPEIUHV\&#1044;&#1080;&#1072;&#1075;&#1088;&#1072;&#1084;&#1084;%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ksimchukPA\AppData\Local\Microsoft\Windows\Temporary%20Internet%20Files\Content.Outlook\HZPEIUHV\&#1044;&#1080;&#1072;&#1075;&#1088;&#1072;&#1084;&#1084;%202017.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1056;&#1040;&#1041;&#1054;&#1058;&#1040;\&#1054;&#1090;&#1095;&#1077;&#1090;&#1099;%20&#1082;%20&#1089;&#1086;&#1074;&#1077;&#1097;&#1072;&#1085;&#1080;&#1103;&#1084;\!!!%20&#1054;&#1090;&#1095;&#1077;&#1090;%20&#1043;&#1083;&#1072;&#1074;&#1099;\&#1044;&#1080;&#1072;&#1075;&#1088;&#1072;&#1084;&#1084;%202017.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a:latin typeface="Times New Roman" panose="02020603050405020304" pitchFamily="18" charset="0"/>
                <a:cs typeface="Times New Roman" panose="02020603050405020304" pitchFamily="18" charset="0"/>
              </a:rPr>
              <a:t>Динамика рождаемости и смертности</a:t>
            </a:r>
          </a:p>
        </c:rich>
      </c:tx>
      <c:layout>
        <c:manualLayout>
          <c:xMode val="edge"/>
          <c:yMode val="edge"/>
          <c:x val="0.14871754114847793"/>
          <c:y val="1.627476565429321E-2"/>
        </c:manualLayout>
      </c:layout>
      <c:overlay val="0"/>
    </c:title>
    <c:autoTitleDeleted val="0"/>
    <c:plotArea>
      <c:layout>
        <c:manualLayout>
          <c:layoutTarget val="inner"/>
          <c:xMode val="edge"/>
          <c:yMode val="edge"/>
          <c:x val="6.5691171781097457E-2"/>
          <c:y val="0.11761259842519686"/>
          <c:w val="0.87681565972477737"/>
          <c:h val="0.54446134233220844"/>
        </c:manualLayout>
      </c:layout>
      <c:barChart>
        <c:barDir val="col"/>
        <c:grouping val="clustered"/>
        <c:varyColors val="0"/>
        <c:ser>
          <c:idx val="1"/>
          <c:order val="1"/>
          <c:tx>
            <c:strRef>
              <c:f>Лист1!$A$5</c:f>
              <c:strCache>
                <c:ptCount val="1"/>
                <c:pt idx="0">
                  <c:v>Коэффициент рождаемости в городе Ханты-Мансийске</c:v>
                </c:pt>
              </c:strCache>
            </c:strRef>
          </c:tx>
          <c:spPr>
            <a:solidFill>
              <a:srgbClr val="92D050"/>
            </a:solidFill>
            <a:scene3d>
              <a:camera prst="orthographicFront"/>
              <a:lightRig rig="threePt" dir="t"/>
            </a:scene3d>
            <a:sp3d>
              <a:bevelT/>
            </a:sp3d>
          </c:spPr>
          <c:invertIfNegative val="0"/>
          <c:dLbls>
            <c:dLbl>
              <c:idx val="0"/>
              <c:layout>
                <c:manualLayout>
                  <c:x val="-1.1386328533951027E-3"/>
                  <c:y val="0.1152323328684429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498643457922182E-3"/>
                  <c:y val="8.14633043562607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046670677881515E-3"/>
                  <c:y val="8.34417789575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772657067902055E-3"/>
                  <c:y val="7.35156649068694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112314923971153E-3"/>
                  <c:y val="7.94764633324959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7.55025747692172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47130658657864E-4"/>
                  <c:y val="9.33847635303477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Лист1!$B$3:$F$3</c:f>
              <c:numCache>
                <c:formatCode>General</c:formatCode>
                <c:ptCount val="5"/>
                <c:pt idx="0">
                  <c:v>2012</c:v>
                </c:pt>
                <c:pt idx="1">
                  <c:v>2013</c:v>
                </c:pt>
                <c:pt idx="2">
                  <c:v>2014</c:v>
                </c:pt>
                <c:pt idx="3">
                  <c:v>2015</c:v>
                </c:pt>
                <c:pt idx="4">
                  <c:v>2016</c:v>
                </c:pt>
              </c:numCache>
            </c:numRef>
          </c:cat>
          <c:val>
            <c:numRef>
              <c:f>Лист1!$B$5:$F$5</c:f>
              <c:numCache>
                <c:formatCode>General</c:formatCode>
                <c:ptCount val="5"/>
                <c:pt idx="0">
                  <c:v>18.600000000000001</c:v>
                </c:pt>
                <c:pt idx="1">
                  <c:v>18.100000000000001</c:v>
                </c:pt>
                <c:pt idx="2">
                  <c:v>18.399999999999999</c:v>
                </c:pt>
                <c:pt idx="3">
                  <c:v>16.8</c:v>
                </c:pt>
                <c:pt idx="4">
                  <c:v>18.100000000000001</c:v>
                </c:pt>
              </c:numCache>
            </c:numRef>
          </c:val>
        </c:ser>
        <c:ser>
          <c:idx val="2"/>
          <c:order val="2"/>
          <c:tx>
            <c:strRef>
              <c:f>Лист1!$A$6</c:f>
              <c:strCache>
                <c:ptCount val="1"/>
                <c:pt idx="0">
                  <c:v>Югра</c:v>
                </c:pt>
              </c:strCache>
            </c:strRef>
          </c:tx>
          <c:spPr>
            <a:solidFill>
              <a:srgbClr val="6699FF"/>
            </a:solidFill>
            <a:scene3d>
              <a:camera prst="orthographicFront"/>
              <a:lightRig rig="threePt" dir="t"/>
            </a:scene3d>
            <a:sp3d>
              <a:bevelT/>
            </a:sp3d>
          </c:spPr>
          <c:invertIfNegative val="0"/>
          <c:dLbls>
            <c:dLbl>
              <c:idx val="0"/>
              <c:layout>
                <c:manualLayout>
                  <c:x val="-2.2772657067902055E-3"/>
                  <c:y val="9.13895352682766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158985601853084E-3"/>
                  <c:y val="9.93454613326344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386328533951027E-3"/>
                  <c:y val="0.10728473366838751"/>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386328533951027E-3"/>
                  <c:y val="9.93454931173911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2772657067902055E-3"/>
                  <c:y val="9.93454613326344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3498777997298888E-17"/>
                  <c:y val="0.11126695229147811"/>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386328533951027E-3"/>
                  <c:y val="0.1033024500934101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Лист1!$B$3:$F$3</c:f>
              <c:numCache>
                <c:formatCode>General</c:formatCode>
                <c:ptCount val="5"/>
                <c:pt idx="0">
                  <c:v>2012</c:v>
                </c:pt>
                <c:pt idx="1">
                  <c:v>2013</c:v>
                </c:pt>
                <c:pt idx="2">
                  <c:v>2014</c:v>
                </c:pt>
                <c:pt idx="3">
                  <c:v>2015</c:v>
                </c:pt>
                <c:pt idx="4">
                  <c:v>2016</c:v>
                </c:pt>
              </c:numCache>
            </c:numRef>
          </c:cat>
          <c:val>
            <c:numRef>
              <c:f>Лист1!$B$6:$F$6</c:f>
              <c:numCache>
                <c:formatCode>General</c:formatCode>
                <c:ptCount val="5"/>
                <c:pt idx="0">
                  <c:v>17.7</c:v>
                </c:pt>
                <c:pt idx="1">
                  <c:v>17.5</c:v>
                </c:pt>
                <c:pt idx="2">
                  <c:v>17.2</c:v>
                </c:pt>
                <c:pt idx="3">
                  <c:v>16.600000000000001</c:v>
                </c:pt>
                <c:pt idx="4">
                  <c:v>16.3</c:v>
                </c:pt>
              </c:numCache>
            </c:numRef>
          </c:val>
        </c:ser>
        <c:ser>
          <c:idx val="3"/>
          <c:order val="3"/>
          <c:tx>
            <c:strRef>
              <c:f>Лист1!$A$7</c:f>
              <c:strCache>
                <c:ptCount val="1"/>
                <c:pt idx="0">
                  <c:v>Россия</c:v>
                </c:pt>
              </c:strCache>
            </c:strRef>
          </c:tx>
          <c:spPr>
            <a:solidFill>
              <a:srgbClr val="FF9933"/>
            </a:solidFill>
            <a:scene3d>
              <a:camera prst="orthographicFront"/>
              <a:lightRig rig="threePt" dir="t"/>
            </a:scene3d>
            <a:sp3d>
              <a:bevelT/>
            </a:sp3d>
          </c:spPr>
          <c:invertIfNegative val="0"/>
          <c:dLbls>
            <c:dLbl>
              <c:idx val="0"/>
              <c:layout>
                <c:manualLayout>
                  <c:x val="-1.1386328533950923E-3"/>
                  <c:y val="7.15203801574909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772657067902055E-3"/>
                  <c:y val="7.55025066218210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386328533951446E-3"/>
                  <c:y val="8.54371240809564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772657067902055E-3"/>
                  <c:y val="8.74240625325513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386328533951027E-3"/>
                  <c:y val="8.34585897968260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387225095252078E-3"/>
                  <c:y val="8.742406253255136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386328533951027E-3"/>
                  <c:y val="8.343345209327156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Лист1!$B$3:$F$3</c:f>
              <c:numCache>
                <c:formatCode>General</c:formatCode>
                <c:ptCount val="5"/>
                <c:pt idx="0">
                  <c:v>2012</c:v>
                </c:pt>
                <c:pt idx="1">
                  <c:v>2013</c:v>
                </c:pt>
                <c:pt idx="2">
                  <c:v>2014</c:v>
                </c:pt>
                <c:pt idx="3">
                  <c:v>2015</c:v>
                </c:pt>
                <c:pt idx="4">
                  <c:v>2016</c:v>
                </c:pt>
              </c:numCache>
            </c:numRef>
          </c:cat>
          <c:val>
            <c:numRef>
              <c:f>Лист1!$B$7:$F$7</c:f>
              <c:numCache>
                <c:formatCode>General</c:formatCode>
                <c:ptCount val="5"/>
                <c:pt idx="0">
                  <c:v>13.3</c:v>
                </c:pt>
                <c:pt idx="1">
                  <c:v>13.2</c:v>
                </c:pt>
                <c:pt idx="2">
                  <c:v>13.3</c:v>
                </c:pt>
                <c:pt idx="3">
                  <c:v>13.3</c:v>
                </c:pt>
                <c:pt idx="4" formatCode="0.0">
                  <c:v>13</c:v>
                </c:pt>
              </c:numCache>
            </c:numRef>
          </c:val>
        </c:ser>
        <c:ser>
          <c:idx val="4"/>
          <c:order val="4"/>
          <c:tx>
            <c:strRef>
              <c:f>Лист1!$A$8</c:f>
              <c:strCache>
                <c:ptCount val="1"/>
                <c:pt idx="0">
                  <c:v>Коэффициент смертности в городе Ханты-Мансийске</c:v>
                </c:pt>
              </c:strCache>
            </c:strRef>
          </c:tx>
          <c:spPr>
            <a:solidFill>
              <a:srgbClr val="7030A0"/>
            </a:solidFill>
            <a:scene3d>
              <a:camera prst="orthographicFront"/>
              <a:lightRig rig="threePt" dir="t"/>
            </a:scene3d>
            <a:sp3d>
              <a:bevelT/>
            </a:sp3d>
          </c:spPr>
          <c:invertIfNegative val="0"/>
          <c:dLbls>
            <c:dLbl>
              <c:idx val="0"/>
              <c:layout>
                <c:manualLayout>
                  <c:x val="0"/>
                  <c:y val="-1.19719884284866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19483574160388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3943662635678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386328533951027E-3"/>
                  <c:y val="-2.59389678553186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59624417571191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3.192488351423838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5915493953518188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rgbClr val="7030A0"/>
                </a:solidFill>
              </a:ln>
            </c:spPr>
            <c:txPr>
              <a:bodyPr rot="-5400000" vert="horz"/>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Лист1!$B$3:$F$3</c:f>
              <c:numCache>
                <c:formatCode>General</c:formatCode>
                <c:ptCount val="5"/>
                <c:pt idx="0">
                  <c:v>2012</c:v>
                </c:pt>
                <c:pt idx="1">
                  <c:v>2013</c:v>
                </c:pt>
                <c:pt idx="2">
                  <c:v>2014</c:v>
                </c:pt>
                <c:pt idx="3">
                  <c:v>2015</c:v>
                </c:pt>
                <c:pt idx="4">
                  <c:v>2016</c:v>
                </c:pt>
              </c:numCache>
            </c:numRef>
          </c:cat>
          <c:val>
            <c:numRef>
              <c:f>Лист1!$B$8:$F$8</c:f>
              <c:numCache>
                <c:formatCode>General</c:formatCode>
                <c:ptCount val="5"/>
                <c:pt idx="0">
                  <c:v>5.7</c:v>
                </c:pt>
                <c:pt idx="1">
                  <c:v>5.4</c:v>
                </c:pt>
                <c:pt idx="2">
                  <c:v>5.6</c:v>
                </c:pt>
                <c:pt idx="3">
                  <c:v>5.8</c:v>
                </c:pt>
                <c:pt idx="4" formatCode="0.0">
                  <c:v>5.7</c:v>
                </c:pt>
              </c:numCache>
            </c:numRef>
          </c:val>
        </c:ser>
        <c:ser>
          <c:idx val="5"/>
          <c:order val="5"/>
          <c:tx>
            <c:strRef>
              <c:f>Лист1!$A$9</c:f>
              <c:strCache>
                <c:ptCount val="1"/>
                <c:pt idx="0">
                  <c:v>Югра</c:v>
                </c:pt>
              </c:strCache>
            </c:strRef>
          </c:tx>
          <c:spPr>
            <a:solidFill>
              <a:schemeClr val="accent5">
                <a:lumMod val="75000"/>
              </a:schemeClr>
            </a:solidFill>
            <a:ln>
              <a:solidFill>
                <a:schemeClr val="accent5">
                  <a:lumMod val="60000"/>
                  <a:lumOff val="40000"/>
                </a:schemeClr>
              </a:solidFill>
            </a:ln>
            <a:scene3d>
              <a:camera prst="orthographicFront"/>
              <a:lightRig rig="threePt" dir="t"/>
            </a:scene3d>
            <a:sp3d>
              <a:bevelT/>
            </a:sp3d>
          </c:spPr>
          <c:invertIfNegative val="0"/>
          <c:dLbls>
            <c:dLbl>
              <c:idx val="0"/>
              <c:layout>
                <c:manualLayout>
                  <c:x val="-2.6784988960331011E-3"/>
                  <c:y val="4.84946737934034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386328533951027E-3"/>
                  <c:y val="4.38967148320777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3743290415433473E-4"/>
                  <c:y val="3.85181740680461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69277728298314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498777997298888E-17"/>
                  <c:y val="4.19014096124378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4.19014096124378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292139278250318E-16"/>
                  <c:y val="3.63204671200143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Лист1!$B$3:$F$3</c:f>
              <c:numCache>
                <c:formatCode>General</c:formatCode>
                <c:ptCount val="5"/>
                <c:pt idx="0">
                  <c:v>2012</c:v>
                </c:pt>
                <c:pt idx="1">
                  <c:v>2013</c:v>
                </c:pt>
                <c:pt idx="2">
                  <c:v>2014</c:v>
                </c:pt>
                <c:pt idx="3">
                  <c:v>2015</c:v>
                </c:pt>
                <c:pt idx="4">
                  <c:v>2016</c:v>
                </c:pt>
              </c:numCache>
            </c:numRef>
          </c:cat>
          <c:val>
            <c:numRef>
              <c:f>Лист1!$B$9:$F$9</c:f>
              <c:numCache>
                <c:formatCode>General</c:formatCode>
                <c:ptCount val="5"/>
                <c:pt idx="0">
                  <c:v>6.3</c:v>
                </c:pt>
                <c:pt idx="1">
                  <c:v>6.3</c:v>
                </c:pt>
                <c:pt idx="2">
                  <c:v>6.4</c:v>
                </c:pt>
                <c:pt idx="3">
                  <c:v>6.4</c:v>
                </c:pt>
                <c:pt idx="4">
                  <c:v>6.2</c:v>
                </c:pt>
              </c:numCache>
            </c:numRef>
          </c:val>
        </c:ser>
        <c:ser>
          <c:idx val="6"/>
          <c:order val="6"/>
          <c:tx>
            <c:strRef>
              <c:f>Лист1!$A$10</c:f>
              <c:strCache>
                <c:ptCount val="1"/>
                <c:pt idx="0">
                  <c:v>Россия</c:v>
                </c:pt>
              </c:strCache>
            </c:strRef>
          </c:tx>
          <c:spPr>
            <a:solidFill>
              <a:schemeClr val="accent2">
                <a:lumMod val="60000"/>
                <a:lumOff val="40000"/>
              </a:schemeClr>
            </a:solidFill>
            <a:scene3d>
              <a:camera prst="orthographicFront"/>
              <a:lightRig rig="threePt" dir="t"/>
            </a:scene3d>
            <a:sp3d>
              <a:bevelT/>
            </a:sp3d>
          </c:spPr>
          <c:invertIfNegative val="0"/>
          <c:dLbls>
            <c:dLbl>
              <c:idx val="0"/>
              <c:layout>
                <c:manualLayout>
                  <c:x val="-1.1386328533951027E-3"/>
                  <c:y val="0.1855633854265106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386328533951027E-3"/>
                  <c:y val="0.1696009436693913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386328533951027E-3"/>
                  <c:y val="0.1616197227908317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772657067902055E-3"/>
                  <c:y val="0.15762895524090484"/>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386328533951027E-3"/>
                  <c:y val="0.14765258625335248"/>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386328533951027E-3"/>
                  <c:y val="0.14166667059443291"/>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024220584830769E-4"/>
                  <c:y val="0.139671278491453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Лист1!$B$3:$F$3</c:f>
              <c:numCache>
                <c:formatCode>General</c:formatCode>
                <c:ptCount val="5"/>
                <c:pt idx="0">
                  <c:v>2012</c:v>
                </c:pt>
                <c:pt idx="1">
                  <c:v>2013</c:v>
                </c:pt>
                <c:pt idx="2">
                  <c:v>2014</c:v>
                </c:pt>
                <c:pt idx="3">
                  <c:v>2015</c:v>
                </c:pt>
                <c:pt idx="4">
                  <c:v>2016</c:v>
                </c:pt>
              </c:numCache>
            </c:numRef>
          </c:cat>
          <c:val>
            <c:numRef>
              <c:f>Лист1!$B$10:$F$10</c:f>
              <c:numCache>
                <c:formatCode>0.0</c:formatCode>
                <c:ptCount val="5"/>
                <c:pt idx="0" formatCode="General">
                  <c:v>13.3</c:v>
                </c:pt>
                <c:pt idx="1">
                  <c:v>13</c:v>
                </c:pt>
                <c:pt idx="2" formatCode="General">
                  <c:v>13.1</c:v>
                </c:pt>
                <c:pt idx="3">
                  <c:v>13</c:v>
                </c:pt>
                <c:pt idx="4" formatCode="General">
                  <c:v>12.9</c:v>
                </c:pt>
              </c:numCache>
            </c:numRef>
          </c:val>
        </c:ser>
        <c:dLbls>
          <c:showLegendKey val="0"/>
          <c:showVal val="0"/>
          <c:showCatName val="0"/>
          <c:showSerName val="0"/>
          <c:showPercent val="0"/>
          <c:showBubbleSize val="0"/>
        </c:dLbls>
        <c:gapWidth val="98"/>
        <c:axId val="482668856"/>
        <c:axId val="482669248"/>
      </c:barChart>
      <c:lineChart>
        <c:grouping val="standard"/>
        <c:varyColors val="0"/>
        <c:ser>
          <c:idx val="0"/>
          <c:order val="0"/>
          <c:tx>
            <c:strRef>
              <c:f>Лист1!$A$4</c:f>
              <c:strCache>
                <c:ptCount val="1"/>
                <c:pt idx="0">
                  <c:v>Численность населения (среднегодовая),чел.</c:v>
                </c:pt>
              </c:strCache>
            </c:strRef>
          </c:tx>
          <c:dLbls>
            <c:dLbl>
              <c:idx val="0"/>
              <c:layout>
                <c:manualLayout>
                  <c:x val="-2.6500001146387845E-2"/>
                  <c:y val="-2.28605713382776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433005044405579E-2"/>
                  <c:y val="-3.5194588095593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322255804186587E-2"/>
                  <c:y val="-3.57077427687041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094372043129303E-2"/>
                  <c:y val="-3.02099475346281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3419099758570721E-2"/>
                  <c:y val="-3.37208329063563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903032833843832E-2"/>
                  <c:y val="-3.52448084157366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8102751041742573E-2"/>
                  <c:y val="-3.4782343411555512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chemeClr val="accent1"/>
                </a:solidFill>
              </a:ln>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Лист1!$B$3:$F$3</c:f>
              <c:numCache>
                <c:formatCode>General</c:formatCode>
                <c:ptCount val="5"/>
                <c:pt idx="0">
                  <c:v>2012</c:v>
                </c:pt>
                <c:pt idx="1">
                  <c:v>2013</c:v>
                </c:pt>
                <c:pt idx="2">
                  <c:v>2014</c:v>
                </c:pt>
                <c:pt idx="3">
                  <c:v>2015</c:v>
                </c:pt>
                <c:pt idx="4">
                  <c:v>2016</c:v>
                </c:pt>
              </c:numCache>
            </c:numRef>
          </c:cat>
          <c:val>
            <c:numRef>
              <c:f>Лист1!$B$4:$F$4</c:f>
              <c:numCache>
                <c:formatCode>General</c:formatCode>
                <c:ptCount val="5"/>
                <c:pt idx="0">
                  <c:v>87.9</c:v>
                </c:pt>
                <c:pt idx="1">
                  <c:v>92.2</c:v>
                </c:pt>
                <c:pt idx="2">
                  <c:v>94.4</c:v>
                </c:pt>
                <c:pt idx="3">
                  <c:v>96.1</c:v>
                </c:pt>
                <c:pt idx="4">
                  <c:v>97.9</c:v>
                </c:pt>
              </c:numCache>
            </c:numRef>
          </c:val>
          <c:smooth val="0"/>
        </c:ser>
        <c:dLbls>
          <c:showLegendKey val="0"/>
          <c:showVal val="0"/>
          <c:showCatName val="0"/>
          <c:showSerName val="0"/>
          <c:showPercent val="0"/>
          <c:showBubbleSize val="0"/>
        </c:dLbls>
        <c:marker val="1"/>
        <c:smooth val="0"/>
        <c:axId val="482670032"/>
        <c:axId val="482669640"/>
      </c:lineChart>
      <c:catAx>
        <c:axId val="482668856"/>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482669248"/>
        <c:crosses val="autoZero"/>
        <c:auto val="1"/>
        <c:lblAlgn val="ctr"/>
        <c:lblOffset val="100"/>
        <c:noMultiLvlLbl val="0"/>
      </c:catAx>
      <c:valAx>
        <c:axId val="482669248"/>
        <c:scaling>
          <c:orientation val="minMax"/>
          <c:max val="29"/>
          <c:min val="5"/>
        </c:scaling>
        <c:delete val="0"/>
        <c:axPos val="l"/>
        <c:majorGridlines>
          <c:spPr>
            <a:ln>
              <a:noFill/>
            </a:ln>
          </c:spPr>
        </c:majorGridlines>
        <c:numFmt formatCode="General" sourceLinked="1"/>
        <c:majorTickMark val="none"/>
        <c:minorTickMark val="none"/>
        <c:tickLblPos val="none"/>
        <c:spPr>
          <a:ln>
            <a:noFill/>
          </a:ln>
        </c:spPr>
        <c:txPr>
          <a:bodyPr/>
          <a:lstStyle/>
          <a:p>
            <a:pPr>
              <a:defRPr>
                <a:latin typeface="Times New Roman" panose="02020603050405020304" pitchFamily="18" charset="0"/>
                <a:cs typeface="Times New Roman" panose="02020603050405020304" pitchFamily="18" charset="0"/>
              </a:defRPr>
            </a:pPr>
            <a:endParaRPr lang="ru-RU"/>
          </a:p>
        </c:txPr>
        <c:crossAx val="482668856"/>
        <c:crosses val="autoZero"/>
        <c:crossBetween val="between"/>
      </c:valAx>
      <c:valAx>
        <c:axId val="482669640"/>
        <c:scaling>
          <c:orientation val="minMax"/>
          <c:min val="25"/>
        </c:scaling>
        <c:delete val="0"/>
        <c:axPos val="r"/>
        <c:numFmt formatCode="General" sourceLinked="1"/>
        <c:majorTickMark val="none"/>
        <c:minorTickMark val="none"/>
        <c:tickLblPos val="none"/>
        <c:spPr>
          <a:ln>
            <a:noFill/>
          </a:ln>
        </c:spPr>
        <c:txPr>
          <a:bodyPr/>
          <a:lstStyle/>
          <a:p>
            <a:pPr>
              <a:defRPr>
                <a:latin typeface="Times New Roman" panose="02020603050405020304" pitchFamily="18" charset="0"/>
                <a:cs typeface="Times New Roman" panose="02020603050405020304" pitchFamily="18" charset="0"/>
              </a:defRPr>
            </a:pPr>
            <a:endParaRPr lang="ru-RU"/>
          </a:p>
        </c:txPr>
        <c:crossAx val="482670032"/>
        <c:crosses val="max"/>
        <c:crossBetween val="between"/>
      </c:valAx>
      <c:catAx>
        <c:axId val="482670032"/>
        <c:scaling>
          <c:orientation val="minMax"/>
        </c:scaling>
        <c:delete val="1"/>
        <c:axPos val="b"/>
        <c:numFmt formatCode="General" sourceLinked="1"/>
        <c:majorTickMark val="out"/>
        <c:minorTickMark val="none"/>
        <c:tickLblPos val="nextTo"/>
        <c:crossAx val="482669640"/>
        <c:crosses val="autoZero"/>
        <c:auto val="1"/>
        <c:lblAlgn val="ctr"/>
        <c:lblOffset val="100"/>
        <c:noMultiLvlLbl val="0"/>
      </c:catAx>
      <c:spPr>
        <a:noFill/>
        <a:ln>
          <a:noFill/>
        </a:ln>
      </c:spPr>
    </c:plotArea>
    <c:legend>
      <c:legendPos val="b"/>
      <c:layout>
        <c:manualLayout>
          <c:xMode val="edge"/>
          <c:yMode val="edge"/>
          <c:x val="3.0750361812250103E-4"/>
          <c:y val="0.72793610798650166"/>
          <c:w val="0.97148887509393278"/>
          <c:h val="0.2185675633609869"/>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t>Динамика роста количества информационных материалов</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 материалы в городских СМИ</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1044</c:v>
                </c:pt>
                <c:pt idx="1">
                  <c:v>1200</c:v>
                </c:pt>
                <c:pt idx="2">
                  <c:v>1649</c:v>
                </c:pt>
                <c:pt idx="3">
                  <c:v>1820</c:v>
                </c:pt>
                <c:pt idx="4">
                  <c:v>2335</c:v>
                </c:pt>
              </c:numCache>
            </c:numRef>
          </c:val>
        </c:ser>
        <c:ser>
          <c:idx val="1"/>
          <c:order val="1"/>
          <c:tx>
            <c:strRef>
              <c:f>Лист1!$C$1</c:f>
              <c:strCache>
                <c:ptCount val="1"/>
                <c:pt idx="0">
                  <c:v> материалы в иных СМИ</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152</c:v>
                </c:pt>
                <c:pt idx="1">
                  <c:v>418</c:v>
                </c:pt>
                <c:pt idx="2">
                  <c:v>359</c:v>
                </c:pt>
                <c:pt idx="3">
                  <c:v>365</c:v>
                </c:pt>
                <c:pt idx="4">
                  <c:v>762</c:v>
                </c:pt>
              </c:numCache>
            </c:numRef>
          </c:val>
        </c:ser>
        <c:dLbls>
          <c:showLegendKey val="0"/>
          <c:showVal val="1"/>
          <c:showCatName val="0"/>
          <c:showSerName val="0"/>
          <c:showPercent val="0"/>
          <c:showBubbleSize val="0"/>
        </c:dLbls>
        <c:gapWidth val="79"/>
        <c:shape val="box"/>
        <c:axId val="481869368"/>
        <c:axId val="368955184"/>
        <c:axId val="0"/>
      </c:bar3DChart>
      <c:catAx>
        <c:axId val="481869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368955184"/>
        <c:crosses val="autoZero"/>
        <c:auto val="1"/>
        <c:lblAlgn val="ctr"/>
        <c:lblOffset val="100"/>
        <c:noMultiLvlLbl val="0"/>
      </c:catAx>
      <c:valAx>
        <c:axId val="368955184"/>
        <c:scaling>
          <c:orientation val="minMax"/>
        </c:scaling>
        <c:delete val="1"/>
        <c:axPos val="l"/>
        <c:numFmt formatCode="General" sourceLinked="1"/>
        <c:majorTickMark val="none"/>
        <c:minorTickMark val="none"/>
        <c:tickLblPos val="nextTo"/>
        <c:crossAx val="4818693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[Диаграммы.xlsx]Лист1!$A$3:$A$8</c:f>
              <c:numCache>
                <c:formatCode>General</c:formatCode>
                <c:ptCount val="6"/>
                <c:pt idx="0">
                  <c:v>2011</c:v>
                </c:pt>
                <c:pt idx="1">
                  <c:v>2012</c:v>
                </c:pt>
                <c:pt idx="2">
                  <c:v>2013</c:v>
                </c:pt>
                <c:pt idx="3">
                  <c:v>2014</c:v>
                </c:pt>
                <c:pt idx="4">
                  <c:v>2015</c:v>
                </c:pt>
                <c:pt idx="5">
                  <c:v>2016</c:v>
                </c:pt>
              </c:numCache>
            </c:numRef>
          </c:cat>
          <c:val>
            <c:numRef>
              <c:f>[Диаграммы.xlsx]Лист1!$B$3:$B$8</c:f>
              <c:numCache>
                <c:formatCode>General</c:formatCode>
                <c:ptCount val="6"/>
                <c:pt idx="0">
                  <c:v>12</c:v>
                </c:pt>
                <c:pt idx="1">
                  <c:v>19</c:v>
                </c:pt>
                <c:pt idx="2">
                  <c:v>26</c:v>
                </c:pt>
                <c:pt idx="3">
                  <c:v>31</c:v>
                </c:pt>
                <c:pt idx="4">
                  <c:v>34</c:v>
                </c:pt>
                <c:pt idx="5">
                  <c:v>35</c:v>
                </c:pt>
              </c:numCache>
            </c:numRef>
          </c:val>
          <c:extLst xmlns:c16r2="http://schemas.microsoft.com/office/drawing/2015/06/chart">
            <c:ext xmlns:c16="http://schemas.microsoft.com/office/drawing/2014/chart" uri="{C3380CC4-5D6E-409C-BE32-E72D297353CC}">
              <c16:uniqueId val="{00000000-E788-4854-8099-4A29065AE993}"/>
            </c:ext>
          </c:extLst>
        </c:ser>
        <c:dLbls>
          <c:showLegendKey val="0"/>
          <c:showVal val="0"/>
          <c:showCatName val="0"/>
          <c:showSerName val="0"/>
          <c:showPercent val="0"/>
          <c:showBubbleSize val="0"/>
        </c:dLbls>
        <c:gapWidth val="150"/>
        <c:axId val="368955968"/>
        <c:axId val="368956360"/>
      </c:barChart>
      <c:catAx>
        <c:axId val="368955968"/>
        <c:scaling>
          <c:orientation val="minMax"/>
        </c:scaling>
        <c:delete val="0"/>
        <c:axPos val="b"/>
        <c:numFmt formatCode="General" sourceLinked="1"/>
        <c:majorTickMark val="out"/>
        <c:minorTickMark val="none"/>
        <c:tickLblPos val="nextTo"/>
        <c:crossAx val="368956360"/>
        <c:crosses val="autoZero"/>
        <c:auto val="1"/>
        <c:lblAlgn val="ctr"/>
        <c:lblOffset val="100"/>
        <c:noMultiLvlLbl val="0"/>
      </c:catAx>
      <c:valAx>
        <c:axId val="368956360"/>
        <c:scaling>
          <c:orientation val="minMax"/>
        </c:scaling>
        <c:delete val="1"/>
        <c:axPos val="l"/>
        <c:majorGridlines>
          <c:spPr>
            <a:ln w="3175">
              <a:solidFill>
                <a:schemeClr val="accent1"/>
              </a:solidFill>
            </a:ln>
          </c:spPr>
        </c:majorGridlines>
        <c:numFmt formatCode="General" sourceLinked="1"/>
        <c:majorTickMark val="out"/>
        <c:minorTickMark val="none"/>
        <c:tickLblPos val="nextTo"/>
        <c:crossAx val="36895596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4438437732596855E-2"/>
          <c:y val="1.5178649461050598E-2"/>
          <c:w val="0.95556156226740319"/>
          <c:h val="0.65657497812773391"/>
        </c:manualLayout>
      </c:layout>
      <c:bar3DChart>
        <c:barDir val="col"/>
        <c:grouping val="clustered"/>
        <c:varyColors val="0"/>
        <c:ser>
          <c:idx val="0"/>
          <c:order val="0"/>
          <c:tx>
            <c:strRef>
              <c:f>Лист1!$B$1</c:f>
              <c:strCache>
                <c:ptCount val="1"/>
                <c:pt idx="0">
                  <c:v>Обрабатывающие производства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4413672397817368E-2"/>
                  <c:y val="-3.43229792345975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354576340986344E-2"/>
                  <c:y val="-3.43229792345981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354576340986308E-2"/>
                  <c:y val="-6.292473501818702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23638422732420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512820512820513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1776.6</c:v>
                </c:pt>
                <c:pt idx="1">
                  <c:v>1595.6</c:v>
                </c:pt>
                <c:pt idx="2" formatCode="0.0">
                  <c:v>1308.4000000000001</c:v>
                </c:pt>
                <c:pt idx="3" formatCode="0.0">
                  <c:v>1913.5</c:v>
                </c:pt>
                <c:pt idx="4" formatCode="0.0">
                  <c:v>2184.6</c:v>
                </c:pt>
                <c:pt idx="5" formatCode="0.0">
                  <c:v>514</c:v>
                </c:pt>
                <c:pt idx="6" formatCode="0.0">
                  <c:v>545.20000000000005</c:v>
                </c:pt>
              </c:numCache>
            </c:numRef>
          </c:val>
        </c:ser>
        <c:ser>
          <c:idx val="1"/>
          <c:order val="1"/>
          <c:tx>
            <c:strRef>
              <c:f>Лист1!$C$1</c:f>
              <c:strCache>
                <c:ptCount val="1"/>
                <c:pt idx="0">
                  <c:v>Производство и распределение электроэнергии, газа и воды</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2354576340986289E-2"/>
                  <c:y val="-3.14623675090935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2363842273241294E-3"/>
                  <c:y val="-1.5731183754546755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35457634098630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18192113662102E-3"/>
                  <c:y val="-3.146236750909351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General</c:formatCode>
                <c:ptCount val="7"/>
                <c:pt idx="0">
                  <c:v>1834.6</c:v>
                </c:pt>
                <c:pt idx="1">
                  <c:v>4465.8999999999996</c:v>
                </c:pt>
                <c:pt idx="2" formatCode="0.0">
                  <c:v>6873</c:v>
                </c:pt>
                <c:pt idx="3" formatCode="0.0">
                  <c:v>7745.1</c:v>
                </c:pt>
                <c:pt idx="4" formatCode="0.0">
                  <c:v>8090.7</c:v>
                </c:pt>
                <c:pt idx="5" formatCode="0.0">
                  <c:v>9037.5</c:v>
                </c:pt>
                <c:pt idx="6" formatCode="0.0">
                  <c:v>11238.6</c:v>
                </c:pt>
              </c:numCache>
            </c:numRef>
          </c:val>
        </c:ser>
        <c:ser>
          <c:idx val="2"/>
          <c:order val="2"/>
          <c:tx>
            <c:strRef>
              <c:f>Лист1!$D$1</c:f>
              <c:strCache>
                <c:ptCount val="1"/>
                <c:pt idx="0">
                  <c:v>Рыболовство, рыбоводство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0311164950535029E-2"/>
                  <c:y val="-3.432433381235653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259882899252977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295480284155256E-2"/>
                  <c:y val="-3.43229792345975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413672397817358E-2"/>
                  <c:y val="-6.864595846919638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25641025641025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43585223488855E-2"/>
                  <c:y val="-7.7333123359580147E-2"/>
                </c:manualLayout>
              </c:layout>
              <c:spPr>
                <a:noFill/>
                <a:ln w="25377">
                  <a:noFill/>
                </a:ln>
              </c:spPr>
              <c:txPr>
                <a:bodyPr rot="0" spcFirstLastPara="1" vertOverflow="ellipsis" vert="horz" wrap="square" lIns="38100" tIns="19050" rIns="38100" bIns="19050" anchor="ctr" anchorCtr="1">
                  <a:noAutofit/>
                </a:bodyPr>
                <a:lstStyle/>
                <a:p>
                  <a:pPr>
                    <a:defRPr sz="899"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4502487562189054E-2"/>
                      <c:h val="6.9200209973753271E-2"/>
                    </c:manualLayout>
                  </c15:layout>
                </c:ext>
              </c:extLst>
            </c:dLbl>
            <c:dLbl>
              <c:idx val="6"/>
              <c:layout>
                <c:manualLayout>
                  <c:x val="1.6519763387785481E-2"/>
                  <c:y val="-2.179947506561679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General</c:formatCode>
                <c:ptCount val="7"/>
                <c:pt idx="0">
                  <c:v>9.9</c:v>
                </c:pt>
                <c:pt idx="1">
                  <c:v>12.3</c:v>
                </c:pt>
                <c:pt idx="2" formatCode="0.0">
                  <c:v>18.100000000000001</c:v>
                </c:pt>
                <c:pt idx="3" formatCode="0.0">
                  <c:v>24.6</c:v>
                </c:pt>
                <c:pt idx="4" formatCode="0.0">
                  <c:v>86.7</c:v>
                </c:pt>
                <c:pt idx="5" formatCode="0.0">
                  <c:v>96.6</c:v>
                </c:pt>
                <c:pt idx="6" formatCode="0.0">
                  <c:v>210.4</c:v>
                </c:pt>
              </c:numCache>
            </c:numRef>
          </c:val>
        </c:ser>
        <c:ser>
          <c:idx val="3"/>
          <c:order val="3"/>
          <c:tx>
            <c:strRef>
              <c:f>Лист1!$E$1</c:f>
              <c:strCache>
                <c:ptCount val="1"/>
                <c:pt idx="0">
                  <c:v>Предоставление прочих услуг</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583080961033718E-2"/>
                  <c:y val="1.627886171403581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677892186553602E-2"/>
                  <c:y val="3.59550510901458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670139309509464E-2"/>
                  <c:y val="-2.942935087260361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8609328471407004E-2"/>
                  <c:y val="-2.642762777008067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442859158713317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407418420921165E-2"/>
                  <c:y val="6.586482722281474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8092812730705581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Лист1!$E$2:$E$8</c:f>
              <c:numCache>
                <c:formatCode>General</c:formatCode>
                <c:ptCount val="7"/>
                <c:pt idx="0">
                  <c:v>29.3</c:v>
                </c:pt>
                <c:pt idx="1">
                  <c:v>36.5</c:v>
                </c:pt>
                <c:pt idx="2" formatCode="0.0">
                  <c:v>41.1</c:v>
                </c:pt>
                <c:pt idx="3" formatCode="0.0">
                  <c:v>42</c:v>
                </c:pt>
                <c:pt idx="4" formatCode="0.0">
                  <c:v>33.700000000000003</c:v>
                </c:pt>
                <c:pt idx="5" formatCode="0.0">
                  <c:v>89</c:v>
                </c:pt>
                <c:pt idx="6" formatCode="0.0">
                  <c:v>0</c:v>
                </c:pt>
              </c:numCache>
            </c:numRef>
          </c:val>
        </c:ser>
        <c:dLbls>
          <c:showLegendKey val="0"/>
          <c:showVal val="0"/>
          <c:showCatName val="0"/>
          <c:showSerName val="0"/>
          <c:showPercent val="0"/>
          <c:showBubbleSize val="0"/>
        </c:dLbls>
        <c:gapWidth val="150"/>
        <c:shape val="box"/>
        <c:axId val="482670424"/>
        <c:axId val="481669840"/>
        <c:axId val="0"/>
      </c:bar3DChart>
      <c:catAx>
        <c:axId val="482670424"/>
        <c:scaling>
          <c:orientation val="minMax"/>
        </c:scaling>
        <c:delete val="0"/>
        <c:axPos val="b"/>
        <c:numFmt formatCode="General" sourceLinked="1"/>
        <c:majorTickMark val="out"/>
        <c:minorTickMark val="none"/>
        <c:tickLblPos val="nextTo"/>
        <c:spPr>
          <a:solidFill>
            <a:schemeClr val="bg1"/>
          </a:solidFill>
          <a:ln w="1268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ru-RU"/>
          </a:p>
        </c:txPr>
        <c:crossAx val="481669840"/>
        <c:crosses val="autoZero"/>
        <c:auto val="1"/>
        <c:lblAlgn val="ctr"/>
        <c:lblOffset val="100"/>
        <c:noMultiLvlLbl val="0"/>
      </c:catAx>
      <c:valAx>
        <c:axId val="481669840"/>
        <c:scaling>
          <c:orientation val="minMax"/>
        </c:scaling>
        <c:delete val="1"/>
        <c:axPos val="l"/>
        <c:numFmt formatCode="General" sourceLinked="1"/>
        <c:majorTickMark val="out"/>
        <c:minorTickMark val="none"/>
        <c:tickLblPos val="nextTo"/>
        <c:crossAx val="482670424"/>
        <c:crosses val="autoZero"/>
        <c:crossBetween val="between"/>
      </c:valAx>
      <c:spPr>
        <a:noFill/>
        <a:ln w="25377">
          <a:noFill/>
        </a:ln>
      </c:spPr>
    </c:plotArea>
    <c:legend>
      <c:legendPos val="r"/>
      <c:layout>
        <c:manualLayout>
          <c:xMode val="edge"/>
          <c:yMode val="edge"/>
          <c:x val="1.6993802843223077E-2"/>
          <c:y val="0.76544916885389325"/>
          <c:w val="0.98300627367696469"/>
          <c:h val="0.23455083114610673"/>
        </c:manualLayout>
      </c:layout>
      <c:overlay val="0"/>
      <c:spPr>
        <a:noFill/>
        <a:ln w="25377">
          <a:noFill/>
        </a:ln>
      </c:spPr>
      <c:txPr>
        <a:bodyPr rot="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ru-RU" sz="1200">
                <a:solidFill>
                  <a:sysClr val="windowText" lastClr="000000"/>
                </a:solidFill>
              </a:rPr>
              <a:t>Структура инвестиций в основной капитал, %</a:t>
            </a:r>
          </a:p>
        </c:rich>
      </c:tx>
      <c:layout>
        <c:manualLayout>
          <c:xMode val="edge"/>
          <c:yMode val="edge"/>
          <c:x val="0.19944982838683625"/>
          <c:y val="0"/>
        </c:manualLayout>
      </c:layout>
      <c:overlay val="0"/>
      <c:spPr>
        <a:noFill/>
        <a:ln w="25354">
          <a:noFill/>
        </a:ln>
      </c:spPr>
    </c:title>
    <c:autoTitleDeleted val="0"/>
    <c:plotArea>
      <c:layout>
        <c:manualLayout>
          <c:layoutTarget val="inner"/>
          <c:xMode val="edge"/>
          <c:yMode val="edge"/>
          <c:x val="2.5462962962962962E-2"/>
          <c:y val="0.13992588377798182"/>
          <c:w val="0.94907407407407407"/>
          <c:h val="0.63159866905281281"/>
        </c:manualLayout>
      </c:layout>
      <c:barChart>
        <c:barDir val="col"/>
        <c:grouping val="percentStacked"/>
        <c:varyColors val="0"/>
        <c:ser>
          <c:idx val="0"/>
          <c:order val="0"/>
          <c:tx>
            <c:strRef>
              <c:f>Лист1!$B$1</c:f>
              <c:strCache>
                <c:ptCount val="1"/>
                <c:pt idx="0">
                  <c:v>Строительство зданий и сооружений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0.0%</c:formatCode>
                <c:ptCount val="7"/>
                <c:pt idx="0">
                  <c:v>0.45400000000000001</c:v>
                </c:pt>
                <c:pt idx="1">
                  <c:v>0.55800000000000005</c:v>
                </c:pt>
                <c:pt idx="2">
                  <c:v>0.51600000000000001</c:v>
                </c:pt>
                <c:pt idx="3">
                  <c:v>0.434</c:v>
                </c:pt>
                <c:pt idx="4">
                  <c:v>0.38900000000000001</c:v>
                </c:pt>
                <c:pt idx="5">
                  <c:v>0.34</c:v>
                </c:pt>
                <c:pt idx="6">
                  <c:v>0.27300000000000002</c:v>
                </c:pt>
              </c:numCache>
            </c:numRef>
          </c:val>
        </c:ser>
        <c:ser>
          <c:idx val="1"/>
          <c:order val="1"/>
          <c:tx>
            <c:strRef>
              <c:f>Лист1!$C$1</c:f>
              <c:strCache>
                <c:ptCount val="1"/>
                <c:pt idx="0">
                  <c:v>Строительство жилья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0.0%</c:formatCode>
                <c:ptCount val="7"/>
                <c:pt idx="0">
                  <c:v>0.28799999999999998</c:v>
                </c:pt>
                <c:pt idx="1">
                  <c:v>0.20100000000000001</c:v>
                </c:pt>
                <c:pt idx="2">
                  <c:v>0.28799999999999998</c:v>
                </c:pt>
                <c:pt idx="3">
                  <c:v>0.219</c:v>
                </c:pt>
                <c:pt idx="4">
                  <c:v>0.247</c:v>
                </c:pt>
                <c:pt idx="5">
                  <c:v>0.31</c:v>
                </c:pt>
                <c:pt idx="6">
                  <c:v>0.36199999999999999</c:v>
                </c:pt>
              </c:numCache>
            </c:numRef>
          </c:val>
        </c:ser>
        <c:ser>
          <c:idx val="2"/>
          <c:order val="2"/>
          <c:tx>
            <c:strRef>
              <c:f>Лист1!$D$1</c:f>
              <c:strCache>
                <c:ptCount val="1"/>
                <c:pt idx="0">
                  <c:v>Приобретение машин и оборудования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0.0%</c:formatCode>
                <c:ptCount val="7"/>
                <c:pt idx="0">
                  <c:v>0.20200000000000001</c:v>
                </c:pt>
                <c:pt idx="1">
                  <c:v>0.23599999999999999</c:v>
                </c:pt>
                <c:pt idx="2">
                  <c:v>0.19500000000000001</c:v>
                </c:pt>
                <c:pt idx="3">
                  <c:v>0.317</c:v>
                </c:pt>
                <c:pt idx="4">
                  <c:v>0.307</c:v>
                </c:pt>
                <c:pt idx="5">
                  <c:v>0.28199999999999997</c:v>
                </c:pt>
                <c:pt idx="6">
                  <c:v>0.19700000000000001</c:v>
                </c:pt>
              </c:numCache>
            </c:numRef>
          </c:val>
        </c:ser>
        <c:ser>
          <c:idx val="3"/>
          <c:order val="3"/>
          <c:tx>
            <c:strRef>
              <c:f>Лист1!$E$1</c:f>
              <c:strCache>
                <c:ptCount val="1"/>
                <c:pt idx="0">
                  <c:v>Прочие инвестиции</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420301900028362E-3"/>
                  <c:y val="-4.683774484430602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420665713702267E-3"/>
                  <c:y val="-2.707733965137926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841331427404533E-3"/>
                  <c:y val="-3.046200710780167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4.400067693349128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535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Лист1!$E$2:$E$8</c:f>
              <c:numCache>
                <c:formatCode>0.0%</c:formatCode>
                <c:ptCount val="7"/>
                <c:pt idx="0">
                  <c:v>5.6000000000000001E-2</c:v>
                </c:pt>
                <c:pt idx="1">
                  <c:v>5.0000000000000001E-3</c:v>
                </c:pt>
                <c:pt idx="2">
                  <c:v>1E-3</c:v>
                </c:pt>
                <c:pt idx="3">
                  <c:v>0.03</c:v>
                </c:pt>
                <c:pt idx="4">
                  <c:v>5.7000000000000002E-2</c:v>
                </c:pt>
                <c:pt idx="5">
                  <c:v>6.8000000000000005E-2</c:v>
                </c:pt>
                <c:pt idx="6">
                  <c:v>0.16800000000000001</c:v>
                </c:pt>
              </c:numCache>
            </c:numRef>
          </c:val>
        </c:ser>
        <c:dLbls>
          <c:showLegendKey val="0"/>
          <c:showVal val="0"/>
          <c:showCatName val="0"/>
          <c:showSerName val="0"/>
          <c:showPercent val="0"/>
          <c:showBubbleSize val="0"/>
        </c:dLbls>
        <c:gapWidth val="150"/>
        <c:overlap val="100"/>
        <c:axId val="481670624"/>
        <c:axId val="481671016"/>
      </c:barChart>
      <c:catAx>
        <c:axId val="481670624"/>
        <c:scaling>
          <c:orientation val="minMax"/>
        </c:scaling>
        <c:delete val="0"/>
        <c:axPos val="b"/>
        <c:numFmt formatCode="General" sourceLinked="1"/>
        <c:majorTickMark val="out"/>
        <c:minorTickMark val="none"/>
        <c:tickLblPos val="nextTo"/>
        <c:spPr>
          <a:noFill/>
          <a:ln w="12677"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481671016"/>
        <c:crosses val="autoZero"/>
        <c:auto val="1"/>
        <c:lblAlgn val="ctr"/>
        <c:lblOffset val="100"/>
        <c:noMultiLvlLbl val="0"/>
      </c:catAx>
      <c:valAx>
        <c:axId val="481671016"/>
        <c:scaling>
          <c:orientation val="minMax"/>
        </c:scaling>
        <c:delete val="1"/>
        <c:axPos val="l"/>
        <c:numFmt formatCode="0%" sourceLinked="1"/>
        <c:majorTickMark val="out"/>
        <c:minorTickMark val="none"/>
        <c:tickLblPos val="nextTo"/>
        <c:crossAx val="481670624"/>
        <c:crosses val="autoZero"/>
        <c:crossBetween val="between"/>
      </c:valAx>
      <c:spPr>
        <a:noFill/>
        <a:ln w="25354">
          <a:noFill/>
        </a:ln>
      </c:spPr>
    </c:plotArea>
    <c:legend>
      <c:legendPos val="b"/>
      <c:layout>
        <c:manualLayout>
          <c:xMode val="edge"/>
          <c:yMode val="edge"/>
          <c:x val="3.2876202974628177E-2"/>
          <c:y val="0.85850054457478531"/>
          <c:w val="0.90860656840971799"/>
          <c:h val="0.11428857107147319"/>
        </c:manualLayout>
      </c:layout>
      <c:overlay val="0"/>
      <c:spPr>
        <a:noFill/>
        <a:ln w="25354">
          <a:noFill/>
        </a:ln>
      </c:spPr>
      <c:txPr>
        <a:bodyPr rot="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baseline="0">
                <a:solidFill>
                  <a:schemeClr val="tx1">
                    <a:lumMod val="65000"/>
                    <a:lumOff val="35000"/>
                  </a:schemeClr>
                </a:solidFill>
                <a:latin typeface="+mn-lt"/>
                <a:ea typeface="+mn-ea"/>
                <a:cs typeface="+mn-cs"/>
              </a:defRPr>
            </a:pPr>
            <a:r>
              <a:rPr lang="ru-RU" sz="1398">
                <a:solidFill>
                  <a:sysClr val="windowText" lastClr="000000"/>
                </a:solidFill>
              </a:rPr>
              <a:t>Показатели уровня жизни</a:t>
            </a:r>
            <a:r>
              <a:rPr lang="ru-RU" sz="1398" baseline="0">
                <a:solidFill>
                  <a:sysClr val="windowText" lastClr="000000"/>
                </a:solidFill>
              </a:rPr>
              <a:t> населения, руб.</a:t>
            </a:r>
            <a:endParaRPr lang="ru-RU" sz="1400">
              <a:solidFill>
                <a:sysClr val="windowText" lastClr="000000"/>
              </a:solidFill>
            </a:endParaRPr>
          </a:p>
        </c:rich>
      </c:tx>
      <c:layout/>
      <c:overlay val="0"/>
      <c:spPr>
        <a:noFill/>
        <a:ln w="25370">
          <a:noFill/>
        </a:ln>
      </c:spPr>
    </c:title>
    <c:autoTitleDeleted val="0"/>
    <c:plotArea>
      <c:layout/>
      <c:barChart>
        <c:barDir val="col"/>
        <c:grouping val="clustered"/>
        <c:varyColors val="0"/>
        <c:ser>
          <c:idx val="0"/>
          <c:order val="0"/>
          <c:tx>
            <c:strRef>
              <c:f>Лист1!$B$1</c:f>
              <c:strCache>
                <c:ptCount val="1"/>
                <c:pt idx="0">
                  <c:v>Среднемесячная зарплата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0.0</c:formatCode>
                <c:ptCount val="7"/>
                <c:pt idx="0" formatCode="General">
                  <c:v>43112.5</c:v>
                </c:pt>
                <c:pt idx="1">
                  <c:v>50628.6</c:v>
                </c:pt>
                <c:pt idx="2">
                  <c:v>56602.2</c:v>
                </c:pt>
                <c:pt idx="3">
                  <c:v>62600.5</c:v>
                </c:pt>
                <c:pt idx="4">
                  <c:v>66765</c:v>
                </c:pt>
                <c:pt idx="5">
                  <c:v>67448</c:v>
                </c:pt>
                <c:pt idx="6">
                  <c:v>69107.3</c:v>
                </c:pt>
              </c:numCache>
            </c:numRef>
          </c:val>
        </c:ser>
        <c:ser>
          <c:idx val="1"/>
          <c:order val="1"/>
          <c:tx>
            <c:strRef>
              <c:f>Лист1!$C$1</c:f>
              <c:strCache>
                <c:ptCount val="1"/>
                <c:pt idx="0">
                  <c:v>Среднемесячный размер пенсии</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0.0</c:formatCode>
                <c:ptCount val="7"/>
                <c:pt idx="0" formatCode="General">
                  <c:v>12746.6</c:v>
                </c:pt>
                <c:pt idx="1">
                  <c:v>14803.1</c:v>
                </c:pt>
                <c:pt idx="2">
                  <c:v>15946.6</c:v>
                </c:pt>
                <c:pt idx="3">
                  <c:v>16372.8</c:v>
                </c:pt>
                <c:pt idx="4">
                  <c:v>17729.2</c:v>
                </c:pt>
                <c:pt idx="5">
                  <c:v>19605.900000000001</c:v>
                </c:pt>
                <c:pt idx="6">
                  <c:v>19970.400000000001</c:v>
                </c:pt>
              </c:numCache>
            </c:numRef>
          </c:val>
        </c:ser>
        <c:ser>
          <c:idx val="2"/>
          <c:order val="2"/>
          <c:tx>
            <c:strRef>
              <c:f>Лист1!$D$1</c:f>
              <c:strCache>
                <c:ptCount val="1"/>
                <c:pt idx="0">
                  <c:v>Среднедушевой доход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0.0</c:formatCode>
                <c:ptCount val="7"/>
                <c:pt idx="0" formatCode="General">
                  <c:v>33981.1</c:v>
                </c:pt>
                <c:pt idx="1">
                  <c:v>40156.6</c:v>
                </c:pt>
                <c:pt idx="2">
                  <c:v>42778</c:v>
                </c:pt>
                <c:pt idx="3">
                  <c:v>45098</c:v>
                </c:pt>
                <c:pt idx="4">
                  <c:v>46811.7</c:v>
                </c:pt>
                <c:pt idx="5">
                  <c:v>47590.400000000001</c:v>
                </c:pt>
                <c:pt idx="6">
                  <c:v>47714.5</c:v>
                </c:pt>
              </c:numCache>
            </c:numRef>
          </c:val>
        </c:ser>
        <c:dLbls>
          <c:showLegendKey val="0"/>
          <c:showVal val="0"/>
          <c:showCatName val="0"/>
          <c:showSerName val="0"/>
          <c:showPercent val="0"/>
          <c:showBubbleSize val="0"/>
        </c:dLbls>
        <c:gapWidth val="100"/>
        <c:overlap val="-24"/>
        <c:axId val="369934144"/>
        <c:axId val="369934536"/>
      </c:barChart>
      <c:catAx>
        <c:axId val="369934144"/>
        <c:scaling>
          <c:orientation val="minMax"/>
        </c:scaling>
        <c:delete val="0"/>
        <c:axPos val="b"/>
        <c:numFmt formatCode="General" sourceLinked="1"/>
        <c:majorTickMark val="none"/>
        <c:minorTickMark val="none"/>
        <c:tickLblPos val="nextTo"/>
        <c:spPr>
          <a:noFill/>
          <a:ln w="1268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ru-RU"/>
          </a:p>
        </c:txPr>
        <c:crossAx val="369934536"/>
        <c:crosses val="autoZero"/>
        <c:auto val="1"/>
        <c:lblAlgn val="ctr"/>
        <c:lblOffset val="100"/>
        <c:noMultiLvlLbl val="0"/>
      </c:catAx>
      <c:valAx>
        <c:axId val="369934536"/>
        <c:scaling>
          <c:orientation val="minMax"/>
        </c:scaling>
        <c:delete val="1"/>
        <c:axPos val="l"/>
        <c:numFmt formatCode="General" sourceLinked="1"/>
        <c:majorTickMark val="out"/>
        <c:minorTickMark val="none"/>
        <c:tickLblPos val="nextTo"/>
        <c:crossAx val="369934144"/>
        <c:crosses val="autoZero"/>
        <c:crossBetween val="between"/>
      </c:valAx>
      <c:spPr>
        <a:noFill/>
        <a:ln w="25370">
          <a:noFill/>
        </a:ln>
      </c:spPr>
    </c:plotArea>
    <c:legend>
      <c:legendPos val="b"/>
      <c:layout/>
      <c:overlay val="0"/>
      <c:spPr>
        <a:noFill/>
        <a:ln w="25370">
          <a:noFill/>
        </a:ln>
      </c:spPr>
      <c:txPr>
        <a:bodyPr rot="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99" b="1" i="0" u="none" strike="noStrike" baseline="0">
                <a:effectLst/>
              </a:rPr>
              <a:t>Обеспеченность </a:t>
            </a:r>
            <a:r>
              <a:rPr lang="ru-RU" sz="1399"/>
              <a:t>жилищного фонда холодной водой, %</a:t>
            </a:r>
          </a:p>
        </c:rich>
      </c:tx>
      <c:layout/>
      <c:overlay val="0"/>
      <c:spPr>
        <a:noFill/>
        <a:ln w="25389">
          <a:noFill/>
        </a:ln>
      </c:spPr>
    </c:title>
    <c:autoTitleDeleted val="0"/>
    <c:view3D>
      <c:rotX val="15"/>
      <c:rotY val="20"/>
      <c:depthPercent val="100"/>
      <c:rAngAx val="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3.0073567446404968E-2"/>
          <c:y val="0.17470088430619385"/>
          <c:w val="0.94199995233081202"/>
          <c:h val="0.70948077680392074"/>
        </c:manualLayout>
      </c:layout>
      <c:bar3DChart>
        <c:barDir val="col"/>
        <c:grouping val="clustered"/>
        <c:varyColors val="0"/>
        <c:ser>
          <c:idx val="0"/>
          <c:order val="0"/>
          <c:tx>
            <c:strRef>
              <c:f>Лист1!$A$2</c:f>
              <c:strCache>
                <c:ptCount val="1"/>
                <c:pt idx="0">
                  <c:v>Холодная вода</c:v>
                </c:pt>
              </c:strCache>
            </c:strRef>
          </c:tx>
          <c:spPr>
            <a:solidFill>
              <a:srgbClr val="0000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2226877215597811E-2"/>
                  <c:y val="-3.96825396825397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781501772478246E-2"/>
                  <c:y val="-3.57142857142857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781501772478246E-2"/>
                  <c:y val="-2.77777777777778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929960253518099E-2"/>
                  <c:y val="-2.59941520467836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93,5</a:t>
                    </a:r>
                  </a:p>
                </c:rich>
              </c:tx>
              <c:showLegendKey val="0"/>
              <c:showVal val="0"/>
              <c:showCatName val="0"/>
              <c:showSerName val="0"/>
              <c:showPercent val="0"/>
              <c:showBubbleSize val="0"/>
              <c:extLst>
                <c:ext xmlns:c15="http://schemas.microsoft.com/office/drawing/2012/chart" uri="{CE6537A1-D6FC-4f65-9D91-7224C49458BB}">
                  <c15:layout/>
                </c:ext>
              </c:extLst>
            </c:dLbl>
            <c:numFmt formatCode="0.0" sourceLinked="0"/>
            <c:spPr>
              <a:noFill/>
              <a:ln w="25389">
                <a:noFill/>
              </a:ln>
            </c:spPr>
            <c:txPr>
              <a:bodyPr rot="0" spcFirstLastPara="1" vertOverflow="ellipsis" vert="horz" wrap="square" lIns="38100" tIns="19050" rIns="38100" bIns="19050" anchor="ctr" anchorCtr="1">
                <a:spAutoFit/>
              </a:bodyPr>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2012</c:v>
                </c:pt>
                <c:pt idx="1">
                  <c:v>2013</c:v>
                </c:pt>
                <c:pt idx="2">
                  <c:v>2014</c:v>
                </c:pt>
                <c:pt idx="3">
                  <c:v>2015</c:v>
                </c:pt>
                <c:pt idx="4">
                  <c:v>2016</c:v>
                </c:pt>
              </c:strCache>
            </c:strRef>
          </c:cat>
          <c:val>
            <c:numRef>
              <c:f>Лист1!$B$2:$F$2</c:f>
              <c:numCache>
                <c:formatCode>General</c:formatCode>
                <c:ptCount val="5"/>
                <c:pt idx="0">
                  <c:v>88.2</c:v>
                </c:pt>
                <c:pt idx="1">
                  <c:v>88.8</c:v>
                </c:pt>
                <c:pt idx="2">
                  <c:v>90.1</c:v>
                </c:pt>
                <c:pt idx="3">
                  <c:v>91.3</c:v>
                </c:pt>
                <c:pt idx="4">
                  <c:v>91.3</c:v>
                </c:pt>
              </c:numCache>
            </c:numRef>
          </c:val>
          <c:shape val="cylinder"/>
        </c:ser>
        <c:dLbls>
          <c:showLegendKey val="0"/>
          <c:showVal val="0"/>
          <c:showCatName val="0"/>
          <c:showSerName val="0"/>
          <c:showPercent val="0"/>
          <c:showBubbleSize val="0"/>
        </c:dLbls>
        <c:gapWidth val="100"/>
        <c:shape val="box"/>
        <c:axId val="369935320"/>
        <c:axId val="367971360"/>
        <c:axId val="0"/>
      </c:bar3DChart>
      <c:catAx>
        <c:axId val="369935320"/>
        <c:scaling>
          <c:orientation val="minMax"/>
        </c:scaling>
        <c:delete val="0"/>
        <c:axPos val="b"/>
        <c:numFmt formatCode="General" sourceLinked="1"/>
        <c:majorTickMark val="none"/>
        <c:minorTickMark val="none"/>
        <c:tickLblPos val="nextTo"/>
        <c:spPr>
          <a:noFill/>
          <a:ln w="12695" cap="flat" cmpd="sng" algn="ctr">
            <a:solidFill>
              <a:schemeClr val="tx1">
                <a:lumMod val="15000"/>
                <a:lumOff val="85000"/>
              </a:schemeClr>
            </a:solidFill>
            <a:round/>
          </a:ln>
          <a:effectLst/>
        </c:spPr>
        <c:txPr>
          <a:bodyPr rot="-60000000" spcFirstLastPara="1" vertOverflow="ellipsis" vert="horz" wrap="square" anchor="ctr" anchorCtr="1"/>
          <a:lstStyle/>
          <a:p>
            <a:pPr>
              <a:defRPr sz="11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7971360"/>
        <c:crosses val="autoZero"/>
        <c:auto val="1"/>
        <c:lblAlgn val="ctr"/>
        <c:lblOffset val="100"/>
        <c:noMultiLvlLbl val="0"/>
      </c:catAx>
      <c:valAx>
        <c:axId val="367971360"/>
        <c:scaling>
          <c:orientation val="minMax"/>
          <c:max val="89"/>
          <c:min val="87"/>
        </c:scaling>
        <c:delete val="1"/>
        <c:axPos val="l"/>
        <c:numFmt formatCode="General" sourceLinked="1"/>
        <c:majorTickMark val="out"/>
        <c:minorTickMark val="none"/>
        <c:tickLblPos val="nextTo"/>
        <c:crossAx val="369935320"/>
        <c:crosses val="autoZero"/>
        <c:crossBetween val="between"/>
      </c:valAx>
      <c:spPr>
        <a:noFill/>
        <a:ln w="25389">
          <a:noFill/>
        </a:ln>
      </c:spPr>
    </c:plotArea>
    <c:plotVisOnly val="1"/>
    <c:dispBlanksAs val="gap"/>
    <c:showDLblsOverMax val="0"/>
  </c:chart>
  <c:spPr>
    <a:noFill/>
    <a:ln>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1.2890750886239123E-2"/>
          <c:y val="6.0402744639279964E-2"/>
          <c:w val="0.97421849822752171"/>
          <c:h val="0.85630497076023382"/>
        </c:manualLayout>
      </c:layout>
      <c:bar3DChart>
        <c:barDir val="col"/>
        <c:grouping val="clustered"/>
        <c:varyColors val="0"/>
        <c:ser>
          <c:idx val="0"/>
          <c:order val="0"/>
          <c:tx>
            <c:strRef>
              <c:f>Лист1!$A$2</c:f>
              <c:strCache>
                <c:ptCount val="1"/>
                <c:pt idx="0">
                  <c:v>Отопление</c:v>
                </c:pt>
              </c:strCache>
            </c:strRef>
          </c:tx>
          <c:spPr>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2226956334091124E-2"/>
                  <c:y val="-2.17854815127974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781404475492188E-2"/>
                  <c:y val="1.58301185506174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781203735766298E-2"/>
                  <c:y val="-9.880744772675228E-3"/>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401">
                <a:noFill/>
              </a:ln>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2014</c:v>
                </c:pt>
                <c:pt idx="1">
                  <c:v>2015</c:v>
                </c:pt>
                <c:pt idx="2">
                  <c:v>2016</c:v>
                </c:pt>
              </c:strCache>
            </c:strRef>
          </c:cat>
          <c:val>
            <c:numRef>
              <c:f>Лист1!$B$2:$D$2</c:f>
              <c:numCache>
                <c:formatCode>General</c:formatCode>
                <c:ptCount val="3"/>
                <c:pt idx="0">
                  <c:v>74.400000000000006</c:v>
                </c:pt>
                <c:pt idx="1">
                  <c:v>75.2</c:v>
                </c:pt>
                <c:pt idx="2">
                  <c:v>75.400000000000006</c:v>
                </c:pt>
              </c:numCache>
            </c:numRef>
          </c:val>
          <c:shape val="pyramid"/>
        </c:ser>
        <c:dLbls>
          <c:showLegendKey val="0"/>
          <c:showVal val="0"/>
          <c:showCatName val="0"/>
          <c:showSerName val="0"/>
          <c:showPercent val="0"/>
          <c:showBubbleSize val="0"/>
        </c:dLbls>
        <c:gapWidth val="100"/>
        <c:shape val="box"/>
        <c:axId val="369933752"/>
        <c:axId val="367972144"/>
        <c:axId val="0"/>
      </c:bar3DChart>
      <c:catAx>
        <c:axId val="369933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7972144"/>
        <c:crosses val="autoZero"/>
        <c:auto val="1"/>
        <c:lblAlgn val="ctr"/>
        <c:lblOffset val="100"/>
        <c:noMultiLvlLbl val="0"/>
      </c:catAx>
      <c:valAx>
        <c:axId val="367972144"/>
        <c:scaling>
          <c:orientation val="minMax"/>
          <c:max val="74.8"/>
          <c:min val="70"/>
        </c:scaling>
        <c:delete val="1"/>
        <c:axPos val="l"/>
        <c:numFmt formatCode="General" sourceLinked="1"/>
        <c:majorTickMark val="out"/>
        <c:minorTickMark val="none"/>
        <c:tickLblPos val="nextTo"/>
        <c:crossAx val="369933752"/>
        <c:crosses val="autoZero"/>
        <c:crossBetween val="between"/>
      </c:valAx>
      <c:spPr>
        <a:noFill/>
        <a:ln w="25401">
          <a:noFill/>
        </a:ln>
      </c:spPr>
    </c:plotArea>
    <c:plotVisOnly val="1"/>
    <c:dispBlanksAs val="gap"/>
    <c:showDLblsOverMax val="0"/>
  </c:chart>
  <c:spPr>
    <a:noFill/>
    <a:ln>
      <a:noFill/>
    </a:ln>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scene3d>
              <a:camera prst="orthographicFront"/>
              <a:lightRig rig="threePt" dir="t"/>
            </a:scene3d>
            <a:sp3d>
              <a:bevelT/>
            </a:sp3d>
          </c:spPr>
          <c:invertIfNegative val="0"/>
          <c:dLbls>
            <c:spPr>
              <a:noFill/>
              <a:ln>
                <a:noFill/>
              </a:ln>
              <a:effectLst/>
            </c:spPr>
            <c:txPr>
              <a:bodyPr/>
              <a:lstStyle/>
              <a:p>
                <a:pPr>
                  <a:defRPr sz="105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Лист1!$A$41:$A$44</c:f>
              <c:strCache>
                <c:ptCount val="4"/>
                <c:pt idx="0">
                  <c:v>2013 год</c:v>
                </c:pt>
                <c:pt idx="1">
                  <c:v>2014 год</c:v>
                </c:pt>
                <c:pt idx="2">
                  <c:v>2015 год</c:v>
                </c:pt>
                <c:pt idx="3">
                  <c:v>2016 год</c:v>
                </c:pt>
              </c:strCache>
            </c:strRef>
          </c:cat>
          <c:val>
            <c:numRef>
              <c:f>Лист1!$B$41:$B$44</c:f>
              <c:numCache>
                <c:formatCode>General</c:formatCode>
                <c:ptCount val="4"/>
                <c:pt idx="0">
                  <c:v>112</c:v>
                </c:pt>
                <c:pt idx="1">
                  <c:v>34</c:v>
                </c:pt>
                <c:pt idx="2">
                  <c:v>110</c:v>
                </c:pt>
                <c:pt idx="3">
                  <c:v>262</c:v>
                </c:pt>
              </c:numCache>
            </c:numRef>
          </c:val>
        </c:ser>
        <c:dLbls>
          <c:showLegendKey val="0"/>
          <c:showVal val="0"/>
          <c:showCatName val="0"/>
          <c:showSerName val="0"/>
          <c:showPercent val="0"/>
          <c:showBubbleSize val="0"/>
        </c:dLbls>
        <c:gapWidth val="24"/>
        <c:overlap val="-87"/>
        <c:axId val="481663392"/>
        <c:axId val="481663784"/>
      </c:barChart>
      <c:catAx>
        <c:axId val="481663392"/>
        <c:scaling>
          <c:orientation val="minMax"/>
        </c:scaling>
        <c:delete val="0"/>
        <c:axPos val="b"/>
        <c:numFmt formatCode="General" sourceLinked="1"/>
        <c:majorTickMark val="out"/>
        <c:minorTickMark val="none"/>
        <c:tickLblPos val="nextTo"/>
        <c:txPr>
          <a:bodyPr/>
          <a:lstStyle/>
          <a:p>
            <a:pPr>
              <a:defRPr sz="1050" b="0" i="0" baseline="0"/>
            </a:pPr>
            <a:endParaRPr lang="ru-RU"/>
          </a:p>
        </c:txPr>
        <c:crossAx val="481663784"/>
        <c:crosses val="autoZero"/>
        <c:auto val="1"/>
        <c:lblAlgn val="ctr"/>
        <c:lblOffset val="100"/>
        <c:noMultiLvlLbl val="0"/>
      </c:catAx>
      <c:valAx>
        <c:axId val="481663784"/>
        <c:scaling>
          <c:orientation val="minMax"/>
        </c:scaling>
        <c:delete val="1"/>
        <c:axPos val="l"/>
        <c:majorGridlines>
          <c:spPr>
            <a:ln w="3175">
              <a:solidFill>
                <a:schemeClr val="accent1"/>
              </a:solidFill>
            </a:ln>
          </c:spPr>
        </c:majorGridlines>
        <c:numFmt formatCode="General" sourceLinked="1"/>
        <c:majorTickMark val="out"/>
        <c:minorTickMark val="none"/>
        <c:tickLblPos val="nextTo"/>
        <c:crossAx val="48166339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cene3d>
              <a:camera prst="orthographicFront"/>
              <a:lightRig rig="threePt" dir="t"/>
            </a:scene3d>
            <a:sp3d>
              <a:bevelT/>
            </a:sp3d>
          </c:spPr>
          <c:invertIfNegative val="0"/>
          <c:dLbls>
            <c:dLbl>
              <c:idx val="3"/>
              <c:layout/>
              <c:tx>
                <c:rich>
                  <a:bodyPr/>
                  <a:lstStyle/>
                  <a:p>
                    <a:r>
                      <a:rPr lang="en-US" sz="1000" b="1" i="0" baseline="0"/>
                      <a:t>2240</a:t>
                    </a:r>
                    <a:endParaRPr lang="en-US" sz="1000"/>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Лист1!$A$45:$A$48</c:f>
              <c:strCache>
                <c:ptCount val="4"/>
                <c:pt idx="0">
                  <c:v>2013 год</c:v>
                </c:pt>
                <c:pt idx="1">
                  <c:v>2014 год</c:v>
                </c:pt>
                <c:pt idx="2">
                  <c:v>2015 год</c:v>
                </c:pt>
                <c:pt idx="3">
                  <c:v>2016 год</c:v>
                </c:pt>
              </c:strCache>
            </c:strRef>
          </c:cat>
          <c:val>
            <c:numRef>
              <c:f>Лист1!$B$45:$B$48</c:f>
              <c:numCache>
                <c:formatCode>General</c:formatCode>
                <c:ptCount val="4"/>
                <c:pt idx="0">
                  <c:v>308</c:v>
                </c:pt>
                <c:pt idx="1">
                  <c:v>964</c:v>
                </c:pt>
                <c:pt idx="2">
                  <c:v>1566</c:v>
                </c:pt>
                <c:pt idx="3">
                  <c:v>2240</c:v>
                </c:pt>
              </c:numCache>
            </c:numRef>
          </c:val>
        </c:ser>
        <c:dLbls>
          <c:showLegendKey val="0"/>
          <c:showVal val="0"/>
          <c:showCatName val="0"/>
          <c:showSerName val="0"/>
          <c:showPercent val="0"/>
          <c:showBubbleSize val="0"/>
        </c:dLbls>
        <c:gapWidth val="150"/>
        <c:axId val="481664568"/>
        <c:axId val="481664960"/>
      </c:barChart>
      <c:catAx>
        <c:axId val="481664568"/>
        <c:scaling>
          <c:orientation val="minMax"/>
        </c:scaling>
        <c:delete val="0"/>
        <c:axPos val="b"/>
        <c:numFmt formatCode="General" sourceLinked="0"/>
        <c:majorTickMark val="out"/>
        <c:minorTickMark val="none"/>
        <c:tickLblPos val="nextTo"/>
        <c:txPr>
          <a:bodyPr/>
          <a:lstStyle/>
          <a:p>
            <a:pPr>
              <a:defRPr sz="1000" b="0" i="0" baseline="0"/>
            </a:pPr>
            <a:endParaRPr lang="ru-RU"/>
          </a:p>
        </c:txPr>
        <c:crossAx val="481664960"/>
        <c:crosses val="autoZero"/>
        <c:auto val="1"/>
        <c:lblAlgn val="ctr"/>
        <c:lblOffset val="100"/>
        <c:noMultiLvlLbl val="0"/>
      </c:catAx>
      <c:valAx>
        <c:axId val="481664960"/>
        <c:scaling>
          <c:orientation val="minMax"/>
        </c:scaling>
        <c:delete val="1"/>
        <c:axPos val="l"/>
        <c:majorGridlines/>
        <c:numFmt formatCode="General" sourceLinked="1"/>
        <c:majorTickMark val="out"/>
        <c:minorTickMark val="none"/>
        <c:tickLblPos val="nextTo"/>
        <c:crossAx val="48166456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6">
                <a:lumMod val="75000"/>
              </a:schemeClr>
            </a:solidFill>
            <a:scene3d>
              <a:camera prst="orthographicFront"/>
              <a:lightRig rig="threePt" dir="t"/>
            </a:scene3d>
            <a:sp3d>
              <a:bevelT/>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Лист1!$A$49:$A$52</c:f>
              <c:strCache>
                <c:ptCount val="4"/>
                <c:pt idx="0">
                  <c:v>2013 год</c:v>
                </c:pt>
                <c:pt idx="1">
                  <c:v>2014 год</c:v>
                </c:pt>
                <c:pt idx="2">
                  <c:v>2015 год</c:v>
                </c:pt>
                <c:pt idx="3">
                  <c:v>2016 год</c:v>
                </c:pt>
              </c:strCache>
            </c:strRef>
          </c:cat>
          <c:val>
            <c:numRef>
              <c:f>Лист1!$B$49:$B$52</c:f>
              <c:numCache>
                <c:formatCode>General</c:formatCode>
                <c:ptCount val="4"/>
                <c:pt idx="0">
                  <c:v>8000</c:v>
                </c:pt>
                <c:pt idx="1">
                  <c:v>12000</c:v>
                </c:pt>
                <c:pt idx="2">
                  <c:v>20248</c:v>
                </c:pt>
                <c:pt idx="3">
                  <c:v>22352</c:v>
                </c:pt>
              </c:numCache>
            </c:numRef>
          </c:val>
          <c:extLst xmlns:c16r2="http://schemas.microsoft.com/office/drawing/2015/06/chart">
            <c:ext xmlns:c16="http://schemas.microsoft.com/office/drawing/2014/chart" uri="{C3380CC4-5D6E-409C-BE32-E72D297353CC}">
              <c16:uniqueId val="{00000000-8E5D-42FF-972A-8813E575B961}"/>
            </c:ext>
          </c:extLst>
        </c:ser>
        <c:dLbls>
          <c:showLegendKey val="0"/>
          <c:showVal val="0"/>
          <c:showCatName val="0"/>
          <c:showSerName val="0"/>
          <c:showPercent val="0"/>
          <c:showBubbleSize val="0"/>
        </c:dLbls>
        <c:gapWidth val="150"/>
        <c:axId val="481868192"/>
        <c:axId val="481868584"/>
      </c:barChart>
      <c:catAx>
        <c:axId val="481868192"/>
        <c:scaling>
          <c:orientation val="minMax"/>
        </c:scaling>
        <c:delete val="0"/>
        <c:axPos val="b"/>
        <c:numFmt formatCode="General" sourceLinked="0"/>
        <c:majorTickMark val="out"/>
        <c:minorTickMark val="none"/>
        <c:tickLblPos val="nextTo"/>
        <c:crossAx val="481868584"/>
        <c:crosses val="autoZero"/>
        <c:auto val="1"/>
        <c:lblAlgn val="ctr"/>
        <c:lblOffset val="100"/>
        <c:noMultiLvlLbl val="0"/>
      </c:catAx>
      <c:valAx>
        <c:axId val="481868584"/>
        <c:scaling>
          <c:orientation val="minMax"/>
        </c:scaling>
        <c:delete val="1"/>
        <c:axPos val="l"/>
        <c:majorGridlines/>
        <c:numFmt formatCode="General" sourceLinked="1"/>
        <c:majorTickMark val="out"/>
        <c:minorTickMark val="none"/>
        <c:tickLblPos val="nextTo"/>
        <c:crossAx val="4818681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1659-DA3E-4120-9AFB-94E9CCC9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49</Pages>
  <Words>13307</Words>
  <Characters>75855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Кашина</dc:creator>
  <cp:lastModifiedBy>Воробьева Ирина Дмитриева</cp:lastModifiedBy>
  <cp:revision>6</cp:revision>
  <cp:lastPrinted>2017-05-05T11:51:00Z</cp:lastPrinted>
  <dcterms:created xsi:type="dcterms:W3CDTF">2017-05-15T10:56:00Z</dcterms:created>
  <dcterms:modified xsi:type="dcterms:W3CDTF">2017-09-07T06:25:00Z</dcterms:modified>
</cp:coreProperties>
</file>