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B" w:rsidRPr="0045392B" w:rsidRDefault="0045392B" w:rsidP="0045392B">
      <w:pPr>
        <w:jc w:val="center"/>
        <w:rPr>
          <w:b/>
          <w:color w:val="000000"/>
          <w:sz w:val="28"/>
          <w:szCs w:val="28"/>
        </w:rPr>
      </w:pPr>
      <w:r w:rsidRPr="0045392B">
        <w:rPr>
          <w:b/>
          <w:color w:val="000000"/>
          <w:sz w:val="28"/>
          <w:szCs w:val="28"/>
        </w:rPr>
        <w:t>Пояснительная записка</w:t>
      </w:r>
    </w:p>
    <w:p w:rsidR="0045392B" w:rsidRPr="00F975BA" w:rsidRDefault="0045392B" w:rsidP="0045392B">
      <w:pPr>
        <w:pStyle w:val="ConsPlusTitle"/>
        <w:jc w:val="center"/>
        <w:rPr>
          <w:b w:val="0"/>
          <w:sz w:val="28"/>
          <w:szCs w:val="28"/>
        </w:rPr>
      </w:pPr>
      <w:r w:rsidRPr="00F975BA">
        <w:rPr>
          <w:b w:val="0"/>
          <w:color w:val="000000"/>
          <w:sz w:val="28"/>
          <w:szCs w:val="28"/>
        </w:rPr>
        <w:t xml:space="preserve">к </w:t>
      </w:r>
      <w:r w:rsidRPr="00F975BA">
        <w:rPr>
          <w:b w:val="0"/>
          <w:sz w:val="28"/>
          <w:szCs w:val="28"/>
        </w:rPr>
        <w:t>постановлению Администраци</w:t>
      </w:r>
      <w:r>
        <w:rPr>
          <w:b w:val="0"/>
          <w:sz w:val="28"/>
          <w:szCs w:val="28"/>
        </w:rPr>
        <w:t>и</w:t>
      </w:r>
      <w:r w:rsidRPr="00F975BA">
        <w:rPr>
          <w:b w:val="0"/>
          <w:sz w:val="28"/>
          <w:szCs w:val="28"/>
        </w:rPr>
        <w:t xml:space="preserve"> города Ханты-Мансийска от 30.12.2015 </w:t>
      </w:r>
      <w:r>
        <w:rPr>
          <w:b w:val="0"/>
          <w:sz w:val="28"/>
          <w:szCs w:val="28"/>
        </w:rPr>
        <w:t xml:space="preserve">    </w:t>
      </w:r>
      <w:r w:rsidRPr="00F975BA">
        <w:rPr>
          <w:b w:val="0"/>
          <w:sz w:val="28"/>
          <w:szCs w:val="28"/>
        </w:rPr>
        <w:t>№ 1514 «О муниципальной программе «Развитие отдельных секторов экономики города Ханты-Мансийска» на 2016 - 2020 годы»</w:t>
      </w:r>
    </w:p>
    <w:p w:rsidR="0045392B" w:rsidRDefault="0045392B" w:rsidP="0045392B">
      <w:pPr>
        <w:jc w:val="center"/>
        <w:rPr>
          <w:b/>
          <w:i/>
          <w:color w:val="000000"/>
          <w:sz w:val="28"/>
          <w:szCs w:val="28"/>
        </w:rPr>
      </w:pPr>
    </w:p>
    <w:p w:rsidR="0045392B" w:rsidRPr="00FA47D3" w:rsidRDefault="0045392B" w:rsidP="0045392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A47D3">
        <w:rPr>
          <w:b w:val="0"/>
          <w:color w:val="000000"/>
          <w:sz w:val="28"/>
          <w:szCs w:val="28"/>
        </w:rPr>
        <w:t>Предлагаем</w:t>
      </w:r>
      <w:r>
        <w:rPr>
          <w:b w:val="0"/>
          <w:color w:val="000000"/>
          <w:sz w:val="28"/>
          <w:szCs w:val="28"/>
        </w:rPr>
        <w:t>ое</w:t>
      </w:r>
      <w:r w:rsidRPr="00FA47D3">
        <w:rPr>
          <w:b w:val="0"/>
          <w:color w:val="000000"/>
          <w:sz w:val="28"/>
          <w:szCs w:val="28"/>
        </w:rPr>
        <w:t xml:space="preserve">  к обсуждению </w:t>
      </w:r>
      <w:r w:rsidRPr="00FA47D3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FA47D3">
        <w:rPr>
          <w:b w:val="0"/>
          <w:sz w:val="28"/>
          <w:szCs w:val="28"/>
        </w:rPr>
        <w:t xml:space="preserve"> Администраци</w:t>
      </w:r>
      <w:r w:rsidR="004A0EC4">
        <w:rPr>
          <w:b w:val="0"/>
          <w:sz w:val="28"/>
          <w:szCs w:val="28"/>
        </w:rPr>
        <w:t>и</w:t>
      </w:r>
      <w:r w:rsidRPr="00FA47D3">
        <w:rPr>
          <w:b w:val="0"/>
          <w:sz w:val="28"/>
          <w:szCs w:val="28"/>
        </w:rPr>
        <w:t xml:space="preserve"> города Ханты-Мансийска от 30.12.2015 № 1514 «О муниципальной программе «Развитие отдельных секторов экономики города Ханты-Мансийска» на 2016 - 2020 годы» </w:t>
      </w:r>
      <w:r w:rsidRPr="00FA47D3">
        <w:rPr>
          <w:b w:val="0"/>
          <w:color w:val="000000"/>
          <w:sz w:val="28"/>
          <w:szCs w:val="28"/>
        </w:rPr>
        <w:t>регулирует отношения в сфере предпринимательской и инвестиционной деятельности.</w:t>
      </w:r>
    </w:p>
    <w:p w:rsidR="0045392B" w:rsidRPr="00FA47D3" w:rsidRDefault="0045392B" w:rsidP="0045392B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FA47D3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A47D3">
        <w:rPr>
          <w:sz w:val="28"/>
          <w:szCs w:val="28"/>
        </w:rPr>
        <w:t xml:space="preserve"> Администраци</w:t>
      </w:r>
      <w:r w:rsidR="004A0EC4">
        <w:rPr>
          <w:sz w:val="28"/>
          <w:szCs w:val="28"/>
        </w:rPr>
        <w:t>и</w:t>
      </w:r>
      <w:bookmarkStart w:id="0" w:name="_GoBack"/>
      <w:bookmarkEnd w:id="0"/>
      <w:r w:rsidRPr="00FA47D3">
        <w:rPr>
          <w:sz w:val="28"/>
          <w:szCs w:val="28"/>
        </w:rPr>
        <w:t xml:space="preserve"> города Ханты-Мансийска от 30.12.2015 № 1514 «О муниципальной программе «Развитие отдельных секторов экономики города Ханты-Мансийска» на 2016 - 2020 годы»</w:t>
      </w:r>
      <w:r w:rsidRPr="00FA47D3">
        <w:rPr>
          <w:rFonts w:cs="Courier New"/>
          <w:color w:val="000000"/>
          <w:sz w:val="28"/>
          <w:szCs w:val="28"/>
        </w:rPr>
        <w:t xml:space="preserve"> (далее – </w:t>
      </w:r>
      <w:r>
        <w:rPr>
          <w:rFonts w:cs="Courier New"/>
          <w:color w:val="000000"/>
          <w:sz w:val="28"/>
          <w:szCs w:val="28"/>
        </w:rPr>
        <w:t>муниципальная</w:t>
      </w:r>
      <w:r w:rsidRPr="00FA47D3">
        <w:rPr>
          <w:rFonts w:cs="Courier New"/>
          <w:color w:val="000000"/>
          <w:sz w:val="28"/>
          <w:szCs w:val="28"/>
        </w:rPr>
        <w:t xml:space="preserve"> программ</w:t>
      </w:r>
      <w:r>
        <w:rPr>
          <w:rFonts w:cs="Courier New"/>
          <w:color w:val="000000"/>
          <w:sz w:val="28"/>
          <w:szCs w:val="28"/>
        </w:rPr>
        <w:t>а</w:t>
      </w:r>
      <w:r w:rsidRPr="00FA47D3">
        <w:rPr>
          <w:rFonts w:cs="Courier New"/>
          <w:color w:val="000000"/>
          <w:sz w:val="28"/>
          <w:szCs w:val="28"/>
        </w:rPr>
        <w:t>) разработан</w:t>
      </w:r>
      <w:r>
        <w:rPr>
          <w:rFonts w:cs="Courier New"/>
          <w:color w:val="000000"/>
          <w:sz w:val="28"/>
          <w:szCs w:val="28"/>
        </w:rPr>
        <w:t>о</w:t>
      </w:r>
      <w:r w:rsidRPr="00FA47D3">
        <w:rPr>
          <w:rFonts w:cs="Courier New"/>
          <w:color w:val="000000"/>
          <w:sz w:val="28"/>
          <w:szCs w:val="28"/>
        </w:rPr>
        <w:t xml:space="preserve"> в соответствии со Стратегией социально-экономического развития города Ханты-Мансийска  до 2020 года и на период до 2030 года. </w:t>
      </w:r>
    </w:p>
    <w:p w:rsidR="0045392B" w:rsidRPr="00FA47D3" w:rsidRDefault="0045392B" w:rsidP="0045392B">
      <w:pPr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FA47D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ой</w:t>
      </w:r>
      <w:r w:rsidRPr="00FA47D3">
        <w:rPr>
          <w:color w:val="000000"/>
          <w:sz w:val="28"/>
          <w:szCs w:val="28"/>
        </w:rPr>
        <w:t xml:space="preserve"> </w:t>
      </w:r>
      <w:r w:rsidRPr="00FA47D3">
        <w:rPr>
          <w:rFonts w:cs="Courier New"/>
          <w:color w:val="000000"/>
          <w:sz w:val="28"/>
          <w:szCs w:val="28"/>
        </w:rPr>
        <w:t>предусмотрено достижение трех целей:</w:t>
      </w:r>
    </w:p>
    <w:p w:rsidR="0045392B" w:rsidRPr="00FA47D3" w:rsidRDefault="0045392B" w:rsidP="0045392B">
      <w:pPr>
        <w:framePr w:hSpace="180" w:wrap="around" w:vAnchor="text" w:hAnchor="margin" w:xAlign="center" w:y="125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1.Повышение роли предпринимательства в экономике города Ханты-Мансийска, обеспечение продовольственной безопасности.</w:t>
      </w:r>
    </w:p>
    <w:p w:rsidR="0045392B" w:rsidRPr="00FA47D3" w:rsidRDefault="0045392B" w:rsidP="0045392B">
      <w:pPr>
        <w:framePr w:hSpace="180" w:wrap="around" w:vAnchor="text" w:hAnchor="margin" w:xAlign="center" w:y="125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2.Повышение инвестиционной активности на территории города Ханты-Мансийска.</w:t>
      </w:r>
    </w:p>
    <w:p w:rsidR="0045392B" w:rsidRPr="00FA47D3" w:rsidRDefault="0045392B" w:rsidP="0045392B">
      <w:pPr>
        <w:autoSpaceDE w:val="0"/>
        <w:autoSpaceDN w:val="0"/>
        <w:adjustRightInd w:val="0"/>
        <w:ind w:firstLine="709"/>
        <w:jc w:val="both"/>
        <w:rPr>
          <w:rFonts w:cs="Courier New"/>
          <w:color w:val="000000"/>
          <w:sz w:val="28"/>
          <w:szCs w:val="28"/>
        </w:rPr>
      </w:pPr>
      <w:r w:rsidRPr="00FA47D3">
        <w:rPr>
          <w:rFonts w:cs="Courier New"/>
          <w:color w:val="000000"/>
          <w:sz w:val="28"/>
          <w:szCs w:val="28"/>
        </w:rPr>
        <w:t>3.Создание условий труда, обеспечивающих сохранение жизни и здоровья работников в процессе трудовой деятельности.</w:t>
      </w:r>
    </w:p>
    <w:p w:rsidR="0045392B" w:rsidRPr="00FA47D3" w:rsidRDefault="0045392B" w:rsidP="00453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7D3">
        <w:rPr>
          <w:sz w:val="28"/>
          <w:szCs w:val="28"/>
        </w:rPr>
        <w:t>В рамках цели 1 предусмотрена реализация двух подпрограмм:</w:t>
      </w:r>
    </w:p>
    <w:p w:rsidR="0045392B" w:rsidRPr="00FA47D3" w:rsidRDefault="0045392B" w:rsidP="0045392B">
      <w:pPr>
        <w:ind w:firstLine="708"/>
        <w:jc w:val="both"/>
        <w:rPr>
          <w:sz w:val="28"/>
          <w:szCs w:val="28"/>
        </w:rPr>
      </w:pPr>
      <w:r w:rsidRPr="00FA47D3">
        <w:rPr>
          <w:sz w:val="28"/>
          <w:szCs w:val="28"/>
        </w:rPr>
        <w:t>Подпрограмма 1: «Развитие субъектов малого и среднего предпринимательства на территории города Ханты-Мансийска».</w:t>
      </w:r>
    </w:p>
    <w:p w:rsidR="0045392B" w:rsidRPr="00FA47D3" w:rsidRDefault="0045392B" w:rsidP="0045392B">
      <w:pPr>
        <w:ind w:firstLine="708"/>
        <w:jc w:val="both"/>
        <w:rPr>
          <w:sz w:val="28"/>
          <w:szCs w:val="28"/>
        </w:rPr>
      </w:pPr>
      <w:r w:rsidRPr="00FA47D3">
        <w:rPr>
          <w:sz w:val="28"/>
          <w:szCs w:val="28"/>
        </w:rPr>
        <w:t>Подпрограмма 2: «</w:t>
      </w:r>
      <w:r w:rsidRPr="00FA47D3">
        <w:rPr>
          <w:color w:val="000000"/>
          <w:sz w:val="28"/>
          <w:szCs w:val="28"/>
        </w:rPr>
        <w:t>Развитие сельскохозяйственного производства и обеспечение продовольственной безопасности города Ханты-Мансийска</w:t>
      </w:r>
      <w:r w:rsidRPr="00FA47D3">
        <w:rPr>
          <w:sz w:val="28"/>
          <w:szCs w:val="28"/>
        </w:rPr>
        <w:t>».</w:t>
      </w:r>
    </w:p>
    <w:p w:rsidR="0045392B" w:rsidRPr="00FA47D3" w:rsidRDefault="0045392B" w:rsidP="00453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7D3">
        <w:rPr>
          <w:sz w:val="28"/>
          <w:szCs w:val="28"/>
        </w:rPr>
        <w:t>В рамках цели 2 предусмотрена реализация подпрограммы 3 «Развитие инвестиционной деятельности  в городе Ханты-Мансийске».</w:t>
      </w:r>
    </w:p>
    <w:p w:rsidR="0045392B" w:rsidRPr="00FA47D3" w:rsidRDefault="0045392B" w:rsidP="00453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A47D3">
        <w:rPr>
          <w:sz w:val="28"/>
          <w:szCs w:val="28"/>
        </w:rPr>
        <w:t xml:space="preserve">В рамках цели 3 предусмотрена реализация подпрограммы 4 </w:t>
      </w:r>
      <w:r w:rsidRPr="00FA47D3">
        <w:rPr>
          <w:rFonts w:cs="Courier New"/>
          <w:sz w:val="28"/>
          <w:szCs w:val="28"/>
        </w:rPr>
        <w:t>«Улучшение условий и охраны труда в городе Ханты-Мансийске».</w:t>
      </w:r>
    </w:p>
    <w:p w:rsidR="0045392B" w:rsidRPr="00FA47D3" w:rsidRDefault="0045392B" w:rsidP="004539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92B" w:rsidRPr="00FA47D3" w:rsidRDefault="0045392B" w:rsidP="0045392B">
      <w:pPr>
        <w:ind w:firstLine="708"/>
        <w:jc w:val="both"/>
        <w:rPr>
          <w:sz w:val="28"/>
          <w:szCs w:val="28"/>
        </w:rPr>
      </w:pPr>
      <w:r w:rsidRPr="00FA47D3">
        <w:rPr>
          <w:sz w:val="28"/>
          <w:szCs w:val="28"/>
        </w:rPr>
        <w:t>Ожидаемая эффективность от реализации программных мероприятий выражается: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количества субъектов малого и среднего предпринимательства в расчете на 10 тыс. населения с 597 единиц до 623 единиц.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доли налоговых поступлений от субъектов малого и среднего предпринимательства в бюджет муниципального образования с 13,1% до 15,8%.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 xml:space="preserve">Увеличением доли среднесписочной численности работников (без учета внешних совместителей) малых и средних предприятий в </w:t>
      </w:r>
      <w:r w:rsidRPr="00FA47D3">
        <w:rPr>
          <w:color w:val="000000"/>
          <w:sz w:val="28"/>
          <w:szCs w:val="28"/>
        </w:rPr>
        <w:lastRenderedPageBreak/>
        <w:t>среднесписочной численности работников (без учета внешних совместителей) всех предприятий и организаций с 15,3% до17,9%.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Созданием муниципальной организаций инфраструктуры поддержки субъектов малого и среднего предпринимательства.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численности работников списочного состава агропромышленного комплекса с 93 человек до 111 человек.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среднемесячной номинальной заработной платы в сельском хозяйстве (по сельскохозяйственным организациям, не относящимся к субъектам малого предпринимательства) с 46,9 тыс. рублей до 49,3 тыс. рублей.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производства мяса в живом весе с 47,4 тонны до 56,8 тонн.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вылова рыбы с 859,2 тонны до 912,3 тонн.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 xml:space="preserve">Увеличением производства </w:t>
      </w:r>
      <w:proofErr w:type="spellStart"/>
      <w:r w:rsidRPr="00FA47D3">
        <w:rPr>
          <w:color w:val="000000"/>
          <w:sz w:val="28"/>
          <w:szCs w:val="28"/>
        </w:rPr>
        <w:t>рыбопродукции</w:t>
      </w:r>
      <w:proofErr w:type="spellEnd"/>
      <w:r w:rsidRPr="00FA47D3">
        <w:rPr>
          <w:color w:val="000000"/>
          <w:sz w:val="28"/>
          <w:szCs w:val="28"/>
        </w:rPr>
        <w:t xml:space="preserve"> с 724,5 тонны до 771,2 тонны.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заготовки продукции дикоросов с 63,2 тонны до 67,3 тонны.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производства продукции переработки дикоросов с 25,7 тонны до 27,5 тонны.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объема инвестиций в основной капитал с 25 049,3 тыс. рублей до 34 231,7 тыс. рублей.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Уменьшением количества пострадавших от несчастных случаев на производстве с утратой трудоспособности на 1 рабочий день и более с 8 человек до 6 человек.</w:t>
      </w:r>
    </w:p>
    <w:p w:rsidR="0045392B" w:rsidRPr="00FA47D3" w:rsidRDefault="0045392B" w:rsidP="004539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A47D3">
        <w:rPr>
          <w:color w:val="000000"/>
          <w:sz w:val="28"/>
          <w:szCs w:val="28"/>
        </w:rPr>
        <w:t>Увеличением доли организаций охваченных методической помощью по охране труда от общего количества крупных и средних организаций по данным государственной статистики с 58% до 68%.</w:t>
      </w:r>
    </w:p>
    <w:p w:rsidR="0045392B" w:rsidRDefault="0045392B" w:rsidP="0045392B">
      <w:pPr>
        <w:ind w:firstLine="709"/>
        <w:jc w:val="both"/>
        <w:rPr>
          <w:color w:val="000000"/>
          <w:sz w:val="28"/>
          <w:szCs w:val="28"/>
        </w:rPr>
      </w:pPr>
    </w:p>
    <w:p w:rsidR="004D6A64" w:rsidRDefault="004D6A64"/>
    <w:sectPr w:rsidR="004D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448A"/>
    <w:multiLevelType w:val="hybridMultilevel"/>
    <w:tmpl w:val="506A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B"/>
    <w:rsid w:val="0045392B"/>
    <w:rsid w:val="004A0EC4"/>
    <w:rsid w:val="004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92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2B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92B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 Вячеслав Викторович</dc:creator>
  <cp:lastModifiedBy>Воронцов Вячеслав Викторович</cp:lastModifiedBy>
  <cp:revision>2</cp:revision>
  <dcterms:created xsi:type="dcterms:W3CDTF">2016-05-06T08:55:00Z</dcterms:created>
  <dcterms:modified xsi:type="dcterms:W3CDTF">2016-05-06T09:16:00Z</dcterms:modified>
</cp:coreProperties>
</file>