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A" w:rsidRPr="00FE22BA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dst101239"/>
      <w:bookmarkEnd w:id="0"/>
      <w:r w:rsidRPr="00FE22BA">
        <w:rPr>
          <w:rFonts w:ascii="Times New Roman" w:hAnsi="Times New Roman"/>
          <w:b/>
          <w:bCs/>
          <w:sz w:val="24"/>
          <w:szCs w:val="24"/>
          <w:lang w:eastAsia="ru-RU"/>
        </w:rPr>
        <w:t>ПЕРЕЧЕНЬ НОРМАТИВНЫХ ПРАВОВЫХ АКТОВ,</w:t>
      </w:r>
    </w:p>
    <w:p w:rsidR="00FE22BA" w:rsidRPr="00FE22BA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2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жилищного</w:t>
      </w:r>
      <w:r w:rsidRPr="00FE22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контроля на территории города Ханты-Мансийска</w:t>
      </w:r>
    </w:p>
    <w:p w:rsidR="00FE22BA" w:rsidRDefault="00FE22BA" w:rsidP="00FE22BA">
      <w:pPr>
        <w:pStyle w:val="a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22BA" w:rsidRDefault="00FE22BA" w:rsidP="00FE22BA">
      <w:pPr>
        <w:pStyle w:val="a4"/>
        <w:jc w:val="center"/>
        <w:rPr>
          <w:rStyle w:val="hl"/>
        </w:rPr>
      </w:pPr>
      <w:r>
        <w:rPr>
          <w:rStyle w:val="hl"/>
          <w:rFonts w:ascii="Times New Roman" w:hAnsi="Times New Roman"/>
          <w:i/>
          <w:sz w:val="28"/>
          <w:szCs w:val="28"/>
        </w:rPr>
        <w:t xml:space="preserve">1. Федеральные законы, содержащие обязательные требования, соблюдение которых оценивается при проведении мероприятий по контролю при осуществлении </w:t>
      </w:r>
      <w:r>
        <w:rPr>
          <w:rStyle w:val="hl"/>
          <w:rFonts w:ascii="Times New Roman" w:hAnsi="Times New Roman"/>
          <w:i/>
          <w:sz w:val="28"/>
          <w:szCs w:val="28"/>
        </w:rPr>
        <w:t>муниципального</w:t>
      </w:r>
      <w:r>
        <w:rPr>
          <w:rStyle w:val="hl"/>
          <w:rFonts w:ascii="Times New Roman" w:hAnsi="Times New Roman"/>
          <w:i/>
          <w:sz w:val="28"/>
          <w:szCs w:val="28"/>
        </w:rPr>
        <w:t xml:space="preserve"> жилищного </w:t>
      </w:r>
      <w:r w:rsidR="00D46AF9">
        <w:rPr>
          <w:rStyle w:val="hl"/>
          <w:rFonts w:ascii="Times New Roman" w:hAnsi="Times New Roman"/>
          <w:i/>
          <w:sz w:val="28"/>
          <w:szCs w:val="28"/>
        </w:rPr>
        <w:t>контроля.</w:t>
      </w:r>
    </w:p>
    <w:p w:rsidR="00FE22BA" w:rsidRDefault="00FE22BA" w:rsidP="00FE22BA">
      <w:pPr>
        <w:pStyle w:val="a4"/>
        <w:jc w:val="both"/>
        <w:rPr>
          <w:rStyle w:val="hl"/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46A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Жилищного кодекса Российской Федерации,  </w:t>
      </w:r>
      <w:r>
        <w:rPr>
          <w:rFonts w:ascii="Times New Roman" w:hAnsi="Times New Roman"/>
          <w:sz w:val="28"/>
          <w:szCs w:val="28"/>
        </w:rPr>
        <w:t>должны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D46AF9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2522F">
        <w:rPr>
          <w:rFonts w:ascii="Times New Roman" w:hAnsi="Times New Roman"/>
          <w:b/>
          <w:sz w:val="28"/>
          <w:szCs w:val="28"/>
        </w:rPr>
        <w:t>2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E22BA">
        <w:rPr>
          <w:rFonts w:ascii="Times New Roman" w:hAnsi="Times New Roman"/>
          <w:sz w:val="28"/>
          <w:szCs w:val="28"/>
        </w:rPr>
        <w:t>в части статьей 11 (ч.1,9,10), 12 (ч.1-4,7), 13 (ч. 1,2,5,6,12).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Статья 11. Обеспечение энергетической эффективности зданий, строений, сооружений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Здания, строения, сооружения, за исключением указанных в части 5 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несоответствий.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</w:t>
      </w:r>
      <w:r>
        <w:rPr>
          <w:rFonts w:ascii="Times New Roman" w:hAnsi="Times New Roman"/>
          <w:sz w:val="28"/>
          <w:szCs w:val="28"/>
        </w:rPr>
        <w:lastRenderedPageBreak/>
        <w:t>или возмещения произведенных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Статья 12.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 энергетической эффективности вводимого в эксплуатацию многоквартирного дома указывается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</w:t>
      </w:r>
      <w:r>
        <w:rPr>
          <w:rFonts w:ascii="Times New Roman" w:hAnsi="Times New Roman"/>
          <w:sz w:val="28"/>
          <w:szCs w:val="28"/>
        </w:rPr>
        <w:lastRenderedPageBreak/>
        <w:t>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  <w:proofErr w:type="gramStart"/>
      <w:r>
        <w:rPr>
          <w:rFonts w:ascii="Times New Roman" w:hAnsi="Times New Roman"/>
          <w:sz w:val="28"/>
          <w:szCs w:val="28"/>
        </w:rPr>
        <w:t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Собственники помещений в многоквартирном доме обязаны нести расходы на проведение указанных мероприятий.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 настоящей статьи в </w:t>
      </w:r>
      <w:r>
        <w:rPr>
          <w:rFonts w:ascii="Times New Roman" w:hAnsi="Times New Roman"/>
          <w:sz w:val="28"/>
          <w:szCs w:val="28"/>
        </w:rPr>
        <w:lastRenderedPageBreak/>
        <w:t>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организации </w:t>
      </w:r>
      <w:proofErr w:type="gramStart"/>
      <w:r>
        <w:rPr>
          <w:rFonts w:ascii="Times New Roman" w:hAnsi="Times New Roman"/>
          <w:sz w:val="28"/>
          <w:szCs w:val="28"/>
        </w:rPr>
        <w:t>учета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лицам. 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либо максимальный объем потребления природного </w:t>
      </w:r>
      <w:proofErr w:type="gramStart"/>
      <w:r>
        <w:rPr>
          <w:rFonts w:ascii="Times New Roman" w:hAnsi="Times New Roman"/>
          <w:sz w:val="28"/>
          <w:szCs w:val="28"/>
        </w:rPr>
        <w:t>газа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составляет менее чем два кубических метра в час (в отношении организации учета используемого природного газа).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</w:t>
      </w:r>
      <w:proofErr w:type="gramStart"/>
      <w:r>
        <w:rPr>
          <w:rFonts w:ascii="Times New Roman" w:hAnsi="Times New Roman"/>
          <w:sz w:val="28"/>
          <w:szCs w:val="28"/>
        </w:rPr>
        <w:t>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</w:t>
      </w:r>
      <w:proofErr w:type="gramEnd"/>
      <w:r>
        <w:rPr>
          <w:rFonts w:ascii="Times New Roman" w:hAnsi="Times New Roman"/>
          <w:sz w:val="28"/>
          <w:szCs w:val="28"/>
        </w:rPr>
        <w:t xml:space="preserve"> 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(контракта). До установки приборов </w:t>
      </w:r>
      <w:r>
        <w:rPr>
          <w:rFonts w:ascii="Times New Roman" w:hAnsi="Times New Roman"/>
          <w:sz w:val="28"/>
          <w:szCs w:val="28"/>
        </w:rPr>
        <w:lastRenderedPageBreak/>
        <w:t xml:space="preserve">учета используемых энергетических ресурсов, а также при выходе из строя, утрате или по истечении </w:t>
      </w:r>
      <w:proofErr w:type="gramStart"/>
      <w:r>
        <w:rPr>
          <w:rFonts w:ascii="Times New Roman" w:hAnsi="Times New Roman"/>
          <w:sz w:val="28"/>
          <w:szCs w:val="28"/>
        </w:rPr>
        <w:t>срока эксплуатации приборов учета используемых энергетических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расчеты за энергетические ресурсы должны осуществляться с применением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До 1 января 2012 года, а для Республики Крым и города федерального значения Севастополя до 1 января 2019 года (в отношении объектов, предусмотренных частями 3 и 4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частями 5 и 6 настоящей статьи, в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</w:t>
      </w:r>
      <w:r>
        <w:rPr>
          <w:rFonts w:ascii="Times New Roman" w:hAnsi="Times New Roman"/>
          <w:sz w:val="28"/>
          <w:szCs w:val="28"/>
        </w:rPr>
        <w:lastRenderedPageBreak/>
        <w:t>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частями 3 - 7 настоящей статьи, максимальный объем потребления тепловой энергии 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менее чем две десятых </w:t>
      </w:r>
      <w:proofErr w:type="spellStart"/>
      <w:r>
        <w:rPr>
          <w:rFonts w:ascii="Times New Roman" w:hAnsi="Times New Roman"/>
          <w:sz w:val="28"/>
          <w:szCs w:val="28"/>
        </w:rPr>
        <w:t>гигакалории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час) и до 1 января 2019 года, а для Республики Крым и города федерального значения Севастополя до 1 января 2021 года (в отношении объектов, предусмотренных частями 5.1 и 6.1 настоящей статьи, в части оснащения их приборами учета используемого природного газа) организации, указанные в части 9 настоящей статьи, обязаны совершить действия по оснащению приборами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частей 3 - 6.1 и 8 настоящей статьи не были оснащены приборами учета используемых энергетических ресурсов в установленный срок.</w:t>
      </w:r>
      <w:proofErr w:type="gramEnd"/>
      <w:r>
        <w:rPr>
          <w:rFonts w:ascii="Times New Roman" w:hAnsi="Times New Roman"/>
          <w:sz w:val="28"/>
          <w:szCs w:val="28"/>
        </w:rPr>
        <w:t xml:space="preserve">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домах, не исполнившие в установленный срок обязанностей, предусмотренных частями 5 - 6.1 и 8 настоящей статьи, если это потребовало от указанных организаций совершения </w:t>
      </w:r>
      <w:proofErr w:type="gramStart"/>
      <w:r>
        <w:rPr>
          <w:rFonts w:ascii="Times New Roman" w:hAnsi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</w:t>
      </w:r>
      <w:proofErr w:type="gramStart"/>
      <w:r>
        <w:rPr>
          <w:rFonts w:ascii="Times New Roman" w:hAnsi="Times New Roman"/>
          <w:sz w:val="28"/>
          <w:szCs w:val="28"/>
        </w:rPr>
        <w:t>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1 января 2012 года, а для Республики Крым и города федерального значения Севастополя после 1 января 2019 года (в отношении объектов, указанных в частях 3 и 4 </w:t>
      </w:r>
      <w:r>
        <w:rPr>
          <w:rFonts w:ascii="Times New Roman" w:hAnsi="Times New Roman"/>
          <w:sz w:val="28"/>
          <w:szCs w:val="28"/>
        </w:rPr>
        <w:lastRenderedPageBreak/>
        <w:t>настоящей статьи, и введенных в эксплуатацию после дня вступления в силу настоящего Федерального закона аналогичных объектов), после 1 июля 2013 года, а для Республики Крым и города федерального значения Севастополя после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января 2019 года (в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</w:t>
      </w:r>
      <w:proofErr w:type="gramEnd"/>
      <w:r>
        <w:rPr>
          <w:rFonts w:ascii="Times New Roman" w:hAnsi="Times New Roman"/>
          <w:sz w:val="28"/>
          <w:szCs w:val="28"/>
        </w:rPr>
        <w:t xml:space="preserve"> (для коммунальных квартир) приборами учета используемых воды, электрической энергии), после 1 января 2021 года (в отношении объектов, предусмотренных частями 3 - 7 настоящей статьи, максимальный объем потребления тепловой </w:t>
      </w:r>
      <w:proofErr w:type="gramStart"/>
      <w:r>
        <w:rPr>
          <w:rFonts w:ascii="Times New Roman" w:hAnsi="Times New Roman"/>
          <w:sz w:val="28"/>
          <w:szCs w:val="28"/>
        </w:rPr>
        <w:t>энергии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составляет менее чем две десятых </w:t>
      </w:r>
      <w:proofErr w:type="spellStart"/>
      <w:r>
        <w:rPr>
          <w:rFonts w:ascii="Times New Roman" w:hAnsi="Times New Roman"/>
          <w:sz w:val="28"/>
          <w:szCs w:val="28"/>
        </w:rPr>
        <w:t>гигакалории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час, и введенных в эксплуатацию после дня вступления в силу настоящего Федерального закона аналогичных объектов) и после 1 января 2019 года, а для Республики </w:t>
      </w:r>
      <w:proofErr w:type="gramStart"/>
      <w:r>
        <w:rPr>
          <w:rFonts w:ascii="Times New Roman" w:hAnsi="Times New Roman"/>
          <w:sz w:val="28"/>
          <w:szCs w:val="28"/>
        </w:rPr>
        <w:t>Крым и города федерального значения Севастополя после 1 января 2021 года (в отношении предусмотренных частями 5.1 и 6.1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об учете используемых энергетических ресурсов с применением приборов их учета и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нарушений совершившим их лицом до истечения двух месяцев с момента их выявления. 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</w:t>
      </w:r>
      <w:proofErr w:type="spellStart"/>
      <w:r>
        <w:rPr>
          <w:rFonts w:ascii="Times New Roman" w:hAnsi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42522F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21.07.2014 № 209-ФЗ «О государственной информационной системе жилищно-коммунального хозяйства», </w:t>
      </w:r>
      <w:r w:rsidR="00FE22BA">
        <w:rPr>
          <w:rFonts w:ascii="Times New Roman" w:hAnsi="Times New Roman"/>
          <w:sz w:val="28"/>
          <w:szCs w:val="28"/>
        </w:rPr>
        <w:t>в части применения положений пункта 2 части 1 статьи 6, п.16, 18 ст. 7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Указы Президента Российской Федерации, постановления и распоряжения Правительства Российской Федерации.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Постановление Правительства Российской Федерации от 15.05.2013 № 416 «О порядке осуществления деятельности по управлению многоквартирными домами», 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РФ от 14.02.2012 № 124 «О правилах, обязательных при заключении договоров снабжения коммунальными ресурсами»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организациями"),</w:t>
      </w:r>
      <w:r>
        <w:rPr>
          <w:rFonts w:ascii="Times New Roman" w:hAnsi="Times New Roman"/>
          <w:sz w:val="28"/>
          <w:szCs w:val="28"/>
        </w:rPr>
        <w:t xml:space="preserve"> пункты 21, 21 (1), 22, 25, 25 (1), 25 (2), 26,27,30 и 32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Постановление Правительства РФ от 30.04.2014 № 400 «О формировании индексов изменения размера платы граждан за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коммунальные услуги в Российской Федерации» (вместе с "Основами формирования индексов изменения размера платы граждан за коммунальные услуги в Российской Федерации"), </w:t>
      </w:r>
      <w:r>
        <w:rPr>
          <w:rFonts w:ascii="Times New Roman" w:hAnsi="Times New Roman"/>
          <w:sz w:val="28"/>
          <w:szCs w:val="28"/>
        </w:rPr>
        <w:t>в части пунктов 4-8, 10, 63.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Пункт 4. </w:t>
      </w:r>
      <w:r>
        <w:rPr>
          <w:rFonts w:ascii="Times New Roman" w:hAnsi="Times New Roman"/>
          <w:sz w:val="28"/>
          <w:szCs w:val="28"/>
        </w:rPr>
        <w:t xml:space="preserve">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услуг, а также из принципа неизменности набора и объема потребляемых коммунальных услуг. </w:t>
      </w:r>
      <w:proofErr w:type="gramStart"/>
      <w:r>
        <w:rPr>
          <w:rFonts w:ascii="Times New Roman" w:hAnsi="Times New Roman"/>
          <w:sz w:val="28"/>
          <w:szCs w:val="28"/>
        </w:rPr>
        <w:t>При этом учитывается изменение объема потребляемых коммунальных услуг, которое обусловлено изменением нормативов накопления твердых коммунальных отходов и нормативов потребления коммунальных услуг, за исключением изменения нормативов потребления коммунальной услуги по отоплению после 1 января 2015 г., обусловленного переходом от расчета указанного норматива на 12 месяцев к его расчету на период, равный продолжительности отопительного периода.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перехода к расчету за коммунальные услуги с использованием приборов учета объем потребления коммунальных услуг при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применении предельных индексов и индексов по субъектам Российской Федерации в сравниваемых периодах (месяцах) принимается равным нормативу, действующему в базовом периоде (декабре предыдущего календарного года).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Пункт 5. </w:t>
      </w:r>
      <w:r>
        <w:rPr>
          <w:rFonts w:ascii="Times New Roman" w:hAnsi="Times New Roman"/>
          <w:sz w:val="28"/>
          <w:szCs w:val="28"/>
        </w:rPr>
        <w:t xml:space="preserve">При применении и расчете предельных индексов и индексов по субъектам Российской Федерации не подлежит учету разница в размере платежей, возникающая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изменения набора коммунальных услуг;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изменения размера платы граждан за коммунальные услуги,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изменения объемов предоставления гражданам субсидий, предусмотренных статьей 159 Жилищного кодекса Российской Федерации, и мер социальной поддержки по оплате коммунальных услуг, предоставляемой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самоуправления, за исключением мер дополнительной социальной поддержки за счет средств бюджета субъекта Российской Федерации и бюджета муниципального образования, 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соблюдение установленных предельных индексов;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изменения фактических объемов потребления в результате проведения в порядке, установленном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перехода после 1 января 2015 г.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Пункт 6. </w:t>
      </w:r>
      <w:r>
        <w:rPr>
          <w:rFonts w:ascii="Times New Roman" w:hAnsi="Times New Roman"/>
          <w:sz w:val="28"/>
          <w:szCs w:val="28"/>
        </w:rPr>
        <w:t>Объемы коммунальных услуг, численность населения (граждан) и общая площадь жилого помещения в сравниваемых периодах (месяцах) приводятся к единому значению базового периода (декабря).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Пункт 7. </w:t>
      </w:r>
      <w:r>
        <w:rPr>
          <w:rFonts w:ascii="Times New Roman" w:hAnsi="Times New Roman"/>
          <w:sz w:val="28"/>
          <w:szCs w:val="28"/>
        </w:rPr>
        <w:t>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периода, на который устанавливаются предельные индексы.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д) Пункт 8. </w:t>
      </w:r>
      <w:r>
        <w:rPr>
          <w:rFonts w:ascii="Times New Roman" w:hAnsi="Times New Roman"/>
          <w:sz w:val="28"/>
          <w:szCs w:val="28"/>
        </w:rPr>
        <w:t>Предельные индексы на первый год долгосрочного периода устанавливаются в виде значений, выраженных в процентах, и могут быть установлены с календарной разбивкой, а также могут дифференцироваться: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типу отопления жилых помещений (централизованное отопление, децентрализованное отопление с использованием природного газа, сжиженного газа, жидкого топлива, печного и </w:t>
      </w:r>
      <w:proofErr w:type="spellStart"/>
      <w:r>
        <w:rPr>
          <w:rFonts w:ascii="Times New Roman" w:hAnsi="Times New Roman"/>
          <w:sz w:val="28"/>
          <w:szCs w:val="28"/>
        </w:rPr>
        <w:t>электроотопления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степени благоустройства многоквартирных домов (жилых домов);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системам водоснабжения и водоотведения, а также по системам централизованного теплоснабжения.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и последующие годы долгосрочного периода предельные индексы устанавливаются в виде формулы.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е) Пункт 10. </w:t>
      </w:r>
      <w:proofErr w:type="gramStart"/>
      <w:r>
        <w:rPr>
          <w:rFonts w:ascii="Times New Roman" w:hAnsi="Times New Roman"/>
          <w:sz w:val="28"/>
          <w:szCs w:val="28"/>
        </w:rPr>
        <w:t>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Федерации.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предельных индексов должно обеспечивать изменение размера вносимой гражданами платы </w:t>
      </w:r>
      <w:proofErr w:type="gramStart"/>
      <w:r>
        <w:rPr>
          <w:rFonts w:ascii="Times New Roman" w:hAnsi="Times New Roman"/>
          <w:sz w:val="28"/>
          <w:szCs w:val="28"/>
        </w:rPr>
        <w:t>за коммунальные услуги в каждом месяце текущего года долгосрочного периода по отношению к размеру вносимой гражданами платы за коммунальные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в декабре предшествующего </w:t>
      </w:r>
      <w:r>
        <w:rPr>
          <w:rFonts w:ascii="Times New Roman" w:hAnsi="Times New Roman"/>
          <w:sz w:val="28"/>
          <w:szCs w:val="28"/>
        </w:rPr>
        <w:lastRenderedPageBreak/>
        <w:t>календарного года не более чем на установленную величину предельного индекса.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долгосрочном периоде размер вносимой гражданами платы за коммунальные услуги в каждом месяце с 1 июля 2014 г. до 31 декабря 2014 г. сравнивается с размером вносимой гражданами платы за коммунальные услуги в июне 2014 г.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ж) Пункт 63. </w:t>
      </w:r>
      <w:r>
        <w:rPr>
          <w:rFonts w:ascii="Times New Roman" w:hAnsi="Times New Roman"/>
          <w:sz w:val="28"/>
          <w:szCs w:val="28"/>
        </w:rPr>
        <w:t>Факт превышения установленного предельного индекса определяется в отношении фактического размера платы гражданина за коммунальные услуги, отраженного в платежном документе (платежных документах), на основании которого (которых) вносится плата за коммунальные услуги, предоставленные собственникам или пользователям соответствующего жилого помещения. В ценовых зонах теплоснабжения, определенных в соответствии с Федеральным законом "О теплоснабжении",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(мощность), утверждаемых в соответствии с Федеральным законом «О теплоснабжении».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Величина превышения темпов изменения (прироста)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условий, указанных в пунктах 4 - 7, 10 и 37 - 40 настоящего документа.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домов», </w:t>
      </w:r>
      <w:r>
        <w:rPr>
          <w:rFonts w:ascii="Times New Roman" w:hAnsi="Times New Roman"/>
          <w:bCs/>
          <w:sz w:val="28"/>
          <w:szCs w:val="28"/>
        </w:rPr>
        <w:t>в части пунктов 7, 8, 10,11,13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а) Пункт 7</w:t>
      </w:r>
      <w:r>
        <w:rPr>
          <w:rFonts w:ascii="Times New Roman" w:hAnsi="Times New Roman"/>
          <w:sz w:val="28"/>
          <w:szCs w:val="28"/>
        </w:rPr>
        <w:t>. К показателям, характеризующим выполнение требований энергетической эффективности, относятся: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Пункт 8.</w:t>
      </w:r>
      <w:r>
        <w:rPr>
          <w:rFonts w:ascii="Times New Roman" w:hAnsi="Times New Roman"/>
          <w:sz w:val="28"/>
          <w:szCs w:val="28"/>
        </w:rPr>
        <w:t xml:space="preserve">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требования к архитектурным, функционально-технологическим, конструктивным и инженерно-техническим решениям;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требования к эксплуатационным свойствам отдельных элементов и конструкций зданий, строений, сооружений;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Пункт 10. </w:t>
      </w:r>
      <w:r>
        <w:rPr>
          <w:rFonts w:ascii="Times New Roman" w:hAnsi="Times New Roman"/>
          <w:sz w:val="28"/>
          <w:szCs w:val="28"/>
        </w:rPr>
        <w:t>Показатели, указанные в пункте 7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законодательством Российской Федерации.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Пункт 11. </w:t>
      </w:r>
      <w:r>
        <w:rPr>
          <w:rFonts w:ascii="Times New Roman" w:hAnsi="Times New Roman"/>
          <w:sz w:val="28"/>
          <w:szCs w:val="28"/>
        </w:rPr>
        <w:t>Показатели энергетической эффективности, указанные в пункте 7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rPr>
          <w:rFonts w:ascii="Times New Roman" w:hAnsi="Times New Roman"/>
          <w:sz w:val="28"/>
          <w:szCs w:val="28"/>
        </w:rPr>
        <w:t>строительного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категории здания, строения, сооружения.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Пункт 13.</w:t>
      </w:r>
      <w:r>
        <w:rPr>
          <w:rFonts w:ascii="Times New Roman" w:hAnsi="Times New Roman"/>
          <w:sz w:val="28"/>
          <w:szCs w:val="28"/>
        </w:rPr>
        <w:t xml:space="preserve">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пункте 7 настоящих Правил, составляет не менее 5 лет </w:t>
      </w:r>
      <w:proofErr w:type="gramStart"/>
      <w:r>
        <w:rPr>
          <w:rFonts w:ascii="Times New Roman" w:hAnsi="Times New Roman"/>
          <w:sz w:val="28"/>
          <w:szCs w:val="28"/>
        </w:rPr>
        <w:t>с даты ввода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пункте 7 настоящих Правил, в течение не менее чем первых 10 лет эксплуатации. </w:t>
      </w:r>
      <w:proofErr w:type="gramStart"/>
      <w:r>
        <w:rPr>
          <w:rFonts w:ascii="Times New Roman" w:hAnsi="Times New Roman"/>
          <w:sz w:val="28"/>
          <w:szCs w:val="28"/>
        </w:rPr>
        <w:t>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</w:t>
      </w:r>
      <w:r>
        <w:rPr>
          <w:rFonts w:ascii="Times New Roman" w:hAnsi="Times New Roman"/>
          <w:sz w:val="28"/>
          <w:szCs w:val="28"/>
        </w:rPr>
        <w:lastRenderedPageBreak/>
        <w:t>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реже чем 1 раз</w:t>
      </w:r>
      <w:proofErr w:type="gramEnd"/>
      <w:r>
        <w:rPr>
          <w:rFonts w:ascii="Times New Roman" w:hAnsi="Times New Roman"/>
          <w:sz w:val="28"/>
          <w:szCs w:val="28"/>
        </w:rPr>
        <w:t xml:space="preserve"> в 5 лет. </w:t>
      </w:r>
      <w:proofErr w:type="gramStart"/>
      <w:r>
        <w:rPr>
          <w:rFonts w:ascii="Times New Roman" w:hAnsi="Times New Roman"/>
          <w:sz w:val="28"/>
          <w:szCs w:val="28"/>
        </w:rPr>
        <w:t>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Постановление Правительства РФ от 21.01.2006 № 25 «Об утверждении Правил пользования жилыми помещениями»,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 Постановление Госстроя России от 27.09.2003 № 170 «Об утверждении Правил и норм технической эксплуатации жилищного фонда»,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09.04.2012 № 162 «Об утверждении Порядка осуществления уполномоченными органами исполнительной власти субъектов Российской Федерации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02.04.2013 № 124 «Об утверждении Регламента раскрытия информации организациями,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многоквартирными», </w:t>
      </w:r>
      <w:proofErr w:type="gramStart"/>
      <w:r>
        <w:rPr>
          <w:rFonts w:ascii="Times New Roman" w:hAnsi="Times New Roman"/>
          <w:sz w:val="28"/>
          <w:szCs w:val="28"/>
        </w:rPr>
        <w:t>долен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Приказ Минстроя России от 26.01.2018 N 43/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Приказ Минстроя России от 06.06.2016 № 399/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№ 3 к приказу Министерства регионального развития Российской Федерации от 29 декабря 2011 г. № 627.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3.7. «Правила пользования газом в быту» (утв. Приказом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Росстройгазификация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от 26.04.1990 №86-П).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3.8. «ГОСТ 30494-2011. Межгосударственный стандарт. Здания жилые и общественные. Параметры микроклимата в помещениях» (введен в действие Приказом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12.07.2012 № 191-ст), </w:t>
      </w:r>
      <w:r>
        <w:rPr>
          <w:rFonts w:ascii="Times New Roman" w:hAnsi="Times New Roman"/>
          <w:bCs/>
          <w:sz w:val="28"/>
          <w:szCs w:val="28"/>
        </w:rPr>
        <w:t>в части пункта 4.4. (таблица 1), пункты 4.6, 4.7, раздел 6.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а) Пункт 4.4.</w:t>
      </w:r>
      <w:r>
        <w:rPr>
          <w:rFonts w:ascii="Times New Roman" w:hAnsi="Times New Roman"/>
          <w:bCs/>
          <w:sz w:val="28"/>
          <w:szCs w:val="28"/>
        </w:rPr>
        <w:t xml:space="preserve"> Оптимальные и допустимые параметры микроклимата в обслуживаемой зоне помещений жилых (в том числе общежитий), детских дошкольных учреждений, общественных, административных и бытовых зданий следует принимать для соответствующего периода года в пределах значений параметров, приведенных в таблице 1.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б) Пункт 4.6.  </w:t>
      </w:r>
      <w:r>
        <w:rPr>
          <w:rFonts w:ascii="Times New Roman" w:hAnsi="Times New Roman"/>
          <w:bCs/>
          <w:sz w:val="28"/>
          <w:szCs w:val="28"/>
        </w:rPr>
        <w:t>При обеспечении показателей микроклимата в различных точках обслуживаемой зоны допускается: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перепад температуры воздуха не более 2 °C для оптимальных показателей и 3 °C - для допустимых;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перепад результирующей температуры помещения по высоте обслуживаемой зоны - не более 2 °C;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изменение скорости движения воздуха - не более 0,07 м/с для оптимальных показателей и 0,1 м/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для допустимых;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изменение относительной влажности воздуха - не более 7% для оптимальных показателей и 15% - для допустимых.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в) Пункт 4.7.</w:t>
      </w:r>
      <w:r>
        <w:rPr>
          <w:rFonts w:ascii="Times New Roman" w:hAnsi="Times New Roman"/>
          <w:bCs/>
          <w:sz w:val="28"/>
          <w:szCs w:val="28"/>
        </w:rPr>
        <w:t xml:space="preserve"> В жилых и общественных зданиях согласно нормативно-техническим документам &lt;*&gt; в холодный период года в нерабочее время допускается снижать показатели микроклимата, принимая температуру воздуха ниже </w:t>
      </w:r>
      <w:proofErr w:type="gramStart"/>
      <w:r>
        <w:rPr>
          <w:rFonts w:ascii="Times New Roman" w:hAnsi="Times New Roman"/>
          <w:bCs/>
          <w:sz w:val="28"/>
          <w:szCs w:val="28"/>
        </w:rPr>
        <w:t>нормируемой</w:t>
      </w:r>
      <w:proofErr w:type="gramEnd"/>
      <w:r>
        <w:rPr>
          <w:rFonts w:ascii="Times New Roman" w:hAnsi="Times New Roman"/>
          <w:bCs/>
          <w:sz w:val="28"/>
          <w:szCs w:val="28"/>
        </w:rPr>
        <w:t>, но не ниже: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- 15 °C - в жилых помещениях;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- 12 °C - в помещениях общественных, административных и бытовых.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Нормируемая температура должна быть обеспечена к началу использования.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</w:t>
      </w:r>
      <w:r>
        <w:rPr>
          <w:rFonts w:ascii="Times New Roman" w:hAnsi="Times New Roman"/>
          <w:b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22.07.2013 № 400-ст «О введении в действие межгосударственного стандарта», </w:t>
      </w:r>
      <w:r>
        <w:rPr>
          <w:rFonts w:ascii="Times New Roman" w:hAnsi="Times New Roman"/>
          <w:sz w:val="28"/>
          <w:szCs w:val="28"/>
        </w:rPr>
        <w:t>в части раздела 4.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Показатели и нормы качества электрической энергии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РФ от 24.12.2010 № 778 «Об утверждении свода правил «СНиП 31-01-2003 «Здания жилые многоквартирные», </w:t>
      </w:r>
      <w:r>
        <w:rPr>
          <w:rFonts w:ascii="Times New Roman" w:hAnsi="Times New Roman"/>
          <w:sz w:val="28"/>
          <w:szCs w:val="28"/>
        </w:rPr>
        <w:t>в части пункта 9.2.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9.2.</w:t>
      </w:r>
      <w:r>
        <w:rPr>
          <w:rFonts w:ascii="Times New Roman" w:hAnsi="Times New Roman"/>
          <w:sz w:val="28"/>
          <w:szCs w:val="28"/>
        </w:rPr>
        <w:t xml:space="preserve"> Расчетные параметры воздуха в помещениях жилого дома следует принимать по СП 60.13330 и с учетом оптимальных норм ГОСТ 30494. Кратность воздухообмена в помещениях в режиме обслуживания следует принимать в соответствии с таблицей 9.1.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30.06.2012 № 265 «Об утверждении свода правил «СНиП 23-02-2003 «Тепловая защита зданий», </w:t>
      </w:r>
      <w:r>
        <w:rPr>
          <w:rFonts w:ascii="Times New Roman" w:hAnsi="Times New Roman"/>
          <w:sz w:val="28"/>
          <w:szCs w:val="28"/>
        </w:rPr>
        <w:t>в части пунктов  5.2 (таблица 5) , 5.7.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3.12. Приказ Минстроя России от 30.12.2015 № 965/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3.13. Приказ Минстроя России от 25.12.2015 №937/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</w:t>
      </w:r>
      <w:r>
        <w:rPr>
          <w:rFonts w:ascii="Times New Roman" w:hAnsi="Times New Roman"/>
          <w:sz w:val="28"/>
          <w:szCs w:val="28"/>
        </w:rPr>
        <w:t>в части применения требований к оформлению протоколов общих собраний собственников помещений в многоквартирных домах.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3.14. Приказ Минстроя России от 22.12.2014 № 882/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домами»,</w:t>
      </w:r>
      <w:r>
        <w:rPr>
          <w:rFonts w:ascii="Times New Roman" w:hAnsi="Times New Roman"/>
          <w:sz w:val="28"/>
          <w:szCs w:val="28"/>
        </w:rPr>
        <w:t xml:space="preserve"> в части применения формы раскрытия информации.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3.15. Приказ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России № 368, Минстроя России № 691/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29.09.2015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3.16. Приказ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России №74, Минстроя России  №114/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в части применения раздела 10.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7004C" w:rsidRDefault="00D7004C"/>
    <w:sectPr w:rsidR="00D7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BA"/>
    <w:rsid w:val="0042522F"/>
    <w:rsid w:val="00D46AF9"/>
    <w:rsid w:val="00D7004C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2018-07-31T05:55:00Z</dcterms:created>
  <dcterms:modified xsi:type="dcterms:W3CDTF">2018-07-31T10:13:00Z</dcterms:modified>
</cp:coreProperties>
</file>