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F412E9" w:rsidP="004436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 w:rsidR="003C132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разработано управлением экономического развития и инвестиций Администрации города Ханты-Мансийска </w:t>
      </w:r>
      <w:r w:rsidR="0044364F">
        <w:rPr>
          <w:sz w:val="28"/>
          <w:szCs w:val="28"/>
        </w:rPr>
        <w:t>в</w:t>
      </w:r>
      <w:r w:rsidR="0044364F" w:rsidRPr="00AA2CD2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C1323" w:rsidRPr="003C1323">
        <w:rPr>
          <w:sz w:val="28"/>
          <w:szCs w:val="28"/>
        </w:rPr>
        <w:t>Стратегией социально-экономического развития города Ханты-Мансийска до 2020 года и на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климата:</w:t>
      </w:r>
      <w:bookmarkStart w:id="0" w:name="_GoBack"/>
      <w:bookmarkEnd w:id="0"/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С.А. Наумов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B596-1660-452D-8BFB-591E5171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10</cp:revision>
  <cp:lastPrinted>2016-06-15T06:19:00Z</cp:lastPrinted>
  <dcterms:created xsi:type="dcterms:W3CDTF">2018-04-16T10:53:00Z</dcterms:created>
  <dcterms:modified xsi:type="dcterms:W3CDTF">2019-02-13T06:45:00Z</dcterms:modified>
</cp:coreProperties>
</file>