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3" w:rsidRPr="00456D9E" w:rsidRDefault="00A63B53" w:rsidP="00A63B53">
      <w:pPr>
        <w:tabs>
          <w:tab w:val="left" w:pos="8745"/>
        </w:tabs>
        <w:jc w:val="right"/>
        <w:rPr>
          <w:sz w:val="28"/>
        </w:rPr>
      </w:pPr>
      <w:r w:rsidRPr="00C956C4">
        <w:rPr>
          <w:sz w:val="28"/>
        </w:rPr>
        <w:t>ПРОЕКТ</w:t>
      </w:r>
    </w:p>
    <w:p w:rsidR="00A63B53" w:rsidRDefault="00A63B53" w:rsidP="00F52A00">
      <w:pPr>
        <w:jc w:val="center"/>
      </w:pPr>
      <w:r>
        <w:rPr>
          <w:noProof/>
        </w:rPr>
        <w:drawing>
          <wp:inline distT="0" distB="0" distL="0" distR="0" wp14:anchorId="5636B6BC" wp14:editId="0C0D378C">
            <wp:extent cx="534035" cy="643890"/>
            <wp:effectExtent l="0" t="0" r="0" b="381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53" w:rsidRDefault="00A63B53" w:rsidP="00A63B53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63B53" w:rsidRPr="00C31178" w:rsidRDefault="00A63B53" w:rsidP="00A63B53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A63B53" w:rsidRPr="009047DF" w:rsidRDefault="00A63B53" w:rsidP="00A63B5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A63B53" w:rsidRDefault="00A63B53" w:rsidP="00A63B53">
      <w:pPr>
        <w:ind w:left="284" w:firstLine="964"/>
        <w:jc w:val="both"/>
        <w:rPr>
          <w:sz w:val="28"/>
        </w:rPr>
      </w:pPr>
    </w:p>
    <w:p w:rsidR="00A63B53" w:rsidRDefault="00DA15B2" w:rsidP="00F52A00">
      <w:pPr>
        <w:jc w:val="both"/>
        <w:rPr>
          <w:sz w:val="28"/>
        </w:rPr>
      </w:pPr>
      <w:r>
        <w:rPr>
          <w:sz w:val="28"/>
        </w:rPr>
        <w:t>от  «___»______2019</w:t>
      </w:r>
      <w:r w:rsidR="00A63B53" w:rsidRPr="00C956C4">
        <w:rPr>
          <w:sz w:val="28"/>
        </w:rPr>
        <w:t>г.                                                                         №____</w:t>
      </w:r>
    </w:p>
    <w:p w:rsidR="00F52A00" w:rsidRDefault="00F52A00" w:rsidP="00F52A00">
      <w:pPr>
        <w:jc w:val="both"/>
        <w:rPr>
          <w:sz w:val="28"/>
        </w:rPr>
      </w:pP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A63B53" w:rsidRDefault="00FF2FB5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>от 11.07.2016 №806</w:t>
      </w:r>
      <w:r w:rsidR="00A63B53">
        <w:rPr>
          <w:sz w:val="28"/>
        </w:rPr>
        <w:t xml:space="preserve"> «Об утверждении </w:t>
      </w: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административного регламента предоставления муниципальной услуги «Выдача разрешения </w:t>
      </w:r>
    </w:p>
    <w:p w:rsidR="00FF2FB5" w:rsidRDefault="00A63B53" w:rsidP="00F52A00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>на</w:t>
      </w:r>
      <w:r w:rsidR="00FF2FB5">
        <w:rPr>
          <w:sz w:val="28"/>
        </w:rPr>
        <w:t xml:space="preserve"> ввод объектов в эксплуатацию при осуществлении</w:t>
      </w:r>
    </w:p>
    <w:p w:rsidR="00FF2FB5" w:rsidRDefault="00FF2FB5" w:rsidP="00F52A00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строительства, реконструкции объектов </w:t>
      </w:r>
    </w:p>
    <w:p w:rsidR="00FF2FB5" w:rsidRDefault="00FF2FB5" w:rsidP="00F52A00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капитального строительства, </w:t>
      </w: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</w:t>
      </w:r>
    </w:p>
    <w:p w:rsidR="00FF2FB5" w:rsidRPr="00FF2FB5" w:rsidRDefault="00FF2FB5" w:rsidP="00FF2FB5">
      <w:pPr>
        <w:jc w:val="both"/>
        <w:rPr>
          <w:bCs/>
          <w:sz w:val="28"/>
          <w:szCs w:val="28"/>
          <w:lang w:eastAsia="en-US"/>
        </w:rPr>
      </w:pPr>
      <w:r>
        <w:rPr>
          <w:sz w:val="28"/>
        </w:rPr>
        <w:t xml:space="preserve">территории </w:t>
      </w:r>
      <w:r w:rsidRPr="00FF2FB5">
        <w:rPr>
          <w:bCs/>
          <w:sz w:val="28"/>
          <w:szCs w:val="28"/>
          <w:lang w:eastAsia="en-US"/>
        </w:rPr>
        <w:t xml:space="preserve">муниципального образования </w:t>
      </w:r>
    </w:p>
    <w:p w:rsidR="00FF2FB5" w:rsidRPr="00FF2FB5" w:rsidRDefault="00FF2FB5" w:rsidP="00FF2FB5">
      <w:pPr>
        <w:jc w:val="both"/>
        <w:rPr>
          <w:bCs/>
          <w:sz w:val="28"/>
          <w:szCs w:val="28"/>
          <w:lang w:eastAsia="en-US"/>
        </w:rPr>
      </w:pPr>
      <w:r w:rsidRPr="00FF2FB5">
        <w:rPr>
          <w:bCs/>
          <w:sz w:val="28"/>
          <w:szCs w:val="28"/>
          <w:lang w:eastAsia="en-US"/>
        </w:rPr>
        <w:t>Ханты-Мансийского автономного округа - Югры</w:t>
      </w:r>
    </w:p>
    <w:p w:rsidR="00A63B53" w:rsidRDefault="00FF2FB5" w:rsidP="00FF2FB5">
      <w:pPr>
        <w:tabs>
          <w:tab w:val="left" w:pos="7655"/>
        </w:tabs>
        <w:ind w:right="1700"/>
        <w:rPr>
          <w:sz w:val="28"/>
        </w:rPr>
      </w:pPr>
      <w:r w:rsidRPr="00FF2FB5">
        <w:rPr>
          <w:bCs/>
          <w:sz w:val="28"/>
          <w:szCs w:val="28"/>
          <w:lang w:eastAsia="en-US"/>
        </w:rPr>
        <w:t>городской округ город Ханты-Мансийск</w:t>
      </w:r>
      <w:r w:rsidR="00A63B53">
        <w:rPr>
          <w:sz w:val="28"/>
        </w:rPr>
        <w:t>»</w:t>
      </w:r>
    </w:p>
    <w:p w:rsidR="00F52A00" w:rsidRDefault="00F52A00" w:rsidP="00F52A00">
      <w:pPr>
        <w:tabs>
          <w:tab w:val="left" w:pos="7655"/>
        </w:tabs>
        <w:ind w:right="1700"/>
        <w:rPr>
          <w:sz w:val="28"/>
        </w:rPr>
      </w:pPr>
    </w:p>
    <w:p w:rsidR="00862B81" w:rsidRPr="00862B81" w:rsidRDefault="00862B81" w:rsidP="00862B81">
      <w:pPr>
        <w:ind w:firstLine="709"/>
        <w:jc w:val="both"/>
        <w:rPr>
          <w:sz w:val="28"/>
          <w:szCs w:val="28"/>
        </w:rPr>
      </w:pPr>
      <w:r w:rsidRPr="00862B81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Порядком разработки и принятия административных регламентов предоставления муниципальных услуг, утвержденным распоряжением Администрации города Ханты-Мансийска от 16.04.2019 № 419, руководствуясь ст. 71 Устава города Ханты-Мансийска:</w:t>
      </w:r>
    </w:p>
    <w:p w:rsidR="00A63B53" w:rsidRPr="00450B7D" w:rsidRDefault="00A63B53" w:rsidP="00450B7D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C63DA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Внести  в постановление Администрации города Ханты-Мансийска </w:t>
      </w:r>
      <w:r w:rsidR="00450B7D">
        <w:rPr>
          <w:sz w:val="28"/>
        </w:rPr>
        <w:t>от 11.07.2016 №806</w:t>
      </w:r>
      <w:r>
        <w:rPr>
          <w:sz w:val="28"/>
        </w:rPr>
        <w:t xml:space="preserve"> «</w:t>
      </w:r>
      <w:r w:rsidR="00450B7D" w:rsidRPr="00450B7D">
        <w:rPr>
          <w:sz w:val="28"/>
        </w:rPr>
        <w:t>Об утверждении административного регламента предоставления муниципальной услуги «Выдача разрешения на ввод объектов в эксплуатацию при осуществлении</w:t>
      </w:r>
      <w:r w:rsidR="00450B7D">
        <w:rPr>
          <w:sz w:val="28"/>
        </w:rPr>
        <w:t xml:space="preserve"> </w:t>
      </w:r>
      <w:r w:rsidR="00450B7D" w:rsidRPr="00450B7D">
        <w:rPr>
          <w:sz w:val="28"/>
        </w:rPr>
        <w:t>строительства, реконструкции объектов капитального строительства, расположенных на</w:t>
      </w:r>
      <w:r w:rsidR="00450B7D">
        <w:rPr>
          <w:sz w:val="28"/>
        </w:rPr>
        <w:t xml:space="preserve"> </w:t>
      </w:r>
      <w:r w:rsidR="00450B7D" w:rsidRPr="00450B7D">
        <w:rPr>
          <w:sz w:val="28"/>
        </w:rPr>
        <w:t xml:space="preserve">территории </w:t>
      </w:r>
      <w:r w:rsidR="00450B7D" w:rsidRPr="00450B7D">
        <w:rPr>
          <w:bCs/>
          <w:sz w:val="28"/>
        </w:rPr>
        <w:t xml:space="preserve">муниципального образования Ханты-Мансийского автономного округа </w:t>
      </w:r>
      <w:r w:rsidR="00450B7D">
        <w:rPr>
          <w:bCs/>
          <w:sz w:val="28"/>
        </w:rPr>
        <w:t>–</w:t>
      </w:r>
      <w:r w:rsidR="00450B7D" w:rsidRPr="00450B7D">
        <w:rPr>
          <w:bCs/>
          <w:sz w:val="28"/>
        </w:rPr>
        <w:t xml:space="preserve"> Югры</w:t>
      </w:r>
      <w:r w:rsidR="00450B7D">
        <w:rPr>
          <w:sz w:val="28"/>
        </w:rPr>
        <w:t xml:space="preserve"> </w:t>
      </w:r>
      <w:r w:rsidR="00450B7D" w:rsidRPr="00450B7D">
        <w:rPr>
          <w:bCs/>
          <w:sz w:val="28"/>
        </w:rPr>
        <w:t>городской округ город Ханты-Мансийск</w:t>
      </w:r>
      <w:r>
        <w:rPr>
          <w:sz w:val="28"/>
        </w:rPr>
        <w:t>» (далее - постановление)</w:t>
      </w:r>
      <w:r w:rsidR="002913D6">
        <w:rPr>
          <w:bCs/>
          <w:sz w:val="28"/>
          <w:szCs w:val="28"/>
        </w:rPr>
        <w:t xml:space="preserve"> изменения </w:t>
      </w:r>
      <w:r>
        <w:rPr>
          <w:bCs/>
          <w:sz w:val="28"/>
          <w:szCs w:val="28"/>
        </w:rPr>
        <w:t>согласно прилож</w:t>
      </w:r>
      <w:r w:rsidR="002913D6">
        <w:rPr>
          <w:bCs/>
          <w:sz w:val="28"/>
          <w:szCs w:val="28"/>
        </w:rPr>
        <w:t>ению к настоящему постановлению.</w:t>
      </w:r>
      <w:proofErr w:type="gramEnd"/>
    </w:p>
    <w:p w:rsidR="00F52A00" w:rsidRDefault="00C63DA3" w:rsidP="00F52A00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63B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63B53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2A00" w:rsidRDefault="00F52A00" w:rsidP="00F52A00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A63B53" w:rsidRDefault="00A63B53" w:rsidP="00A63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A63B53" w:rsidRDefault="00A63B53" w:rsidP="00A63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C63DA3" w:rsidRDefault="00C63DA3" w:rsidP="00A63B53">
      <w:pPr>
        <w:shd w:val="clear" w:color="auto" w:fill="FFFFFF"/>
        <w:spacing w:line="317" w:lineRule="exact"/>
        <w:ind w:left="-284" w:right="539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C63DA3" w:rsidRDefault="00C63DA3" w:rsidP="00A63B53">
      <w:pPr>
        <w:shd w:val="clear" w:color="auto" w:fill="FFFFFF"/>
        <w:spacing w:line="317" w:lineRule="exact"/>
        <w:ind w:left="-284" w:right="539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A01234" w:rsidRDefault="00A01234" w:rsidP="00A63B53">
      <w:pPr>
        <w:shd w:val="clear" w:color="auto" w:fill="FFFFFF"/>
        <w:spacing w:line="317" w:lineRule="exact"/>
        <w:ind w:left="-284" w:right="539"/>
        <w:jc w:val="center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FF2FB5" w:rsidRDefault="00FF2FB5" w:rsidP="00862B81">
      <w:pPr>
        <w:shd w:val="clear" w:color="auto" w:fill="FFFFFF"/>
        <w:spacing w:line="317" w:lineRule="exact"/>
        <w:ind w:right="539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2F4D86">
        <w:rPr>
          <w:sz w:val="28"/>
          <w:szCs w:val="28"/>
        </w:rPr>
        <w:lastRenderedPageBreak/>
        <w:t>Приложение</w:t>
      </w:r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r w:rsidRPr="002F4D86">
        <w:rPr>
          <w:sz w:val="28"/>
          <w:szCs w:val="28"/>
        </w:rPr>
        <w:t xml:space="preserve">к Постановлению Администрации </w:t>
      </w:r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r w:rsidRPr="002F4D86">
        <w:rPr>
          <w:sz w:val="28"/>
          <w:szCs w:val="28"/>
        </w:rPr>
        <w:t>города Ханты-Мансийска</w:t>
      </w:r>
    </w:p>
    <w:p w:rsidR="002F4D86" w:rsidRPr="002F4D86" w:rsidRDefault="00450B7D" w:rsidP="002F4D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«___»_____________2019</w:t>
      </w:r>
      <w:r w:rsidR="002F4D86" w:rsidRPr="002F4D86">
        <w:rPr>
          <w:sz w:val="28"/>
          <w:szCs w:val="28"/>
        </w:rPr>
        <w:t xml:space="preserve"> года №___</w:t>
      </w: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  <w:r w:rsidRPr="002F4D86">
        <w:rPr>
          <w:sz w:val="28"/>
          <w:szCs w:val="28"/>
        </w:rPr>
        <w:t>Изменения</w:t>
      </w:r>
    </w:p>
    <w:p w:rsidR="00450B7D" w:rsidRPr="00450B7D" w:rsidRDefault="002F4D86" w:rsidP="00450B7D">
      <w:pPr>
        <w:ind w:firstLine="709"/>
        <w:jc w:val="center"/>
        <w:rPr>
          <w:sz w:val="28"/>
          <w:szCs w:val="28"/>
        </w:rPr>
      </w:pPr>
      <w:r w:rsidRPr="002F4D86">
        <w:rPr>
          <w:sz w:val="28"/>
          <w:szCs w:val="28"/>
        </w:rPr>
        <w:t>в Постановление Администрации города Ха</w:t>
      </w:r>
      <w:r w:rsidR="00450B7D">
        <w:rPr>
          <w:sz w:val="28"/>
          <w:szCs w:val="28"/>
        </w:rPr>
        <w:t>нты-Мансийска от 11.07.2016 №806</w:t>
      </w:r>
      <w:r w:rsidRPr="002F4D86">
        <w:rPr>
          <w:sz w:val="28"/>
          <w:szCs w:val="28"/>
        </w:rPr>
        <w:t xml:space="preserve"> </w:t>
      </w:r>
      <w:r w:rsidR="00450B7D" w:rsidRPr="00450B7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450B7D" w:rsidRPr="00450B7D">
        <w:rPr>
          <w:bCs/>
          <w:sz w:val="28"/>
          <w:szCs w:val="28"/>
        </w:rPr>
        <w:t>муниципального образования Ханты-Мансийского автономного округа – Югры</w:t>
      </w:r>
      <w:r w:rsidR="00450B7D" w:rsidRPr="00450B7D">
        <w:rPr>
          <w:sz w:val="28"/>
          <w:szCs w:val="28"/>
        </w:rPr>
        <w:t xml:space="preserve"> </w:t>
      </w:r>
      <w:r w:rsidR="00450B7D" w:rsidRPr="00450B7D">
        <w:rPr>
          <w:bCs/>
          <w:sz w:val="28"/>
          <w:szCs w:val="28"/>
        </w:rPr>
        <w:t>городской округ город Ханты-Мансийск</w:t>
      </w:r>
      <w:r w:rsidR="00450B7D" w:rsidRPr="00450B7D">
        <w:rPr>
          <w:sz w:val="28"/>
          <w:szCs w:val="28"/>
        </w:rPr>
        <w:t>»</w:t>
      </w:r>
      <w:r w:rsidR="00862B81">
        <w:rPr>
          <w:sz w:val="28"/>
          <w:szCs w:val="28"/>
        </w:rPr>
        <w:t xml:space="preserve"> (далее – Постановление)</w:t>
      </w:r>
    </w:p>
    <w:p w:rsidR="002F4D86" w:rsidRPr="002F4D86" w:rsidRDefault="002F4D86" w:rsidP="00450B7D">
      <w:pPr>
        <w:ind w:firstLine="709"/>
        <w:jc w:val="center"/>
        <w:rPr>
          <w:sz w:val="28"/>
          <w:szCs w:val="28"/>
        </w:rPr>
      </w:pPr>
      <w:r w:rsidRPr="002F4D86">
        <w:rPr>
          <w:sz w:val="28"/>
          <w:szCs w:val="28"/>
        </w:rPr>
        <w:t>.</w:t>
      </w: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</w:p>
    <w:p w:rsidR="002F4D86" w:rsidRPr="002F4D86" w:rsidRDefault="00A01234" w:rsidP="00450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4D86" w:rsidRPr="002F4D86">
        <w:rPr>
          <w:sz w:val="28"/>
          <w:szCs w:val="28"/>
        </w:rPr>
        <w:t>В приложении к Постановлению внести следующие изменения:</w:t>
      </w:r>
    </w:p>
    <w:p w:rsid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1. </w:t>
      </w:r>
      <w:r w:rsidR="00A25B2F">
        <w:rPr>
          <w:rFonts w:eastAsiaTheme="minorHAnsi"/>
          <w:sz w:val="28"/>
          <w:szCs w:val="28"/>
          <w:lang w:eastAsia="en-US"/>
        </w:rPr>
        <w:t>Подпункт 2 п</w:t>
      </w:r>
      <w:r w:rsidRPr="00A01234">
        <w:rPr>
          <w:rFonts w:eastAsiaTheme="minorHAnsi"/>
          <w:sz w:val="28"/>
          <w:szCs w:val="28"/>
          <w:lang w:eastAsia="en-US"/>
        </w:rPr>
        <w:t>ункт</w:t>
      </w:r>
      <w:r w:rsidR="00A25B2F">
        <w:rPr>
          <w:rFonts w:eastAsiaTheme="minorHAnsi"/>
          <w:sz w:val="28"/>
          <w:szCs w:val="28"/>
          <w:lang w:eastAsia="en-US"/>
        </w:rPr>
        <w:t>а 16</w:t>
      </w:r>
      <w:r w:rsidRPr="00A01234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:rsidR="001F3CB8" w:rsidRPr="001F3CB8" w:rsidRDefault="001F3CB8" w:rsidP="001F3C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1F3CB8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в случае, если право не зарегистрировано в Едином государственном реестре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 xml:space="preserve">недвижимости, </w:t>
      </w:r>
      <w:r w:rsidRPr="001F3CB8">
        <w:rPr>
          <w:rFonts w:eastAsiaTheme="minorHAnsi"/>
          <w:bCs/>
          <w:sz w:val="28"/>
          <w:szCs w:val="28"/>
          <w:lang w:eastAsia="en-US"/>
        </w:rPr>
        <w:t>за исключением случая выдачи разрешения на ввод  в</w:t>
      </w:r>
      <w:r w:rsidRPr="001F3CB8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bCs/>
          <w:sz w:val="28"/>
          <w:szCs w:val="28"/>
          <w:lang w:eastAsia="en-US"/>
        </w:rPr>
        <w:t>эксплуатацию линейного объекта, для размещения которого не</w:t>
      </w:r>
      <w:r w:rsidRPr="001F3CB8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bCs/>
          <w:sz w:val="28"/>
          <w:szCs w:val="28"/>
          <w:lang w:eastAsia="en-US"/>
        </w:rPr>
        <w:t>требуется образование земельного участка</w:t>
      </w:r>
      <w:proofErr w:type="gramStart"/>
      <w:r w:rsidRPr="001F3CB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1F3CB8">
        <w:rPr>
          <w:rFonts w:eastAsiaTheme="minorHAnsi"/>
          <w:sz w:val="28"/>
          <w:szCs w:val="28"/>
          <w:lang w:eastAsia="en-US"/>
        </w:rPr>
        <w:t>.</w:t>
      </w:r>
    </w:p>
    <w:p w:rsidR="001F3CB8" w:rsidRPr="001F3CB8" w:rsidRDefault="00692DEB" w:rsidP="001F3C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 </w:t>
      </w:r>
      <w:r w:rsidR="001F3CB8" w:rsidRPr="001F3CB8">
        <w:rPr>
          <w:rFonts w:eastAsiaTheme="minorHAnsi"/>
          <w:sz w:val="28"/>
          <w:szCs w:val="28"/>
          <w:lang w:eastAsia="en-US"/>
        </w:rPr>
        <w:t xml:space="preserve">Абзац 1 пункта 2 изложить в </w:t>
      </w:r>
      <w:r>
        <w:rPr>
          <w:rFonts w:eastAsiaTheme="minorHAnsi"/>
          <w:sz w:val="28"/>
          <w:szCs w:val="28"/>
          <w:lang w:eastAsia="en-US"/>
        </w:rPr>
        <w:t>новой</w:t>
      </w:r>
      <w:r w:rsidR="001F3CB8" w:rsidRPr="001F3CB8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1F3CB8" w:rsidRPr="001F3CB8" w:rsidRDefault="001F3CB8" w:rsidP="00692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CB8">
        <w:rPr>
          <w:rFonts w:eastAsiaTheme="minorHAnsi"/>
          <w:sz w:val="28"/>
          <w:szCs w:val="28"/>
          <w:lang w:eastAsia="en-US"/>
        </w:rPr>
        <w:t xml:space="preserve">«2. </w:t>
      </w:r>
      <w:proofErr w:type="gramStart"/>
      <w:r w:rsidRPr="001F3CB8">
        <w:rPr>
          <w:rFonts w:eastAsiaTheme="minorHAnsi"/>
          <w:sz w:val="28"/>
          <w:szCs w:val="28"/>
          <w:lang w:eastAsia="en-US"/>
        </w:rPr>
        <w:t>Заявителем является застройщик, указанный в пункте 16 статьи 1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- физическое или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юридическое лицо, обеспечивающее на принадлежащем ему земельном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участке или на земельном участке иного правообладателя (которому при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осуществлении бюджетных инвестиций в объекты капитального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строительства государственной (муниципальной) собственности органы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государственной власти (государственные органы), Государственная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корпорация по атомной энергии «</w:t>
      </w:r>
      <w:proofErr w:type="spellStart"/>
      <w:r w:rsidRPr="001F3CB8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1F3CB8">
        <w:rPr>
          <w:rFonts w:eastAsiaTheme="minorHAnsi"/>
          <w:sz w:val="28"/>
          <w:szCs w:val="28"/>
          <w:lang w:eastAsia="en-US"/>
        </w:rPr>
        <w:t>», Государственная корпорация по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космической деятельности «</w:t>
      </w:r>
      <w:proofErr w:type="spellStart"/>
      <w:r w:rsidRPr="001F3CB8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Pr="001F3CB8">
        <w:rPr>
          <w:rFonts w:eastAsiaTheme="minorHAnsi"/>
          <w:sz w:val="28"/>
          <w:szCs w:val="28"/>
          <w:lang w:eastAsia="en-US"/>
        </w:rPr>
        <w:t>», органы управления</w:t>
      </w:r>
      <w:proofErr w:type="gramEnd"/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государственными внебюджетными фондами или органы местного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самоуправления передали в случаях, установленных бюджетным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законодательством Российской Федерации, на основании соглашений свои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полномочия государственного (муниципального) заказчика) строительство,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реконструкцию, капитальный ремонт</w:t>
      </w:r>
      <w:r w:rsidRPr="001F3CB8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2B74E3">
        <w:rPr>
          <w:rFonts w:eastAsiaTheme="minorHAnsi"/>
          <w:bCs/>
          <w:sz w:val="28"/>
          <w:szCs w:val="28"/>
          <w:lang w:eastAsia="en-US"/>
        </w:rPr>
        <w:t>снос</w:t>
      </w:r>
      <w:r w:rsidRPr="001F3CB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объектов капитального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строительства, а также выполнение инженерных изысканий, подготовку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проектной документации для их строительства, реконструкции, капитального</w:t>
      </w:r>
      <w:r w:rsidR="00692DEB">
        <w:rPr>
          <w:rFonts w:eastAsiaTheme="minorHAnsi"/>
          <w:sz w:val="28"/>
          <w:szCs w:val="28"/>
          <w:lang w:eastAsia="en-US"/>
        </w:rPr>
        <w:t xml:space="preserve"> </w:t>
      </w:r>
      <w:r w:rsidRPr="001F3CB8">
        <w:rPr>
          <w:rFonts w:eastAsiaTheme="minorHAnsi"/>
          <w:sz w:val="28"/>
          <w:szCs w:val="28"/>
          <w:lang w:eastAsia="en-US"/>
        </w:rPr>
        <w:t>ремонта</w:t>
      </w:r>
      <w:proofErr w:type="gramStart"/>
      <w:r w:rsidRPr="001F3CB8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F3CB8" w:rsidRPr="001F3CB8" w:rsidRDefault="00692DEB" w:rsidP="001F3C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3) П</w:t>
      </w:r>
      <w:r w:rsidR="001F3CB8" w:rsidRPr="001F3CB8">
        <w:rPr>
          <w:rFonts w:eastAsiaTheme="minorHAnsi"/>
          <w:sz w:val="28"/>
          <w:szCs w:val="28"/>
          <w:lang w:eastAsia="en-US"/>
        </w:rPr>
        <w:t>одпункт 2 пункта 17 изложить в следующей редакции:</w:t>
      </w:r>
    </w:p>
    <w:p w:rsidR="001F3CB8" w:rsidRPr="00692DEB" w:rsidRDefault="001F3CB8" w:rsidP="00692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3CB8">
        <w:rPr>
          <w:rFonts w:eastAsiaTheme="minorHAnsi"/>
          <w:sz w:val="28"/>
          <w:szCs w:val="28"/>
          <w:lang w:eastAsia="en-US"/>
        </w:rPr>
        <w:t xml:space="preserve">«2) </w:t>
      </w:r>
      <w:r w:rsidRPr="00692DEB"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sz w:val="28"/>
          <w:szCs w:val="28"/>
          <w:lang w:eastAsia="en-US"/>
        </w:rPr>
        <w:t>получения разрешения на строительство, или в случае строительства,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sz w:val="28"/>
          <w:szCs w:val="28"/>
          <w:lang w:eastAsia="en-US"/>
        </w:rPr>
        <w:t>реконструкции линейного объекта проект планировки территории и проект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sz w:val="28"/>
          <w:szCs w:val="28"/>
          <w:lang w:eastAsia="en-US"/>
        </w:rPr>
        <w:t>межевания территории (за исключением случаев, при которых для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строительства, реконструкции линейного </w:t>
      </w:r>
      <w:r w:rsidRPr="00692DEB">
        <w:rPr>
          <w:rFonts w:eastAsiaTheme="minorHAnsi"/>
          <w:bCs/>
          <w:sz w:val="28"/>
          <w:szCs w:val="28"/>
          <w:lang w:eastAsia="en-US"/>
        </w:rPr>
        <w:t>объекта опубликование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сообщения о принятии решения о подготовке проекта о внесении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изменений в правила землепользования и застройки и подготовка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предусмотренного частью 4 статьи 33 Градостроительного кодекса</w:t>
      </w:r>
      <w:proofErr w:type="gramEnd"/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92DEB">
        <w:rPr>
          <w:rFonts w:eastAsiaTheme="minorHAnsi"/>
          <w:bCs/>
          <w:sz w:val="28"/>
          <w:szCs w:val="28"/>
          <w:lang w:eastAsia="en-US"/>
        </w:rPr>
        <w:t>Российской Федерации заключения комиссии и подготовка документации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по планировке территории не требуются), проект планировки территории в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случае выдачи разрешения на ввод в эксплуатацию линейного объекта, для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размещения которого опубликование сообщения о принятии решения о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подготовке проекта о внесении изменений в правила землепользования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и застройки и подготовка предусмотренного частью 4 статьи 33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 заключения</w:t>
      </w:r>
      <w:r w:rsidR="00692DEB" w:rsidRPr="00692DEB">
        <w:rPr>
          <w:rFonts w:eastAsiaTheme="minorHAnsi"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комиссии и образование земельного</w:t>
      </w:r>
      <w:proofErr w:type="gramEnd"/>
      <w:r w:rsidRPr="00692DEB">
        <w:rPr>
          <w:rFonts w:eastAsiaTheme="minorHAnsi"/>
          <w:bCs/>
          <w:sz w:val="28"/>
          <w:szCs w:val="28"/>
          <w:lang w:eastAsia="en-US"/>
        </w:rPr>
        <w:t xml:space="preserve"> участка не требуются</w:t>
      </w:r>
      <w:proofErr w:type="gramStart"/>
      <w:r w:rsidRPr="00692DEB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</w:p>
    <w:p w:rsidR="001F3CB8" w:rsidRPr="00692DEB" w:rsidRDefault="00692DEB" w:rsidP="00692D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92DEB">
        <w:rPr>
          <w:rFonts w:eastAsiaTheme="minorHAnsi"/>
          <w:bCs/>
          <w:sz w:val="28"/>
          <w:szCs w:val="28"/>
          <w:lang w:eastAsia="en-US"/>
        </w:rPr>
        <w:t>4) А</w:t>
      </w:r>
      <w:r w:rsidR="001F3CB8" w:rsidRPr="00692DEB">
        <w:rPr>
          <w:rFonts w:eastAsiaTheme="minorHAnsi"/>
          <w:bCs/>
          <w:sz w:val="28"/>
          <w:szCs w:val="28"/>
          <w:lang w:eastAsia="en-US"/>
        </w:rPr>
        <w:t>бзац 1 пункта 68 предлагаю изложить в</w:t>
      </w:r>
      <w:r w:rsidRPr="00692D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F3CB8" w:rsidRPr="00692DEB">
        <w:rPr>
          <w:rFonts w:eastAsiaTheme="minorHAnsi"/>
          <w:bCs/>
          <w:sz w:val="28"/>
          <w:szCs w:val="28"/>
          <w:lang w:eastAsia="en-US"/>
        </w:rPr>
        <w:t>следующей редакции:</w:t>
      </w:r>
    </w:p>
    <w:p w:rsidR="00A25B2F" w:rsidRDefault="001F3CB8" w:rsidP="00692DE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92DEB">
        <w:rPr>
          <w:rFonts w:eastAsiaTheme="minorHAnsi"/>
          <w:bCs/>
          <w:sz w:val="28"/>
          <w:szCs w:val="28"/>
          <w:lang w:eastAsia="en-US"/>
        </w:rPr>
        <w:t xml:space="preserve">«68. В случае установления в ходе или по результатам </w:t>
      </w:r>
      <w:proofErr w:type="gramStart"/>
      <w:r w:rsidRPr="00692DEB">
        <w:rPr>
          <w:rFonts w:eastAsiaTheme="minorHAnsi"/>
          <w:bCs/>
          <w:sz w:val="28"/>
          <w:szCs w:val="28"/>
          <w:lang w:eastAsia="en-US"/>
        </w:rPr>
        <w:t>рассмотрения</w:t>
      </w:r>
      <w:r w:rsidR="00692DEB" w:rsidRPr="00692D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 w:rsidRPr="00692DEB">
        <w:rPr>
          <w:rFonts w:eastAsiaTheme="minorHAnsi"/>
          <w:bCs/>
          <w:sz w:val="28"/>
          <w:szCs w:val="28"/>
          <w:lang w:eastAsia="en-US"/>
        </w:rPr>
        <w:t xml:space="preserve"> или</w:t>
      </w:r>
      <w:r w:rsidR="00692DEB" w:rsidRPr="00692D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преступления должностные лица, работники наделенные полномочиями по</w:t>
      </w:r>
      <w:r w:rsidR="00692DEB" w:rsidRPr="00692D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рассмотрению жалоб, незамедлительно направляют имеющиеся материалы в</w:t>
      </w:r>
      <w:r w:rsidR="00692DEB" w:rsidRPr="00692D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92DEB">
        <w:rPr>
          <w:rFonts w:eastAsiaTheme="minorHAnsi"/>
          <w:bCs/>
          <w:sz w:val="28"/>
          <w:szCs w:val="28"/>
          <w:lang w:eastAsia="en-US"/>
        </w:rPr>
        <w:t>органы прокуратуры.»</w:t>
      </w:r>
    </w:p>
    <w:p w:rsidR="00A63B53" w:rsidRDefault="00A63B53" w:rsidP="000845A0">
      <w:pPr>
        <w:ind w:right="-1"/>
        <w:rPr>
          <w:rFonts w:eastAsia="Calibri"/>
          <w:sz w:val="24"/>
          <w:szCs w:val="24"/>
          <w:lang w:eastAsia="en-US"/>
        </w:rPr>
      </w:pPr>
    </w:p>
    <w:sectPr w:rsidR="00A6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4"/>
    <w:rsid w:val="000845A0"/>
    <w:rsid w:val="001F3CB8"/>
    <w:rsid w:val="002675A8"/>
    <w:rsid w:val="002913D6"/>
    <w:rsid w:val="002B74E3"/>
    <w:rsid w:val="002F4D86"/>
    <w:rsid w:val="003723A1"/>
    <w:rsid w:val="0042034A"/>
    <w:rsid w:val="00450B7D"/>
    <w:rsid w:val="00470C74"/>
    <w:rsid w:val="005C2A87"/>
    <w:rsid w:val="00692DEB"/>
    <w:rsid w:val="006D76CC"/>
    <w:rsid w:val="006F1C68"/>
    <w:rsid w:val="00771565"/>
    <w:rsid w:val="007C47CA"/>
    <w:rsid w:val="00862B81"/>
    <w:rsid w:val="008F190A"/>
    <w:rsid w:val="00953DA6"/>
    <w:rsid w:val="00A01234"/>
    <w:rsid w:val="00A25B2F"/>
    <w:rsid w:val="00A3492F"/>
    <w:rsid w:val="00A415AC"/>
    <w:rsid w:val="00A63B53"/>
    <w:rsid w:val="00BD6B35"/>
    <w:rsid w:val="00C05D65"/>
    <w:rsid w:val="00C63DA3"/>
    <w:rsid w:val="00CC64CE"/>
    <w:rsid w:val="00D02D51"/>
    <w:rsid w:val="00DA15B2"/>
    <w:rsid w:val="00E320A1"/>
    <w:rsid w:val="00E56A28"/>
    <w:rsid w:val="00F52A00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3B5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63B53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A63B5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3B5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63B53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A63B5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Забудская Роза Николаевна</dc:creator>
  <cp:keywords/>
  <dc:description/>
  <cp:lastModifiedBy>Забудская Роза Николаевна</cp:lastModifiedBy>
  <cp:revision>23</cp:revision>
  <cp:lastPrinted>2019-05-24T05:13:00Z</cp:lastPrinted>
  <dcterms:created xsi:type="dcterms:W3CDTF">2018-11-23T05:49:00Z</dcterms:created>
  <dcterms:modified xsi:type="dcterms:W3CDTF">2019-05-24T05:27:00Z</dcterms:modified>
</cp:coreProperties>
</file>