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4" w:rsidRPr="00B41423" w:rsidRDefault="002D1694" w:rsidP="002D1694">
      <w:pPr>
        <w:pStyle w:val="2"/>
        <w:jc w:val="center"/>
        <w:rPr>
          <w:sz w:val="32"/>
          <w:szCs w:val="32"/>
        </w:rPr>
      </w:pPr>
      <w:bookmarkStart w:id="0" w:name="_Toc3795527"/>
      <w:bookmarkStart w:id="1" w:name="_Toc4056089"/>
      <w:r w:rsidRPr="00B41423">
        <w:rPr>
          <w:sz w:val="32"/>
          <w:szCs w:val="32"/>
        </w:rPr>
        <w:t>3.13. Муниципальная программа «Управление муниципальными финансами города Ханты-Мансийска»</w:t>
      </w:r>
      <w:bookmarkEnd w:id="0"/>
      <w:bookmarkEnd w:id="1"/>
    </w:p>
    <w:p w:rsidR="002D1694" w:rsidRPr="00A41511" w:rsidRDefault="002D1694" w:rsidP="002D1694">
      <w:pPr>
        <w:spacing w:after="0"/>
        <w:ind w:right="424" w:firstLine="709"/>
        <w:jc w:val="both"/>
        <w:rPr>
          <w:rFonts w:eastAsia="Times New Roman"/>
          <w:sz w:val="28"/>
          <w:szCs w:val="28"/>
          <w:lang w:eastAsia="en-US"/>
        </w:rPr>
      </w:pPr>
    </w:p>
    <w:p w:rsidR="002D1694" w:rsidRPr="00A41511" w:rsidRDefault="002D1694" w:rsidP="002D1694">
      <w:pPr>
        <w:pStyle w:val="a4"/>
        <w:spacing w:after="0" w:line="276" w:lineRule="auto"/>
        <w:ind w:left="0" w:right="424" w:firstLine="709"/>
        <w:jc w:val="both"/>
        <w:rPr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 xml:space="preserve">Муниципальная программа «Управление муниципальными финансами города Ханты-Мансийска» на 2016 - 2020 годы утверждена постановлением Администрации города Ханты-Мансийска от 24 октября 2013 года № 1367. </w:t>
      </w:r>
    </w:p>
    <w:p w:rsidR="002D1694" w:rsidRPr="00A41511" w:rsidRDefault="002D1694" w:rsidP="002D1694">
      <w:pPr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 xml:space="preserve">Разработчиком, координатором муниципальной программы является </w:t>
      </w:r>
      <w:r w:rsidRPr="00A41511">
        <w:rPr>
          <w:sz w:val="28"/>
          <w:szCs w:val="28"/>
        </w:rPr>
        <w:t xml:space="preserve">Департамент управления финансами Администрации города Ханты-Мансийска. </w:t>
      </w:r>
    </w:p>
    <w:p w:rsidR="002D1694" w:rsidRPr="00A41511" w:rsidRDefault="002D1694" w:rsidP="002D1694">
      <w:pPr>
        <w:pStyle w:val="a4"/>
        <w:spacing w:after="0" w:line="276" w:lineRule="auto"/>
        <w:ind w:left="0" w:right="424" w:firstLine="709"/>
        <w:jc w:val="both"/>
        <w:rPr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>Целью муниципальной программы является о</w:t>
      </w:r>
      <w:r w:rsidRPr="00A41511">
        <w:rPr>
          <w:sz w:val="28"/>
          <w:szCs w:val="28"/>
        </w:rPr>
        <w:t>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</w:r>
    </w:p>
    <w:p w:rsidR="002D1694" w:rsidRPr="00A41511" w:rsidRDefault="002D1694" w:rsidP="002D1694">
      <w:pPr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Задачи муниципальной программы:</w:t>
      </w:r>
    </w:p>
    <w:p w:rsidR="002D1694" w:rsidRPr="00A41511" w:rsidRDefault="002D1694" w:rsidP="002D1694">
      <w:pPr>
        <w:pStyle w:val="ConsPlusNonformat"/>
        <w:tabs>
          <w:tab w:val="left" w:pos="426"/>
        </w:tabs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11">
        <w:rPr>
          <w:rFonts w:ascii="Times New Roman" w:hAnsi="Times New Roman" w:cs="Times New Roman"/>
          <w:sz w:val="28"/>
          <w:szCs w:val="28"/>
        </w:rPr>
        <w:t>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2D1694" w:rsidRPr="00A41511" w:rsidRDefault="002D1694" w:rsidP="002D1694">
      <w:pPr>
        <w:pStyle w:val="ConsPlusNonformat"/>
        <w:tabs>
          <w:tab w:val="left" w:pos="426"/>
        </w:tabs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11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 xml:space="preserve">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</w:r>
      <w:hyperlink r:id="rId5" w:history="1">
        <w:r w:rsidRPr="00A41511">
          <w:rPr>
            <w:sz w:val="28"/>
            <w:szCs w:val="28"/>
          </w:rPr>
          <w:t>кодексом</w:t>
        </w:r>
      </w:hyperlink>
      <w:r w:rsidRPr="00A41511">
        <w:rPr>
          <w:sz w:val="28"/>
          <w:szCs w:val="28"/>
        </w:rPr>
        <w:t xml:space="preserve"> Российской Федерации и муниципальными правовыми актами.</w:t>
      </w:r>
    </w:p>
    <w:p w:rsidR="002D1694" w:rsidRPr="00A41511" w:rsidRDefault="002D1694" w:rsidP="002D1694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 xml:space="preserve">Достижение указанных целей и решение задач характеризуется следующими целевыми показателями:  </w:t>
      </w: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Default="002D1694" w:rsidP="002D1694">
      <w:pPr>
        <w:spacing w:after="0"/>
        <w:ind w:left="284" w:right="424" w:firstLine="709"/>
        <w:rPr>
          <w:rFonts w:eastAsia="Times New Roman"/>
          <w:sz w:val="28"/>
          <w:szCs w:val="28"/>
        </w:rPr>
      </w:pPr>
    </w:p>
    <w:p w:rsidR="002D1694" w:rsidRPr="00A41511" w:rsidRDefault="002D1694" w:rsidP="002D1694">
      <w:pPr>
        <w:spacing w:after="0"/>
        <w:ind w:left="284" w:right="424" w:firstLine="709"/>
        <w:rPr>
          <w:rFonts w:eastAsia="Times New Roman"/>
          <w:sz w:val="24"/>
          <w:szCs w:val="24"/>
        </w:rPr>
      </w:pPr>
      <w:r w:rsidRPr="00A41511">
        <w:rPr>
          <w:rFonts w:eastAsia="Times New Roman"/>
          <w:sz w:val="24"/>
          <w:szCs w:val="24"/>
        </w:rPr>
        <w:t>Таблица 3.13.1.</w:t>
      </w:r>
    </w:p>
    <w:p w:rsidR="002D1694" w:rsidRPr="00A41511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A41511">
        <w:rPr>
          <w:sz w:val="28"/>
          <w:szCs w:val="28"/>
        </w:rPr>
        <w:t>Целевые показатели муниципальной программы</w:t>
      </w:r>
    </w:p>
    <w:p w:rsidR="002D1694" w:rsidRPr="00A41511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A41511">
        <w:rPr>
          <w:sz w:val="28"/>
          <w:szCs w:val="28"/>
        </w:rPr>
        <w:t>«</w:t>
      </w:r>
      <w:r w:rsidRPr="00A41511">
        <w:rPr>
          <w:rFonts w:eastAsia="Times New Roman"/>
          <w:sz w:val="28"/>
          <w:szCs w:val="28"/>
        </w:rPr>
        <w:t>Управление муниципальными финансами города Ханты-Мансийска</w:t>
      </w:r>
      <w:r w:rsidRPr="00A41511">
        <w:rPr>
          <w:sz w:val="28"/>
          <w:szCs w:val="28"/>
        </w:rPr>
        <w:t>» на 2016 – 2020 годы</w:t>
      </w:r>
    </w:p>
    <w:tbl>
      <w:tblPr>
        <w:tblStyle w:val="-161"/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828"/>
        <w:gridCol w:w="567"/>
        <w:gridCol w:w="1276"/>
        <w:gridCol w:w="992"/>
        <w:gridCol w:w="992"/>
        <w:gridCol w:w="1134"/>
        <w:gridCol w:w="1134"/>
      </w:tblGrid>
      <w:tr w:rsidR="002D1694" w:rsidRPr="00A41511" w:rsidTr="00283D32">
        <w:trPr>
          <w:cnfStyle w:val="100000000000"/>
          <w:trHeight w:val="1902"/>
          <w:tblHeader/>
        </w:trPr>
        <w:tc>
          <w:tcPr>
            <w:cnfStyle w:val="001000000000"/>
            <w:tcW w:w="425" w:type="dxa"/>
            <w:vMerge w:val="restart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vMerge w:val="restart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567" w:type="dxa"/>
            <w:vMerge w:val="restart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 xml:space="preserve">Ед. </w:t>
            </w:r>
            <w:proofErr w:type="spellStart"/>
            <w:r w:rsidRPr="00A41511">
              <w:rPr>
                <w:b w:val="0"/>
                <w:sz w:val="20"/>
                <w:szCs w:val="20"/>
              </w:rPr>
              <w:t>изм</w:t>
            </w:r>
            <w:proofErr w:type="spellEnd"/>
            <w:r w:rsidRPr="00A4151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Базовый показатель на начало реализации програм</w:t>
            </w:r>
            <w:r w:rsidRPr="00A41511">
              <w:rPr>
                <w:b w:val="0"/>
                <w:sz w:val="20"/>
                <w:szCs w:val="20"/>
              </w:rPr>
              <w:t>мы</w:t>
            </w:r>
          </w:p>
        </w:tc>
        <w:tc>
          <w:tcPr>
            <w:tcW w:w="1984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Значение показателей за 2017 год</w:t>
            </w:r>
          </w:p>
        </w:tc>
        <w:tc>
          <w:tcPr>
            <w:tcW w:w="226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Значение показателей за 2018 год</w:t>
            </w:r>
          </w:p>
        </w:tc>
      </w:tr>
      <w:tr w:rsidR="002D1694" w:rsidRPr="00A41511" w:rsidTr="00283D32">
        <w:trPr>
          <w:cnfStyle w:val="100000000000"/>
          <w:trHeight w:val="307"/>
          <w:tblHeader/>
        </w:trPr>
        <w:tc>
          <w:tcPr>
            <w:cnfStyle w:val="001000000000"/>
            <w:tcW w:w="425" w:type="dxa"/>
            <w:vMerge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факт</w:t>
            </w:r>
          </w:p>
        </w:tc>
      </w:tr>
      <w:tr w:rsidR="002D1694" w:rsidRPr="00A41511" w:rsidTr="00283D32">
        <w:trPr>
          <w:trHeight w:val="479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46,8</w:t>
            </w:r>
          </w:p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2D1694" w:rsidRPr="00A41511" w:rsidTr="00283D32">
        <w:trPr>
          <w:trHeight w:val="278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278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278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94</w:t>
            </w:r>
          </w:p>
        </w:tc>
      </w:tr>
      <w:tr w:rsidR="002D1694" w:rsidRPr="00A41511" w:rsidTr="00283D32">
        <w:trPr>
          <w:trHeight w:val="278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Увеличение доли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7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99,5</w:t>
            </w:r>
          </w:p>
        </w:tc>
      </w:tr>
      <w:tr w:rsidR="002D1694" w:rsidRPr="00A41511" w:rsidTr="00283D32">
        <w:trPr>
          <w:trHeight w:val="1094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</w:p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 xml:space="preserve">Степень </w:t>
            </w:r>
            <w:proofErr w:type="gramStart"/>
            <w:r w:rsidRPr="00A41511">
              <w:rPr>
                <w:sz w:val="20"/>
                <w:szCs w:val="20"/>
              </w:rPr>
              <w:t>соответствия содержания проекта решения Думы города</w:t>
            </w:r>
            <w:proofErr w:type="gramEnd"/>
            <w:r w:rsidRPr="00A41511">
              <w:rPr>
                <w:sz w:val="20"/>
                <w:szCs w:val="20"/>
              </w:rPr>
              <w:t xml:space="preserve"> о бюджете города и состава документов и материалов, предоставляемых одновременно с ним, </w:t>
            </w:r>
            <w:r w:rsidRPr="00A41511">
              <w:rPr>
                <w:sz w:val="20"/>
                <w:szCs w:val="20"/>
              </w:rPr>
              <w:lastRenderedPageBreak/>
              <w:t>требованиям, установленным бюджетным законодательством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 xml:space="preserve">Соблюдение срока представления годовой бюджетной отчетности в Департамент финансов Ханты-Мансийского автономного округа - </w:t>
            </w:r>
            <w:proofErr w:type="spellStart"/>
            <w:r w:rsidRPr="00A41511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 xml:space="preserve">Размещение на Официальном информационном портале </w:t>
            </w:r>
            <w:proofErr w:type="gramStart"/>
            <w:r w:rsidRPr="00A41511">
              <w:rPr>
                <w:sz w:val="20"/>
                <w:szCs w:val="20"/>
              </w:rPr>
              <w:t>органов местного самоуправления города Ханты-Мансийска информации</w:t>
            </w:r>
            <w:proofErr w:type="gramEnd"/>
            <w:r w:rsidRPr="00A41511">
              <w:rPr>
                <w:sz w:val="20"/>
                <w:szCs w:val="20"/>
              </w:rPr>
              <w:t xml:space="preserve">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 xml:space="preserve">Соблюдение ограничений по дефициту бюджета и предельному объему муниципального долга, </w:t>
            </w:r>
            <w:proofErr w:type="gramStart"/>
            <w:r w:rsidRPr="00A41511">
              <w:rPr>
                <w:sz w:val="20"/>
                <w:szCs w:val="20"/>
              </w:rPr>
              <w:t>установленный</w:t>
            </w:r>
            <w:proofErr w:type="gramEnd"/>
            <w:r w:rsidRPr="00A41511">
              <w:rPr>
                <w:sz w:val="20"/>
                <w:szCs w:val="20"/>
              </w:rPr>
              <w:t xml:space="preserve"> бюджетным законодательством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  <w:highlight w:val="yellow"/>
              </w:rPr>
            </w:pPr>
            <w:r w:rsidRPr="00A41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  <w:highlight w:val="yellow"/>
              </w:rPr>
            </w:pPr>
            <w:r w:rsidRPr="00A41511">
              <w:rPr>
                <w:sz w:val="20"/>
                <w:szCs w:val="20"/>
              </w:rPr>
              <w:t>0,01</w:t>
            </w:r>
          </w:p>
        </w:tc>
      </w:tr>
      <w:tr w:rsidR="002D1694" w:rsidRPr="00A41511" w:rsidTr="00283D32">
        <w:trPr>
          <w:trHeight w:val="420"/>
        </w:trPr>
        <w:tc>
          <w:tcPr>
            <w:cnfStyle w:val="001000000000"/>
            <w:tcW w:w="425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rPr>
                <w:b w:val="0"/>
                <w:sz w:val="20"/>
                <w:szCs w:val="20"/>
              </w:rPr>
            </w:pPr>
            <w:r w:rsidRPr="00A41511">
              <w:rPr>
                <w:b w:val="0"/>
                <w:sz w:val="20"/>
                <w:szCs w:val="20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2D1694" w:rsidRPr="00A41511" w:rsidRDefault="002D1694" w:rsidP="00283D32">
            <w:pPr>
              <w:autoSpaceDE w:val="0"/>
              <w:autoSpaceDN w:val="0"/>
              <w:adjustRightInd w:val="0"/>
              <w:ind w:right="-108"/>
              <w:jc w:val="left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 xml:space="preserve">Соблюдение ограничений по предельному размеру резервного фонда, установленного Бюджетным </w:t>
            </w:r>
            <w:hyperlink r:id="rId6" w:history="1">
              <w:r w:rsidRPr="00A41511">
                <w:rPr>
                  <w:sz w:val="20"/>
                  <w:szCs w:val="20"/>
                </w:rPr>
                <w:t>кодексом</w:t>
              </w:r>
            </w:hyperlink>
            <w:r w:rsidRPr="00A41511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1694" w:rsidRPr="00A41511" w:rsidRDefault="002D1694" w:rsidP="00283D32">
            <w:pPr>
              <w:ind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1694" w:rsidRPr="00A41511" w:rsidRDefault="002D1694" w:rsidP="00283D32">
            <w:pPr>
              <w:ind w:left="180" w:right="-108"/>
              <w:jc w:val="center"/>
              <w:cnfStyle w:val="000000000000"/>
              <w:rPr>
                <w:sz w:val="20"/>
                <w:szCs w:val="20"/>
              </w:rPr>
            </w:pPr>
            <w:r w:rsidRPr="00A41511">
              <w:rPr>
                <w:sz w:val="20"/>
                <w:szCs w:val="20"/>
              </w:rPr>
              <w:t>100</w:t>
            </w:r>
          </w:p>
        </w:tc>
      </w:tr>
    </w:tbl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2D1694" w:rsidRPr="00A41511" w:rsidRDefault="002D1694" w:rsidP="002D1694">
      <w:pPr>
        <w:pStyle w:val="ConsPlusTitle"/>
        <w:spacing w:before="240"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1511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на 2018 год составляет 78</w:t>
      </w:r>
      <w:r w:rsidRPr="00A4151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A415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856,3 тыс. рублей, в том числе средства бюджета города Ханты-Мансийска – 78 856,3 тыс. рублей. Исполнение </w:t>
      </w:r>
      <w:r w:rsidRPr="00A41511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A415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76 357,1 тыс. рублей или 96,8 % от годового объема финансирования. </w:t>
      </w:r>
    </w:p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A41511">
        <w:lastRenderedPageBreak/>
        <w:t>Рисунок 3.13.1.</w:t>
      </w:r>
    </w:p>
    <w:p w:rsidR="002D1694" w:rsidRPr="00B41423" w:rsidRDefault="002D1694" w:rsidP="002D1694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41423">
        <w:rPr>
          <w:rFonts w:ascii="Times New Roman" w:hAnsi="Times New Roman" w:cs="Times New Roman"/>
          <w:bCs w:val="0"/>
          <w:sz w:val="28"/>
          <w:szCs w:val="28"/>
        </w:rPr>
        <w:t>Объёмы ассигнований на реализацию муниципальной программы</w:t>
      </w:r>
      <w:r w:rsidRPr="00B41423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муниципальными финансами города Ханты-Мансийска</w:t>
      </w:r>
      <w:r w:rsidRPr="00B41423">
        <w:rPr>
          <w:rFonts w:ascii="Times New Roman" w:hAnsi="Times New Roman" w:cs="Times New Roman"/>
          <w:sz w:val="28"/>
          <w:szCs w:val="28"/>
        </w:rPr>
        <w:t>»,       тыс. рублей</w:t>
      </w:r>
    </w:p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A41511">
        <w:rPr>
          <w:noProof/>
          <w:sz w:val="28"/>
          <w:szCs w:val="28"/>
        </w:rPr>
        <w:drawing>
          <wp:inline distT="0" distB="0" distL="0" distR="0">
            <wp:extent cx="5940425" cy="1598378"/>
            <wp:effectExtent l="0" t="0" r="0" b="0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2D1694" w:rsidRPr="00A41511" w:rsidRDefault="002D1694" w:rsidP="002D1694">
      <w:pPr>
        <w:pStyle w:val="a6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Объемы бюджетных ассигнований распределены следующим образом:</w:t>
      </w:r>
    </w:p>
    <w:p w:rsidR="002D1694" w:rsidRPr="00A41511" w:rsidRDefault="002D1694" w:rsidP="002D1694">
      <w:pPr>
        <w:ind w:right="424" w:firstLine="709"/>
        <w:rPr>
          <w:sz w:val="24"/>
          <w:szCs w:val="24"/>
        </w:rPr>
      </w:pPr>
      <w:r w:rsidRPr="00A4151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41511">
        <w:rPr>
          <w:sz w:val="24"/>
          <w:szCs w:val="24"/>
        </w:rPr>
        <w:t>Таблица 3.13.2.</w:t>
      </w:r>
    </w:p>
    <w:p w:rsidR="002D1694" w:rsidRPr="00B41423" w:rsidRDefault="002D1694" w:rsidP="002D1694">
      <w:pPr>
        <w:pStyle w:val="a6"/>
        <w:tabs>
          <w:tab w:val="left" w:pos="459"/>
        </w:tabs>
        <w:suppressAutoHyphens/>
        <w:spacing w:before="240" w:beforeAutospacing="0" w:after="0" w:afterAutospacing="0" w:line="276" w:lineRule="auto"/>
        <w:ind w:right="424" w:firstLine="709"/>
        <w:jc w:val="both"/>
        <w:rPr>
          <w:b/>
          <w:sz w:val="28"/>
          <w:szCs w:val="28"/>
        </w:rPr>
      </w:pPr>
      <w:r w:rsidRPr="00B41423">
        <w:rPr>
          <w:b/>
          <w:sz w:val="28"/>
          <w:szCs w:val="28"/>
        </w:rPr>
        <w:t>Объем бюджетных ассигнований за 2017 год по основному исполнителю и соисполнителям муниципальной программы «</w:t>
      </w:r>
      <w:r w:rsidRPr="00B41423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Pr="00B41423">
        <w:rPr>
          <w:b/>
          <w:sz w:val="28"/>
          <w:szCs w:val="28"/>
        </w:rPr>
        <w:t>» на 2016 – 2020 годы</w:t>
      </w:r>
    </w:p>
    <w:p w:rsidR="002D1694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D1694" w:rsidRPr="00A41511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A41511">
        <w:t>(тыс. рублей)</w:t>
      </w:r>
    </w:p>
    <w:tbl>
      <w:tblPr>
        <w:tblW w:w="9991" w:type="dxa"/>
        <w:tblInd w:w="-601" w:type="dxa"/>
        <w:tblLayout w:type="fixed"/>
        <w:tblLook w:val="04A0"/>
      </w:tblPr>
      <w:tblGrid>
        <w:gridCol w:w="1135"/>
        <w:gridCol w:w="2573"/>
        <w:gridCol w:w="1537"/>
        <w:gridCol w:w="1422"/>
        <w:gridCol w:w="1679"/>
        <w:gridCol w:w="1645"/>
      </w:tblGrid>
      <w:tr w:rsidR="002D1694" w:rsidRPr="00660C7A" w:rsidTr="00ED5299">
        <w:trPr>
          <w:trHeight w:val="4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0C7A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0C7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660C7A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2D1694" w:rsidRPr="00660C7A" w:rsidTr="00ED5299">
        <w:trPr>
          <w:trHeight w:val="13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D1694" w:rsidRPr="00660C7A" w:rsidTr="00ED5299">
        <w:trPr>
          <w:trHeight w:val="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65 078,8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78 856,3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76 357,1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96,8%</w:t>
            </w:r>
          </w:p>
        </w:tc>
      </w:tr>
      <w:tr w:rsidR="002D1694" w:rsidRPr="00660C7A" w:rsidTr="00ED5299">
        <w:trPr>
          <w:trHeight w:val="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62 214,3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74 398,2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71 899,0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96,6%</w:t>
            </w:r>
          </w:p>
        </w:tc>
      </w:tr>
      <w:tr w:rsidR="002D1694" w:rsidRPr="00660C7A" w:rsidTr="00ED5299">
        <w:trPr>
          <w:trHeight w:val="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Муниципальное казенное учреждение «Управление логистики»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2 864,5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283D3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100,0%</w:t>
            </w:r>
          </w:p>
        </w:tc>
      </w:tr>
    </w:tbl>
    <w:p w:rsidR="002D1694" w:rsidRDefault="002D1694" w:rsidP="002D1694">
      <w:pPr>
        <w:ind w:right="424" w:firstLine="709"/>
        <w:rPr>
          <w:sz w:val="24"/>
          <w:szCs w:val="24"/>
        </w:rPr>
      </w:pPr>
    </w:p>
    <w:p w:rsidR="002D1694" w:rsidRDefault="002D1694" w:rsidP="002D1694">
      <w:pPr>
        <w:ind w:right="424" w:firstLine="709"/>
        <w:rPr>
          <w:sz w:val="24"/>
          <w:szCs w:val="24"/>
        </w:rPr>
      </w:pPr>
    </w:p>
    <w:p w:rsidR="00283D32" w:rsidRDefault="00283D32" w:rsidP="00283D32">
      <w:pPr>
        <w:ind w:right="424" w:firstLine="709"/>
        <w:rPr>
          <w:sz w:val="24"/>
          <w:szCs w:val="24"/>
        </w:rPr>
      </w:pPr>
    </w:p>
    <w:p w:rsidR="00283D32" w:rsidRDefault="00283D32" w:rsidP="00283D32">
      <w:pPr>
        <w:ind w:right="424" w:firstLine="709"/>
        <w:rPr>
          <w:sz w:val="24"/>
          <w:szCs w:val="24"/>
        </w:rPr>
      </w:pPr>
    </w:p>
    <w:p w:rsidR="002D1694" w:rsidRPr="00A41511" w:rsidRDefault="002D1694" w:rsidP="002D1694">
      <w:pPr>
        <w:ind w:right="424" w:firstLine="709"/>
        <w:rPr>
          <w:sz w:val="24"/>
          <w:szCs w:val="24"/>
        </w:rPr>
      </w:pPr>
      <w:r w:rsidRPr="00A41511">
        <w:rPr>
          <w:sz w:val="24"/>
          <w:szCs w:val="24"/>
        </w:rPr>
        <w:lastRenderedPageBreak/>
        <w:t>Рисунок 3.12.2.</w:t>
      </w:r>
    </w:p>
    <w:p w:rsidR="002D1694" w:rsidRPr="00B41423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B41423">
        <w:rPr>
          <w:b/>
          <w:sz w:val="28"/>
          <w:szCs w:val="28"/>
        </w:rPr>
        <w:t>Структура расходов муниципальной программы «</w:t>
      </w:r>
      <w:r w:rsidRPr="00B41423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Pr="00B41423">
        <w:rPr>
          <w:b/>
          <w:sz w:val="28"/>
          <w:szCs w:val="28"/>
        </w:rPr>
        <w:t>»</w:t>
      </w:r>
    </w:p>
    <w:p w:rsidR="002D1694" w:rsidRPr="00B41423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B41423">
        <w:rPr>
          <w:b/>
          <w:sz w:val="28"/>
          <w:szCs w:val="28"/>
        </w:rPr>
        <w:t>на 2016 – 2020 годы, тыс. рублей</w:t>
      </w:r>
    </w:p>
    <w:p w:rsidR="002D1694" w:rsidRPr="00A41511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A41511">
        <w:rPr>
          <w:noProof/>
          <w:sz w:val="28"/>
          <w:szCs w:val="28"/>
        </w:rPr>
        <w:drawing>
          <wp:inline distT="0" distB="0" distL="0" distR="0">
            <wp:extent cx="5550011" cy="4905955"/>
            <wp:effectExtent l="0" t="0" r="0" b="0"/>
            <wp:docPr id="5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694" w:rsidRPr="00A41511" w:rsidRDefault="002D1694" w:rsidP="002D1694">
      <w:pPr>
        <w:ind w:right="424" w:firstLine="709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41511">
        <w:rPr>
          <w:sz w:val="24"/>
          <w:szCs w:val="24"/>
        </w:rPr>
        <w:t>Таблица 3.13.3</w:t>
      </w:r>
      <w:r w:rsidRPr="00A41511">
        <w:rPr>
          <w:sz w:val="28"/>
          <w:szCs w:val="28"/>
        </w:rPr>
        <w:t>.</w:t>
      </w:r>
    </w:p>
    <w:p w:rsidR="002D1694" w:rsidRPr="00B41423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B41423">
        <w:rPr>
          <w:b/>
          <w:sz w:val="28"/>
          <w:szCs w:val="28"/>
        </w:rPr>
        <w:t>Структура расходов муниципальной программы «</w:t>
      </w:r>
      <w:r w:rsidRPr="00B41423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Pr="00B41423">
        <w:rPr>
          <w:b/>
          <w:sz w:val="28"/>
          <w:szCs w:val="28"/>
        </w:rPr>
        <w:t>»</w:t>
      </w:r>
    </w:p>
    <w:p w:rsidR="002D1694" w:rsidRPr="00B41423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B41423">
        <w:rPr>
          <w:b/>
          <w:sz w:val="28"/>
          <w:szCs w:val="28"/>
        </w:rPr>
        <w:t>на 2016 – 2020 годы</w:t>
      </w:r>
    </w:p>
    <w:p w:rsidR="002D1694" w:rsidRPr="00A41511" w:rsidRDefault="002D1694" w:rsidP="002D1694">
      <w:pPr>
        <w:pStyle w:val="a6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>тыс. рублей</w:t>
      </w:r>
    </w:p>
    <w:tbl>
      <w:tblPr>
        <w:tblW w:w="10016" w:type="dxa"/>
        <w:tblInd w:w="-601" w:type="dxa"/>
        <w:tblLook w:val="04A0"/>
      </w:tblPr>
      <w:tblGrid>
        <w:gridCol w:w="3587"/>
        <w:gridCol w:w="1384"/>
        <w:gridCol w:w="1721"/>
        <w:gridCol w:w="1679"/>
        <w:gridCol w:w="1645"/>
      </w:tblGrid>
      <w:tr w:rsidR="002D1694" w:rsidRPr="00660C7A" w:rsidTr="00ED5299">
        <w:trPr>
          <w:trHeight w:val="300"/>
          <w:tblHeader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2D1694" w:rsidRPr="00660C7A" w:rsidTr="00ED5299">
        <w:trPr>
          <w:trHeight w:val="900"/>
          <w:tblHeader/>
        </w:trPr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D1694" w:rsidRPr="00660C7A" w:rsidTr="00ED5299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 xml:space="preserve">Всего по муниципальной программе, </w:t>
            </w:r>
            <w:r w:rsidRPr="00B40955">
              <w:rPr>
                <w:rFonts w:eastAsia="Times New Roman"/>
                <w:sz w:val="20"/>
                <w:szCs w:val="20"/>
              </w:rPr>
              <w:t>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65 078,8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78 856,3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76 357,1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96,8%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65 078,8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78 856,3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76 357,1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96,8%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88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660C7A">
              <w:rPr>
                <w:rFonts w:eastAsia="Times New Roman"/>
                <w:color w:val="000000"/>
                <w:sz w:val="20"/>
                <w:szCs w:val="20"/>
              </w:rPr>
              <w:t>»в</w:t>
            </w:r>
            <w:proofErr w:type="gramEnd"/>
            <w:r w:rsidRPr="00660C7A">
              <w:rPr>
                <w:rFonts w:eastAsia="Times New Roman"/>
                <w:color w:val="000000"/>
                <w:sz w:val="20"/>
                <w:szCs w:val="20"/>
              </w:rPr>
              <w:t xml:space="preserve">сего, </w:t>
            </w:r>
            <w:r w:rsidRPr="00B40955">
              <w:rPr>
                <w:rFonts w:eastAsia="Times New Roman"/>
                <w:sz w:val="20"/>
                <w:szCs w:val="20"/>
              </w:rPr>
              <w:t>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55 964,2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68 373,3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66 374,1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97,1%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55 964,2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68 373,3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66 374,1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97,1%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85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«Администрирование и сопровождение программных комплексов, прикладного программного обеспечения в сфере управления общественными финансами», всего,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2 864,5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2 864,5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4 458,1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61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«Проведение взвешенной  долговой политики, надлежащее исполнение обязательств по муниципальным заимствованиям», всего, </w:t>
            </w:r>
            <w:r w:rsidRPr="00B40955">
              <w:rPr>
                <w:rFonts w:eastAsia="Times New Roman"/>
                <w:sz w:val="20"/>
                <w:szCs w:val="20"/>
              </w:rPr>
              <w:t>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6 250,1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5 524,9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5 524,9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6 250,1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5 524,9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5 524,9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81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Федерации», всего, </w:t>
            </w:r>
            <w:r w:rsidRPr="00B40955">
              <w:rPr>
                <w:rFonts w:eastAsia="Times New Roman"/>
                <w:sz w:val="20"/>
                <w:szCs w:val="20"/>
              </w:rPr>
              <w:t>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2D1694" w:rsidRPr="00660C7A" w:rsidTr="00ED5299">
        <w:trPr>
          <w:trHeight w:val="20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60C7A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660C7A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660C7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94" w:rsidRPr="00A41511" w:rsidRDefault="002D1694" w:rsidP="00ED5299">
            <w:pPr>
              <w:spacing w:after="0"/>
              <w:ind w:right="-65"/>
              <w:jc w:val="center"/>
              <w:rPr>
                <w:rFonts w:eastAsia="Times New Roman"/>
                <w:sz w:val="20"/>
                <w:szCs w:val="20"/>
              </w:rPr>
            </w:pPr>
            <w:r w:rsidRPr="00A41511">
              <w:rPr>
                <w:rFonts w:eastAsia="Times New Roman"/>
                <w:sz w:val="20"/>
                <w:szCs w:val="20"/>
              </w:rPr>
              <w:t>0,0%</w:t>
            </w:r>
          </w:p>
        </w:tc>
      </w:tr>
    </w:tbl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contextualSpacing/>
        <w:jc w:val="both"/>
        <w:rPr>
          <w:rFonts w:eastAsia="Times New Roman"/>
          <w:sz w:val="28"/>
          <w:szCs w:val="28"/>
        </w:rPr>
      </w:pP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contextualSpacing/>
        <w:jc w:val="both"/>
        <w:rPr>
          <w:rFonts w:eastAsia="Times New Roman"/>
          <w:sz w:val="28"/>
          <w:szCs w:val="28"/>
        </w:rPr>
      </w:pPr>
      <w:r w:rsidRPr="00A41511">
        <w:rPr>
          <w:rFonts w:eastAsia="Times New Roman"/>
          <w:sz w:val="28"/>
          <w:szCs w:val="28"/>
        </w:rPr>
        <w:t>Программа предусматривает реализацию следующих мероприятий:</w:t>
      </w:r>
    </w:p>
    <w:p w:rsidR="002D1694" w:rsidRPr="00A41511" w:rsidRDefault="002D1694" w:rsidP="002D169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«Обеспечение выполнения функций и полномочий финансового органа - Департамента управления финансами Администрации города Ханты-Мансийска».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 xml:space="preserve"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 Объем финансирования на 2018 год </w:t>
      </w:r>
      <w:r w:rsidRPr="00A41511">
        <w:rPr>
          <w:sz w:val="28"/>
          <w:szCs w:val="28"/>
        </w:rPr>
        <w:lastRenderedPageBreak/>
        <w:t xml:space="preserve">при плане 68 373,3 тыс. рублей составил 66 374,1 тыс. рублей. Штатная численность составляет 35 штатных единиц, фактическая численность </w:t>
      </w:r>
      <w:proofErr w:type="gramStart"/>
      <w:r w:rsidRPr="00A41511">
        <w:rPr>
          <w:sz w:val="28"/>
          <w:szCs w:val="28"/>
        </w:rPr>
        <w:t>на конец</w:t>
      </w:r>
      <w:proofErr w:type="gramEnd"/>
      <w:r w:rsidRPr="00A41511">
        <w:rPr>
          <w:sz w:val="28"/>
          <w:szCs w:val="28"/>
        </w:rPr>
        <w:t xml:space="preserve"> 2018 года 34 человека. 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2. «Администрирование и сопровождение программных комплексов, прикладного программного обеспечения в сфере управления общественными финансами».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Средства бюджета города в объеме 4 458,1 тыс. рублей направлены в 2018 году на обеспечение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требованиями программных комплексов, а также администрирование и сопровождение систем хранения и защиты баз данных. Исполнителем мероприятия является МКУ «Управление логистики».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3. «Проведение взвешенной долговой политики, надлежащее исполнение обязательств по муниципальным заимствованиям».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Обязательства по выплате муниципального долга в сумме 5 524,9 тыс. рублей в 2018 году исполнены на 100%.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 xml:space="preserve">4. «Формирование в бюджете города резервного фонда Администрации города в соответствии с требованиями Бюджетного </w:t>
      </w:r>
      <w:hyperlink r:id="rId9" w:history="1">
        <w:r w:rsidRPr="00A41511">
          <w:rPr>
            <w:rStyle w:val="a3"/>
            <w:sz w:val="28"/>
            <w:szCs w:val="28"/>
          </w:rPr>
          <w:t>кодекса</w:t>
        </w:r>
      </w:hyperlink>
      <w:r w:rsidRPr="00A41511">
        <w:rPr>
          <w:sz w:val="28"/>
          <w:szCs w:val="28"/>
        </w:rPr>
        <w:t xml:space="preserve"> Российской Федерации».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D1694" w:rsidRPr="00A41511" w:rsidRDefault="002D1694" w:rsidP="002D1694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A41511">
        <w:rPr>
          <w:sz w:val="28"/>
          <w:szCs w:val="28"/>
        </w:rPr>
        <w:lastRenderedPageBreak/>
        <w:t>Остаток плановых средств по мероприятию в сумме 500,0 тыс. рублей – невостребованные средства резервного фонда по состоянию на 01.01.2019 года.</w:t>
      </w:r>
    </w:p>
    <w:p w:rsidR="002D1694" w:rsidRPr="00A41511" w:rsidRDefault="002D1694" w:rsidP="002D1694">
      <w:pPr>
        <w:spacing w:after="0"/>
        <w:ind w:right="424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A41511">
        <w:rPr>
          <w:sz w:val="28"/>
          <w:szCs w:val="28"/>
        </w:rPr>
        <w:t>Целевые показатели муниципальной программы, установленные на 2018 год выполнены в полном объеме и на 100%, по отдельным -  исполнение превышает плановый показатель, а именно: доля расходов бюджета города, сформированных в рамках целевых программ в общем объеме расходов бюджета города,</w:t>
      </w:r>
      <w:r w:rsidRPr="00A41511">
        <w:rPr>
          <w:color w:val="FF0000"/>
          <w:sz w:val="28"/>
          <w:szCs w:val="28"/>
        </w:rPr>
        <w:t xml:space="preserve"> </w:t>
      </w:r>
      <w:r w:rsidRPr="00A41511">
        <w:rPr>
          <w:sz w:val="28"/>
          <w:szCs w:val="28"/>
        </w:rPr>
        <w:t xml:space="preserve">составляет 99%. </w:t>
      </w:r>
      <w:proofErr w:type="spellStart"/>
      <w:r w:rsidRPr="00A41511">
        <w:rPr>
          <w:sz w:val="28"/>
          <w:szCs w:val="28"/>
        </w:rPr>
        <w:t>Непрограммным</w:t>
      </w:r>
      <w:proofErr w:type="spellEnd"/>
      <w:r w:rsidRPr="00A41511">
        <w:rPr>
          <w:sz w:val="28"/>
          <w:szCs w:val="28"/>
        </w:rPr>
        <w:t xml:space="preserve"> направлением деятельности является обеспечение деятельности Думы города Ханты-Мансийска.</w:t>
      </w:r>
      <w:proofErr w:type="gramEnd"/>
    </w:p>
    <w:p w:rsidR="002D1694" w:rsidRPr="00A41511" w:rsidRDefault="002D1694" w:rsidP="002D1694">
      <w:pPr>
        <w:spacing w:after="0"/>
        <w:ind w:right="424" w:firstLine="709"/>
        <w:contextualSpacing/>
        <w:jc w:val="both"/>
        <w:rPr>
          <w:sz w:val="28"/>
          <w:szCs w:val="28"/>
        </w:rPr>
      </w:pPr>
      <w:proofErr w:type="gramStart"/>
      <w:r w:rsidRPr="00A41511">
        <w:rPr>
          <w:sz w:val="28"/>
          <w:szCs w:val="28"/>
        </w:rPr>
        <w:t>Департаментом управления финансами в целях обеспечения открытости и прозрачности бюджетного процесса на официальном информационном портале органов местного самоуправления города Ханты-Мансийска в сети Интернет размещается ежемесячная оперативная информация об исполнении бюджета города Ханты-Мансийска, отчеты об исполнении бюджета города, Решения Думы города Ханты-Мансийска о бюджете города на очередной финансовый год и плановый период.</w:t>
      </w:r>
      <w:proofErr w:type="gramEnd"/>
      <w:r w:rsidRPr="00A41511">
        <w:rPr>
          <w:sz w:val="28"/>
          <w:szCs w:val="28"/>
        </w:rPr>
        <w:t xml:space="preserve"> Д</w:t>
      </w:r>
      <w:r w:rsidRPr="00A41511">
        <w:rPr>
          <w:rFonts w:eastAsia="Times New Roman"/>
          <w:sz w:val="28"/>
          <w:szCs w:val="28"/>
        </w:rPr>
        <w:t xml:space="preserve">ля привлечения большего количества граждан к участию в обсуждении </w:t>
      </w:r>
      <w:proofErr w:type="gramStart"/>
      <w:r w:rsidRPr="00A41511">
        <w:rPr>
          <w:rFonts w:eastAsia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Pr="00A41511">
        <w:rPr>
          <w:rFonts w:eastAsia="Times New Roman"/>
          <w:sz w:val="28"/>
          <w:szCs w:val="28"/>
        </w:rPr>
        <w:t xml:space="preserve"> и его исполнения Департаментом управления финансами разработан и ежеквартально обновляется  информационный материал «Бюджет для граждан», который, прежде всего, предназначен для жителей города.  Материал размещен на официальном информационном портале органов местного самоуправления города Ханты-Мансийска в сети Интернет в разделе «Бюджет для граждан». Создан Общественный совет с целью обеспечения учета общественного мнения, предложений и рекомендаций граждан, при принятии решений Департаментом в области бюджета, финансов, общественной оценки деятельности Департамента управления финансами Администрации города Ханты-Мансийска.</w:t>
      </w:r>
    </w:p>
    <w:p w:rsidR="002D1694" w:rsidRPr="00A41511" w:rsidRDefault="002D1694" w:rsidP="002D1694">
      <w:pPr>
        <w:ind w:right="424" w:firstLine="709"/>
        <w:jc w:val="both"/>
        <w:rPr>
          <w:sz w:val="28"/>
          <w:szCs w:val="28"/>
        </w:rPr>
      </w:pPr>
    </w:p>
    <w:sectPr w:rsidR="002D1694" w:rsidRPr="00A41511" w:rsidSect="005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694"/>
    <w:rsid w:val="00283D32"/>
    <w:rsid w:val="002D1694"/>
    <w:rsid w:val="00382ECE"/>
    <w:rsid w:val="00453304"/>
    <w:rsid w:val="00473EB3"/>
    <w:rsid w:val="005319A6"/>
    <w:rsid w:val="00533FD7"/>
    <w:rsid w:val="005820F0"/>
    <w:rsid w:val="00B12E93"/>
    <w:rsid w:val="00E553A2"/>
    <w:rsid w:val="00E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9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16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6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D1694"/>
    <w:rPr>
      <w:rFonts w:cs="Times New Roman"/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2D1694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1694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2D169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aliases w:val="Обычный (веб) Знак"/>
    <w:basedOn w:val="a"/>
    <w:uiPriority w:val="99"/>
    <w:qFormat/>
    <w:rsid w:val="002D169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List Paragraph"/>
    <w:aliases w:val="SL_Абзац списка"/>
    <w:basedOn w:val="a"/>
    <w:link w:val="a8"/>
    <w:uiPriority w:val="34"/>
    <w:qFormat/>
    <w:rsid w:val="002D1694"/>
    <w:pPr>
      <w:ind w:left="720"/>
      <w:contextualSpacing/>
    </w:pPr>
  </w:style>
  <w:style w:type="paragraph" w:customStyle="1" w:styleId="ConsPlusNonformat">
    <w:name w:val="ConsPlusNonformat"/>
    <w:rsid w:val="002D169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aliases w:val="SL_Абзац списка Знак"/>
    <w:link w:val="a7"/>
    <w:uiPriority w:val="34"/>
    <w:locked/>
    <w:rsid w:val="002D1694"/>
    <w:rPr>
      <w:rFonts w:ascii="Times New Roman" w:eastAsiaTheme="minorEastAsia" w:hAnsi="Times New Roman" w:cs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2D1694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2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6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F02CB0A7C56274757A77AD630B224BC28A3F71B9B64FC5D000A06F9m5W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3B79834A45F7447C0D914B6484C5F5D858894F9FC537E7DF61847596n6B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F8BDFC762F125D4A755FD2DD6F6872E671F6951CCEC2E065ED320AFF9B8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'Управление финансами 2018'!$B$6:$D$6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'Управление финансами 2018'!$B$7:$D$7</c:f>
              <c:numCache>
                <c:formatCode>#,##0.0;[Red]\-#,##0.0;0.0</c:formatCode>
                <c:ptCount val="3"/>
                <c:pt idx="0">
                  <c:v>65078.799999999996</c:v>
                </c:pt>
                <c:pt idx="1">
                  <c:v>78856.3</c:v>
                </c:pt>
                <c:pt idx="2">
                  <c:v>76357.100000000006</c:v>
                </c:pt>
              </c:numCache>
            </c:numRef>
          </c:val>
        </c:ser>
        <c:gapWidth val="219"/>
        <c:overlap val="-27"/>
        <c:axId val="130754048"/>
        <c:axId val="131232128"/>
      </c:barChart>
      <c:catAx>
        <c:axId val="13075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1232128"/>
        <c:crosses val="autoZero"/>
        <c:auto val="1"/>
        <c:lblAlgn val="ctr"/>
        <c:lblOffset val="100"/>
      </c:catAx>
      <c:valAx>
        <c:axId val="131232128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13075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0117079636887574"/>
          <c:y val="4.6296296296296523E-2"/>
          <c:w val="0.47863894783012778"/>
          <c:h val="0.79224482356372639"/>
        </c:manualLayout>
      </c:layout>
      <c:barChart>
        <c:barDir val="bar"/>
        <c:grouping val="clustered"/>
        <c:ser>
          <c:idx val="0"/>
          <c:order val="0"/>
          <c:tx>
            <c:strRef>
              <c:f>'Управление финансами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55 964,2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2 864,5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6 250,1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'Управление финансами 2018'!$A$2:$A$5</c:f>
              <c:strCache>
                <c:ptCount val="4"/>
                <c:pt idx="0">
                  <c:v>Обеспечение выполнения функций и полномочий финансового органа - Департамента управления финансами Администрации города Ханты-Мансийска</c:v>
                </c:pt>
                <c:pt idx="1">
                  <c:v>Администрирование и сопровождение программных комплексов, прикладного программного обеспечения в сфере управления общественными финансами</c:v>
                </c:pt>
                <c:pt idx="2">
                  <c:v>Проведение взвешенной долговой политики, надлежащее исполнение обязательств по муниципальным заимствованиям</c:v>
                </c:pt>
                <c:pt idx="3">
                  <c:v>Формирование в бюджете города резервного фонда Администрации города в соответствии с требованиями Бюджетного кодекса Российской Федерации</c:v>
                </c:pt>
              </c:strCache>
            </c:strRef>
          </c:cat>
          <c:val>
            <c:numRef>
              <c:f>'Управление финансами 2018'!$B$2:$B$5</c:f>
              <c:numCache>
                <c:formatCode>#,##0.00;[Red]\-#,##0.00;0.00</c:formatCode>
                <c:ptCount val="4"/>
                <c:pt idx="0">
                  <c:v>55964.2</c:v>
                </c:pt>
                <c:pt idx="1">
                  <c:v>2864.5</c:v>
                </c:pt>
                <c:pt idx="2">
                  <c:v>6250.1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'Управление финансами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68 373,3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4 458,1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5 524,9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500,0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'Управление финансами 2018'!$A$2:$A$5</c:f>
              <c:strCache>
                <c:ptCount val="4"/>
                <c:pt idx="0">
                  <c:v>Обеспечение выполнения функций и полномочий финансового органа - Департамента управления финансами Администрации города Ханты-Мансийска</c:v>
                </c:pt>
                <c:pt idx="1">
                  <c:v>Администрирование и сопровождение программных комплексов, прикладного программного обеспечения в сфере управления общественными финансами</c:v>
                </c:pt>
                <c:pt idx="2">
                  <c:v>Проведение взвешенной долговой политики, надлежащее исполнение обязательств по муниципальным заимствованиям</c:v>
                </c:pt>
                <c:pt idx="3">
                  <c:v>Формирование в бюджете города резервного фонда Администрации города в соответствии с требованиями Бюджетного кодекса Российской Федерации</c:v>
                </c:pt>
              </c:strCache>
            </c:strRef>
          </c:cat>
          <c:val>
            <c:numRef>
              <c:f>'Управление финансами 2018'!$C$2:$C$5</c:f>
              <c:numCache>
                <c:formatCode>#,##0.00;[Red]\-#,##0.00;0.00</c:formatCode>
                <c:ptCount val="4"/>
                <c:pt idx="0">
                  <c:v>68373.3</c:v>
                </c:pt>
                <c:pt idx="1">
                  <c:v>4458.1000000000004</c:v>
                </c:pt>
                <c:pt idx="2">
                  <c:v>5524.9</c:v>
                </c:pt>
                <c:pt idx="3">
                  <c:v>500</c:v>
                </c:pt>
              </c:numCache>
            </c:numRef>
          </c:val>
        </c:ser>
        <c:ser>
          <c:idx val="2"/>
          <c:order val="2"/>
          <c:tx>
            <c:strRef>
              <c:f>'Управление финансами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66 374,1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4 458,1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5 524,9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'Управление финансами 2018'!$A$2:$A$5</c:f>
              <c:strCache>
                <c:ptCount val="4"/>
                <c:pt idx="0">
                  <c:v>Обеспечение выполнения функций и полномочий финансового органа - Департамента управления финансами Администрации города Ханты-Мансийска</c:v>
                </c:pt>
                <c:pt idx="1">
                  <c:v>Администрирование и сопровождение программных комплексов, прикладного программного обеспечения в сфере управления общественными финансами</c:v>
                </c:pt>
                <c:pt idx="2">
                  <c:v>Проведение взвешенной долговой политики, надлежащее исполнение обязательств по муниципальным заимствованиям</c:v>
                </c:pt>
                <c:pt idx="3">
                  <c:v>Формирование в бюджете города резервного фонда Администрации города в соответствии с требованиями Бюджетного кодекса Российской Федерации</c:v>
                </c:pt>
              </c:strCache>
            </c:strRef>
          </c:cat>
          <c:val>
            <c:numRef>
              <c:f>'Управление финансами 2018'!$D$2:$D$5</c:f>
              <c:numCache>
                <c:formatCode>#,##0.00;[Red]\-#,##0.00;0.00</c:formatCode>
                <c:ptCount val="4"/>
                <c:pt idx="0">
                  <c:v>66374.100000000006</c:v>
                </c:pt>
                <c:pt idx="1">
                  <c:v>4458.1000000000004</c:v>
                </c:pt>
                <c:pt idx="2">
                  <c:v>5524.9</c:v>
                </c:pt>
                <c:pt idx="3">
                  <c:v>0</c:v>
                </c:pt>
              </c:numCache>
            </c:numRef>
          </c:val>
        </c:ser>
        <c:gapWidth val="182"/>
        <c:axId val="137494528"/>
        <c:axId val="137553408"/>
      </c:barChart>
      <c:catAx>
        <c:axId val="1374945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553408"/>
        <c:crosses val="autoZero"/>
        <c:auto val="1"/>
        <c:lblAlgn val="ctr"/>
        <c:lblOffset val="100"/>
      </c:catAx>
      <c:valAx>
        <c:axId val="137553408"/>
        <c:scaling>
          <c:orientation val="minMax"/>
        </c:scaling>
        <c:delete val="1"/>
        <c:axPos val="b"/>
        <c:numFmt formatCode="#,##0.00;[Red]\-#,##0.00;0.00" sourceLinked="1"/>
        <c:majorTickMark val="none"/>
        <c:tickLblPos val="none"/>
        <c:crossAx val="13749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2</cp:revision>
  <dcterms:created xsi:type="dcterms:W3CDTF">2019-03-21T07:15:00Z</dcterms:created>
  <dcterms:modified xsi:type="dcterms:W3CDTF">2019-03-22T06:22:00Z</dcterms:modified>
</cp:coreProperties>
</file>