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2B92">
        <w:rPr>
          <w:rFonts w:ascii="Times New Roman" w:hAnsi="Times New Roman"/>
          <w:b/>
          <w:sz w:val="28"/>
          <w:szCs w:val="28"/>
        </w:rPr>
        <w:t>ок</w:t>
      </w:r>
      <w:r w:rsidR="00866CB2">
        <w:rPr>
          <w:rFonts w:ascii="Times New Roman" w:hAnsi="Times New Roman"/>
          <w:b/>
          <w:sz w:val="28"/>
          <w:szCs w:val="28"/>
        </w:rPr>
        <w:t>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EC2B92">
        <w:rPr>
          <w:rFonts w:ascii="Times New Roman" w:hAnsi="Times New Roman"/>
          <w:sz w:val="26"/>
          <w:szCs w:val="26"/>
        </w:rPr>
        <w:t>ок</w:t>
      </w:r>
      <w:r w:rsidR="00866CB2">
        <w:rPr>
          <w:rFonts w:ascii="Times New Roman" w:hAnsi="Times New Roman"/>
          <w:sz w:val="26"/>
          <w:szCs w:val="26"/>
        </w:rPr>
        <w:t>тября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866CB2">
        <w:rPr>
          <w:sz w:val="26"/>
          <w:szCs w:val="26"/>
        </w:rPr>
        <w:t>4</w:t>
      </w:r>
      <w:r w:rsidR="00EC2B92">
        <w:rPr>
          <w:sz w:val="26"/>
          <w:szCs w:val="26"/>
        </w:rPr>
        <w:t> 806 533,3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EC2B92">
        <w:rPr>
          <w:sz w:val="26"/>
          <w:szCs w:val="26"/>
        </w:rPr>
        <w:t>4 836 764,7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C2B92">
        <w:rPr>
          <w:sz w:val="26"/>
          <w:szCs w:val="26"/>
        </w:rPr>
        <w:t>дефицит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EC2B92">
        <w:rPr>
          <w:sz w:val="26"/>
          <w:szCs w:val="26"/>
        </w:rPr>
        <w:t>(- 30 231,4)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5E1DA2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города 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922DDB">
        <w:rPr>
          <w:rFonts w:ascii="Times New Roman" w:hAnsi="Times New Roman"/>
          <w:sz w:val="26"/>
          <w:szCs w:val="26"/>
          <w:lang w:eastAsia="ru-RU"/>
        </w:rPr>
        <w:t>4</w:t>
      </w:r>
      <w:r w:rsidR="005E1DA2">
        <w:rPr>
          <w:rFonts w:ascii="Times New Roman" w:hAnsi="Times New Roman"/>
          <w:sz w:val="26"/>
          <w:szCs w:val="26"/>
        </w:rPr>
        <w:t> 806 533,3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5E1DA2">
        <w:rPr>
          <w:rFonts w:ascii="Times New Roman" w:hAnsi="Times New Roman"/>
          <w:sz w:val="26"/>
          <w:szCs w:val="26"/>
          <w:lang w:eastAsia="ru-RU"/>
        </w:rPr>
        <w:t xml:space="preserve">              7 103 515,4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922DDB">
        <w:rPr>
          <w:rFonts w:ascii="Times New Roman" w:hAnsi="Times New Roman"/>
          <w:sz w:val="26"/>
          <w:szCs w:val="26"/>
          <w:lang w:eastAsia="ru-RU"/>
        </w:rPr>
        <w:t>6</w:t>
      </w:r>
      <w:r w:rsidR="005E1DA2">
        <w:rPr>
          <w:rFonts w:ascii="Times New Roman" w:hAnsi="Times New Roman"/>
          <w:sz w:val="26"/>
          <w:szCs w:val="26"/>
          <w:lang w:eastAsia="ru-RU"/>
        </w:rPr>
        <w:t>7,7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 на 1 </w:t>
      </w:r>
      <w:r w:rsidR="005E1DA2">
        <w:rPr>
          <w:rFonts w:ascii="Times New Roman" w:hAnsi="Times New Roman"/>
          <w:b/>
          <w:bCs/>
          <w:sz w:val="26"/>
          <w:szCs w:val="26"/>
          <w:lang w:eastAsia="ru-RU"/>
        </w:rPr>
        <w:t>октября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5E1DA2">
        <w:rPr>
          <w:rFonts w:ascii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RPr="00774B9D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p w:rsidR="00AF5269" w:rsidRDefault="00AF5269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AF5269" w:rsidRPr="00AF5269" w:rsidTr="00C86420">
        <w:trPr>
          <w:trHeight w:val="1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Уточненный план по месячному отчету на 01.10.2016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Исполнено на 01.10.2016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% исполнения плана на 2016 год  по отчёту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1 431 217,9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67,5%</w:t>
            </w:r>
          </w:p>
        </w:tc>
      </w:tr>
      <w:tr w:rsidR="00AF5269" w:rsidRPr="00AF5269" w:rsidTr="00C86420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17 597,5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56,0%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289 683,1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76,6%</w:t>
            </w:r>
          </w:p>
        </w:tc>
      </w:tr>
      <w:tr w:rsidR="00AF5269" w:rsidRPr="00AF5269" w:rsidTr="00C86420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200 238,1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78,6%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77 366,0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72,5%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184,5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79,9%</w:t>
            </w:r>
          </w:p>
        </w:tc>
      </w:tr>
      <w:tr w:rsidR="00AF5269" w:rsidRPr="00AF5269" w:rsidTr="00C8642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11 894,5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73,6%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47 523,2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44,9%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2 598,6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14,8%</w:t>
            </w:r>
          </w:p>
        </w:tc>
      </w:tr>
      <w:tr w:rsidR="00AF5269" w:rsidRPr="00AF5269" w:rsidTr="00C8642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44 924,6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50,9%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39 341,0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30 550,5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77,7%</w:t>
            </w:r>
          </w:p>
        </w:tc>
      </w:tr>
      <w:tr w:rsidR="00AF5269" w:rsidRPr="00AF5269" w:rsidTr="00C8642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73 026,2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60,2%</w:t>
            </w:r>
          </w:p>
        </w:tc>
      </w:tr>
      <w:tr w:rsidR="00AF5269" w:rsidRPr="00AF5269" w:rsidTr="00C86420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7 574,1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5 082,2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67,1%</w:t>
            </w:r>
          </w:p>
        </w:tc>
      </w:tr>
      <w:tr w:rsidR="00AF5269" w:rsidRPr="00AF5269" w:rsidTr="00C8642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20 389,4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20 280,2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99,5%</w:t>
            </w:r>
          </w:p>
        </w:tc>
      </w:tr>
      <w:tr w:rsidR="00AF5269" w:rsidRPr="00AF5269" w:rsidTr="00C8642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25 015,6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44,1%</w:t>
            </w:r>
          </w:p>
        </w:tc>
      </w:tr>
      <w:tr w:rsidR="00AF5269" w:rsidRPr="00AF5269" w:rsidTr="00C86420">
        <w:trPr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39 458,7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69,2%</w:t>
            </w:r>
          </w:p>
        </w:tc>
      </w:tr>
      <w:tr w:rsidR="00AF5269" w:rsidRPr="00AF5269" w:rsidTr="00C86420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293,3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48,9%</w:t>
            </w:r>
          </w:p>
        </w:tc>
      </w:tr>
      <w:tr w:rsidR="00AF5269" w:rsidRPr="00AF5269" w:rsidTr="00C8642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2 937 942,7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1 979 731,3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67,4%</w:t>
            </w:r>
          </w:p>
        </w:tc>
      </w:tr>
      <w:tr w:rsidR="00AF5269" w:rsidRPr="00AF5269" w:rsidTr="00C8642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2 674 329,2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1 816 575,1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67,9%</w:t>
            </w:r>
          </w:p>
        </w:tc>
      </w:tr>
      <w:tr w:rsidR="00AF5269" w:rsidRPr="00AF5269" w:rsidTr="00C86420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263 613,5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163 156,2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61,9%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4 165 572,7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2 826 802,0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67,9%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105 396,1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86 443,4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82,0%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1 593 948,8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862 362,9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54,1%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2 458 426,8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1 880 857,5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76,5%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7 801,0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7 780,8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99,7%</w:t>
            </w:r>
          </w:p>
        </w:tc>
      </w:tr>
      <w:tr w:rsidR="00AF5269" w:rsidRPr="00AF5269" w:rsidTr="00C8642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10 642,6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7 103 515,4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4 806 533,3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67,7%</w:t>
            </w:r>
          </w:p>
        </w:tc>
      </w:tr>
    </w:tbl>
    <w:p w:rsidR="00AF5269" w:rsidRPr="00AF5269" w:rsidRDefault="00AF5269" w:rsidP="00AF5269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AF5269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866CB2">
      <w:pPr>
        <w:pStyle w:val="a5"/>
        <w:spacing w:line="360" w:lineRule="auto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866CB2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EC2B92">
        <w:rPr>
          <w:sz w:val="26"/>
          <w:szCs w:val="26"/>
        </w:rPr>
        <w:t>ок</w:t>
      </w:r>
      <w:r w:rsidR="00866CB2">
        <w:rPr>
          <w:sz w:val="26"/>
          <w:szCs w:val="26"/>
        </w:rPr>
        <w:t>тября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866CB2">
        <w:rPr>
          <w:sz w:val="26"/>
          <w:szCs w:val="26"/>
        </w:rPr>
        <w:t>4</w:t>
      </w:r>
      <w:r w:rsidR="00EC2B92">
        <w:rPr>
          <w:sz w:val="26"/>
          <w:szCs w:val="26"/>
        </w:rPr>
        <w:t> 806 533,3</w:t>
      </w:r>
      <w:r w:rsidR="009C740E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866CB2">
        <w:rPr>
          <w:sz w:val="26"/>
          <w:szCs w:val="26"/>
        </w:rPr>
        <w:t>6</w:t>
      </w:r>
      <w:r w:rsidR="00EC2B92">
        <w:rPr>
          <w:sz w:val="26"/>
          <w:szCs w:val="26"/>
        </w:rPr>
        <w:t>6,7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866CB2">
        <w:rPr>
          <w:sz w:val="26"/>
          <w:szCs w:val="26"/>
        </w:rPr>
        <w:t>1</w:t>
      </w:r>
      <w:r w:rsidR="00EC2B92">
        <w:rPr>
          <w:sz w:val="26"/>
          <w:szCs w:val="26"/>
        </w:rPr>
        <w:t>4,1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866CB2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866CB2">
        <w:rPr>
          <w:sz w:val="26"/>
          <w:szCs w:val="26"/>
        </w:rPr>
        <w:t>3,7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EC2B92">
        <w:rPr>
          <w:rFonts w:ascii="Times New Roman" w:hAnsi="Times New Roman"/>
          <w:b/>
          <w:bCs/>
          <w:sz w:val="26"/>
          <w:szCs w:val="26"/>
          <w:lang w:eastAsia="ru-RU"/>
        </w:rPr>
        <w:t>ок</w:t>
      </w:r>
      <w:r w:rsidR="00866CB2">
        <w:rPr>
          <w:rFonts w:ascii="Times New Roman" w:hAnsi="Times New Roman"/>
          <w:b/>
          <w:bCs/>
          <w:sz w:val="26"/>
          <w:szCs w:val="26"/>
          <w:lang w:eastAsia="ru-RU"/>
        </w:rPr>
        <w:t>тября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EC2B92">
        <w:rPr>
          <w:rFonts w:ascii="Times New Roman" w:hAnsi="Times New Roman"/>
          <w:sz w:val="28"/>
          <w:szCs w:val="28"/>
        </w:rPr>
        <w:t>ок</w:t>
      </w:r>
      <w:r w:rsidR="00866CB2">
        <w:rPr>
          <w:rFonts w:ascii="Times New Roman" w:hAnsi="Times New Roman"/>
          <w:sz w:val="28"/>
          <w:szCs w:val="28"/>
        </w:rPr>
        <w:t>тября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Тыс.</w:t>
      </w:r>
      <w:r w:rsidR="00775F8D">
        <w:rPr>
          <w:rFonts w:ascii="Times New Roman" w:hAnsi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/>
          <w:i/>
          <w:sz w:val="20"/>
          <w:szCs w:val="20"/>
        </w:rPr>
        <w:t>руб.</w:t>
      </w:r>
    </w:p>
    <w:tbl>
      <w:tblPr>
        <w:tblW w:w="9511" w:type="dxa"/>
        <w:tblInd w:w="95" w:type="dxa"/>
        <w:tblLook w:val="04A0"/>
      </w:tblPr>
      <w:tblGrid>
        <w:gridCol w:w="4549"/>
        <w:gridCol w:w="1750"/>
        <w:gridCol w:w="1632"/>
        <w:gridCol w:w="1580"/>
      </w:tblGrid>
      <w:tr w:rsidR="009C740E" w:rsidRPr="009C740E" w:rsidTr="00775F8D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</w:t>
            </w:r>
            <w:r w:rsid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0.2016 по месячному отчету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2016 год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7 256 396,8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4 836 764,7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EC2B92" w:rsidRPr="00EC2B92" w:rsidTr="005E1DA2">
        <w:trPr>
          <w:trHeight w:val="1368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 xml:space="preserve">     в том числе: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665 428,5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469 544,9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122 075,6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87 094,7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1 130 093,1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645 520,4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1 393 908,7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717 564,9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51,5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3 261 334,7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2 438 632,4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127 519,9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94 637,1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323 150,3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217 026,2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172 845,0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126 245,0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43 041,0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27 891,0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64,8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12 608,2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74,2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города Ханты-Мансийска на 1</w:t>
      </w:r>
      <w:r w:rsidR="008B77B7">
        <w:rPr>
          <w:sz w:val="26"/>
          <w:szCs w:val="26"/>
        </w:rPr>
        <w:t xml:space="preserve"> </w:t>
      </w:r>
      <w:r w:rsidR="00EC2B92">
        <w:rPr>
          <w:sz w:val="26"/>
          <w:szCs w:val="26"/>
        </w:rPr>
        <w:t>ок</w:t>
      </w:r>
      <w:r w:rsidR="00DA36E3">
        <w:rPr>
          <w:sz w:val="26"/>
          <w:szCs w:val="26"/>
        </w:rPr>
        <w:t>тября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EC2B92">
        <w:rPr>
          <w:sz w:val="26"/>
          <w:szCs w:val="26"/>
        </w:rPr>
        <w:t>де</w:t>
      </w:r>
      <w:r w:rsidR="004C3043">
        <w:rPr>
          <w:sz w:val="26"/>
          <w:szCs w:val="26"/>
        </w:rPr>
        <w:t>фицитом</w:t>
      </w:r>
      <w:r w:rsidRPr="00557FBC">
        <w:rPr>
          <w:sz w:val="26"/>
          <w:szCs w:val="26"/>
        </w:rPr>
        <w:t xml:space="preserve"> в сумме </w:t>
      </w:r>
      <w:r w:rsidR="00EC2B92">
        <w:rPr>
          <w:sz w:val="26"/>
          <w:szCs w:val="26"/>
        </w:rPr>
        <w:t>(-30,231,4)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>на 1</w:t>
      </w:r>
      <w:r w:rsidR="008B77B7">
        <w:rPr>
          <w:rFonts w:ascii="Times New Roman" w:eastAsia="Times New Roman" w:hAnsi="Times New Roman"/>
          <w:sz w:val="26"/>
          <w:szCs w:val="26"/>
        </w:rPr>
        <w:t xml:space="preserve"> </w:t>
      </w:r>
      <w:r w:rsidR="00E26981">
        <w:rPr>
          <w:rFonts w:ascii="Times New Roman" w:eastAsia="Times New Roman" w:hAnsi="Times New Roman"/>
          <w:sz w:val="26"/>
          <w:szCs w:val="26"/>
        </w:rPr>
        <w:t>ок</w:t>
      </w:r>
      <w:r w:rsidR="00DA36E3">
        <w:rPr>
          <w:rFonts w:ascii="Times New Roman" w:eastAsia="Times New Roman" w:hAnsi="Times New Roman"/>
          <w:sz w:val="26"/>
          <w:szCs w:val="26"/>
        </w:rPr>
        <w:t>тября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E26981">
        <w:rPr>
          <w:rFonts w:ascii="Times New Roman" w:hAnsi="Times New Roman"/>
          <w:sz w:val="26"/>
          <w:szCs w:val="26"/>
        </w:rPr>
        <w:t>30 231,4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Pr="00775F8D" w:rsidRDefault="00586127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>(</w:t>
      </w:r>
      <w:r w:rsidR="00B90431" w:rsidRPr="00775F8D">
        <w:rPr>
          <w:rFonts w:ascii="Times New Roman" w:eastAsia="Times New Roman" w:hAnsi="Times New Roman"/>
          <w:sz w:val="26"/>
          <w:szCs w:val="26"/>
        </w:rPr>
        <w:t>-</w:t>
      </w:r>
      <w:r w:rsidRPr="00775F8D">
        <w:rPr>
          <w:rFonts w:ascii="Times New Roman" w:eastAsia="Times New Roman" w:hAnsi="Times New Roman"/>
          <w:sz w:val="26"/>
          <w:szCs w:val="26"/>
        </w:rPr>
        <w:t>)</w:t>
      </w:r>
      <w:r w:rsidR="00FB669F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E26981">
        <w:rPr>
          <w:rFonts w:ascii="Times New Roman" w:hAnsi="Times New Roman"/>
          <w:sz w:val="26"/>
          <w:szCs w:val="26"/>
        </w:rPr>
        <w:t>5 988,4</w:t>
      </w:r>
      <w:r w:rsidR="0020283E" w:rsidRPr="00775F8D">
        <w:rPr>
          <w:sz w:val="26"/>
          <w:szCs w:val="26"/>
        </w:rPr>
        <w:t xml:space="preserve"> 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– изменение остатков средств на счетах</w:t>
      </w:r>
      <w:r w:rsidR="0020283E" w:rsidRPr="00775F8D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775F8D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 xml:space="preserve">(+) </w:t>
      </w:r>
      <w:r w:rsidR="00E26981">
        <w:rPr>
          <w:rFonts w:ascii="Times New Roman" w:eastAsia="Times New Roman" w:hAnsi="Times New Roman"/>
          <w:sz w:val="26"/>
          <w:szCs w:val="26"/>
        </w:rPr>
        <w:t>219,8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страны;</w:t>
      </w:r>
    </w:p>
    <w:p w:rsidR="004C3043" w:rsidRPr="00775F8D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(+) </w:t>
      </w:r>
      <w:r w:rsidR="00C90E43" w:rsidRPr="00775F8D">
        <w:rPr>
          <w:rFonts w:ascii="Times New Roman" w:eastAsia="Times New Roman" w:hAnsi="Times New Roman"/>
          <w:iCs/>
          <w:sz w:val="26"/>
          <w:szCs w:val="26"/>
        </w:rPr>
        <w:t>1</w:t>
      </w:r>
      <w:r w:rsidR="00DA36E3" w:rsidRPr="00775F8D">
        <w:rPr>
          <w:rFonts w:ascii="Times New Roman" w:eastAsia="Times New Roman" w:hAnsi="Times New Roman"/>
          <w:iCs/>
          <w:sz w:val="26"/>
          <w:szCs w:val="26"/>
        </w:rPr>
        <w:t>3</w:t>
      </w:r>
      <w:r w:rsidR="00B90431" w:rsidRPr="00775F8D">
        <w:rPr>
          <w:rFonts w:ascii="Times New Roman" w:eastAsia="Times New Roman" w:hAnsi="Times New Roman"/>
          <w:iCs/>
          <w:sz w:val="26"/>
          <w:szCs w:val="26"/>
        </w:rPr>
        <w:t>5 000,0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– увеличение иных финансовых активов в собственности городских округов;</w:t>
      </w:r>
    </w:p>
    <w:p w:rsidR="00586127" w:rsidRPr="00775F8D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775F8D">
        <w:rPr>
          <w:rFonts w:ascii="Times New Roman" w:hAnsi="Times New Roman"/>
          <w:b/>
          <w:sz w:val="26"/>
          <w:szCs w:val="26"/>
        </w:rPr>
        <w:t xml:space="preserve">           </w:t>
      </w:r>
      <w:r w:rsidRPr="00775F8D">
        <w:rPr>
          <w:rFonts w:ascii="Times New Roman" w:hAnsi="Times New Roman"/>
          <w:sz w:val="26"/>
          <w:szCs w:val="26"/>
        </w:rPr>
        <w:t xml:space="preserve">(-) </w:t>
      </w:r>
      <w:r w:rsidR="00E26981">
        <w:rPr>
          <w:rFonts w:ascii="Times New Roman" w:hAnsi="Times New Roman"/>
          <w:sz w:val="26"/>
          <w:szCs w:val="26"/>
        </w:rPr>
        <w:t>99</w:t>
      </w:r>
      <w:r w:rsidR="00762B88" w:rsidRPr="00775F8D">
        <w:rPr>
          <w:rFonts w:ascii="Times New Roman" w:hAnsi="Times New Roman"/>
          <w:sz w:val="26"/>
          <w:szCs w:val="26"/>
        </w:rPr>
        <w:t> 000,0</w:t>
      </w:r>
      <w:r w:rsidRPr="00775F8D">
        <w:rPr>
          <w:rFonts w:ascii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="00DC4583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775F8D">
        <w:rPr>
          <w:rFonts w:ascii="Times New Roman" w:hAnsi="Times New Roman"/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 w:rsidRPr="00775F8D">
        <w:rPr>
          <w:rFonts w:ascii="Times New Roman" w:hAnsi="Times New Roman"/>
          <w:sz w:val="26"/>
          <w:szCs w:val="26"/>
        </w:rPr>
        <w:t>.</w:t>
      </w:r>
    </w:p>
    <w:sectPr w:rsidR="00586127" w:rsidRPr="00775F8D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51905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04DD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622A8"/>
    <w:rsid w:val="00474957"/>
    <w:rsid w:val="00487C94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E1DA2"/>
    <w:rsid w:val="005F6412"/>
    <w:rsid w:val="00605B58"/>
    <w:rsid w:val="00610FBA"/>
    <w:rsid w:val="0062475D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74B9D"/>
    <w:rsid w:val="00775F8D"/>
    <w:rsid w:val="007803BD"/>
    <w:rsid w:val="00782BCD"/>
    <w:rsid w:val="00783BFB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6CB2"/>
    <w:rsid w:val="00867A7E"/>
    <w:rsid w:val="00871648"/>
    <w:rsid w:val="00872119"/>
    <w:rsid w:val="0087417A"/>
    <w:rsid w:val="008834EE"/>
    <w:rsid w:val="00884991"/>
    <w:rsid w:val="00887EE1"/>
    <w:rsid w:val="00894771"/>
    <w:rsid w:val="008957F7"/>
    <w:rsid w:val="008B77B7"/>
    <w:rsid w:val="008C6C70"/>
    <w:rsid w:val="008D3D15"/>
    <w:rsid w:val="008E100E"/>
    <w:rsid w:val="008E2D6C"/>
    <w:rsid w:val="008E39F8"/>
    <w:rsid w:val="008E5B33"/>
    <w:rsid w:val="008E665D"/>
    <w:rsid w:val="008E77ED"/>
    <w:rsid w:val="00903C3C"/>
    <w:rsid w:val="00915122"/>
    <w:rsid w:val="00915780"/>
    <w:rsid w:val="00922DDB"/>
    <w:rsid w:val="00926946"/>
    <w:rsid w:val="00926E32"/>
    <w:rsid w:val="009315CE"/>
    <w:rsid w:val="0095724E"/>
    <w:rsid w:val="0096203C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C740E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73BF7"/>
    <w:rsid w:val="00A91916"/>
    <w:rsid w:val="00AA109D"/>
    <w:rsid w:val="00AD49D3"/>
    <w:rsid w:val="00AD4F4A"/>
    <w:rsid w:val="00AF1CD2"/>
    <w:rsid w:val="00AF5269"/>
    <w:rsid w:val="00B029A6"/>
    <w:rsid w:val="00B03735"/>
    <w:rsid w:val="00B1410B"/>
    <w:rsid w:val="00B23BD2"/>
    <w:rsid w:val="00B242F1"/>
    <w:rsid w:val="00B37C51"/>
    <w:rsid w:val="00B473B0"/>
    <w:rsid w:val="00B50D3E"/>
    <w:rsid w:val="00B517F8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E608E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86420"/>
    <w:rsid w:val="00C90E43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65160"/>
    <w:rsid w:val="00DA117B"/>
    <w:rsid w:val="00DA36E3"/>
    <w:rsid w:val="00DA643A"/>
    <w:rsid w:val="00DB273A"/>
    <w:rsid w:val="00DB33D3"/>
    <w:rsid w:val="00DC0770"/>
    <w:rsid w:val="00DC1920"/>
    <w:rsid w:val="00DC1B47"/>
    <w:rsid w:val="00DC4583"/>
    <w:rsid w:val="00DE507D"/>
    <w:rsid w:val="00E0425A"/>
    <w:rsid w:val="00E06DD4"/>
    <w:rsid w:val="00E10E18"/>
    <w:rsid w:val="00E10E70"/>
    <w:rsid w:val="00E21F0A"/>
    <w:rsid w:val="00E26981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C2B92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4052332.8</c:v>
                </c:pt>
                <c:pt idx="1">
                  <c:v>4672389.5</c:v>
                </c:pt>
                <c:pt idx="2">
                  <c:v>4806533.3</c:v>
                </c:pt>
              </c:numCache>
            </c:numRef>
          </c:val>
        </c:ser>
        <c:gapWidth val="71"/>
        <c:shape val="cylinder"/>
        <c:axId val="151529344"/>
        <c:axId val="154952448"/>
        <c:axId val="0"/>
      </c:bar3DChart>
      <c:catAx>
        <c:axId val="1515293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952448"/>
        <c:crosses val="autoZero"/>
        <c:auto val="1"/>
        <c:lblAlgn val="ctr"/>
        <c:lblOffset val="100"/>
      </c:catAx>
      <c:valAx>
        <c:axId val="154952448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29344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142"/>
          <c:w val="8.1395304055893028E-2"/>
          <c:h val="0.3478260004229336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4237415</c:v>
                </c:pt>
                <c:pt idx="1">
                  <c:v>4665279</c:v>
                </c:pt>
                <c:pt idx="2">
                  <c:v>4836765</c:v>
                </c:pt>
              </c:numCache>
            </c:numRef>
          </c:val>
        </c:ser>
        <c:gapWidth val="46"/>
        <c:shape val="cylinder"/>
        <c:axId val="220422528"/>
        <c:axId val="220680960"/>
        <c:axId val="0"/>
      </c:bar3DChart>
      <c:catAx>
        <c:axId val="2204225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680960"/>
        <c:crosses val="autoZero"/>
        <c:auto val="1"/>
        <c:lblAlgn val="ctr"/>
        <c:lblOffset val="100"/>
      </c:catAx>
      <c:valAx>
        <c:axId val="22068096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422528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1"/>
          <c:w val="8.3760683760684143E-2"/>
          <c:h val="0.40909090909091006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OhranovaEA</cp:lastModifiedBy>
  <cp:revision>16</cp:revision>
  <cp:lastPrinted>2013-12-09T07:42:00Z</cp:lastPrinted>
  <dcterms:created xsi:type="dcterms:W3CDTF">2016-07-18T04:18:00Z</dcterms:created>
  <dcterms:modified xsi:type="dcterms:W3CDTF">2016-10-06T06:17:00Z</dcterms:modified>
</cp:coreProperties>
</file>