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F2" w:rsidRDefault="00B576F2" w:rsidP="00B576F2">
      <w:pPr>
        <w:pStyle w:val="2"/>
        <w:jc w:val="center"/>
        <w:rPr>
          <w:sz w:val="32"/>
          <w:szCs w:val="32"/>
        </w:rPr>
      </w:pPr>
      <w:bookmarkStart w:id="0" w:name="_Toc3795536"/>
      <w:bookmarkStart w:id="1" w:name="_Toc4056098"/>
      <w:r w:rsidRPr="000A6854">
        <w:rPr>
          <w:sz w:val="32"/>
          <w:szCs w:val="32"/>
        </w:rPr>
        <w:t>3.22. Муниципальная программа «Молодежь города Ханты-Мансийска»</w:t>
      </w:r>
      <w:bookmarkEnd w:id="0"/>
      <w:bookmarkEnd w:id="1"/>
    </w:p>
    <w:p w:rsidR="00B576F2" w:rsidRPr="000A6854" w:rsidRDefault="00B576F2" w:rsidP="00B576F2"/>
    <w:p w:rsidR="00B576F2" w:rsidRPr="001B6E5A" w:rsidRDefault="00B576F2" w:rsidP="00B576F2">
      <w:pPr>
        <w:spacing w:after="0"/>
        <w:ind w:right="424" w:firstLine="709"/>
        <w:jc w:val="both"/>
        <w:rPr>
          <w:sz w:val="28"/>
          <w:szCs w:val="28"/>
        </w:rPr>
      </w:pPr>
      <w:r w:rsidRPr="001B6E5A">
        <w:rPr>
          <w:sz w:val="28"/>
          <w:szCs w:val="28"/>
        </w:rPr>
        <w:t>Муниципальная программа утверждена постановлением Админис</w:t>
      </w:r>
      <w:r w:rsidRPr="001B6E5A">
        <w:rPr>
          <w:sz w:val="28"/>
          <w:szCs w:val="28"/>
        </w:rPr>
        <w:t>т</w:t>
      </w:r>
      <w:r w:rsidRPr="001B6E5A">
        <w:rPr>
          <w:sz w:val="28"/>
          <w:szCs w:val="28"/>
        </w:rPr>
        <w:t xml:space="preserve">рации города Ханты-Мансийска от </w:t>
      </w:r>
      <w:r>
        <w:rPr>
          <w:sz w:val="28"/>
          <w:szCs w:val="28"/>
        </w:rPr>
        <w:t xml:space="preserve">29.09.2014 </w:t>
      </w:r>
      <w:r w:rsidRPr="001B6E5A">
        <w:rPr>
          <w:sz w:val="28"/>
          <w:szCs w:val="28"/>
        </w:rPr>
        <w:t>№</w:t>
      </w:r>
      <w:r>
        <w:rPr>
          <w:sz w:val="28"/>
          <w:szCs w:val="28"/>
        </w:rPr>
        <w:t xml:space="preserve"> 927</w:t>
      </w:r>
      <w:r w:rsidRPr="001B6E5A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«Молодежь города Ханты-Мансийска» на 2016-2020 годы.</w:t>
      </w:r>
      <w:r w:rsidRPr="001B6E5A">
        <w:rPr>
          <w:sz w:val="28"/>
          <w:szCs w:val="28"/>
        </w:rPr>
        <w:t xml:space="preserve"> </w:t>
      </w:r>
    </w:p>
    <w:p w:rsidR="00B576F2" w:rsidRPr="00171C2E" w:rsidRDefault="00B576F2" w:rsidP="00B576F2">
      <w:pPr>
        <w:spacing w:after="0"/>
        <w:ind w:right="424" w:firstLine="709"/>
        <w:jc w:val="both"/>
        <w:rPr>
          <w:sz w:val="28"/>
          <w:szCs w:val="28"/>
        </w:rPr>
      </w:pPr>
      <w:r w:rsidRPr="001B6E5A">
        <w:rPr>
          <w:sz w:val="28"/>
          <w:szCs w:val="28"/>
        </w:rPr>
        <w:t>Разработчиком и координатором муниципальной программы явл</w:t>
      </w:r>
      <w:r w:rsidRPr="001B6E5A">
        <w:rPr>
          <w:sz w:val="28"/>
          <w:szCs w:val="28"/>
        </w:rPr>
        <w:t>я</w:t>
      </w:r>
      <w:r w:rsidRPr="001B6E5A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Pr="00171C2E">
        <w:rPr>
          <w:sz w:val="28"/>
          <w:szCs w:val="28"/>
        </w:rPr>
        <w:t>Управление физической культуры, спорта и молодежной политики Администрации города Ханты-Мансийска.</w:t>
      </w:r>
    </w:p>
    <w:p w:rsidR="00B576F2" w:rsidRPr="00C33C5A" w:rsidRDefault="00B576F2" w:rsidP="00B576F2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1B6E5A">
        <w:rPr>
          <w:sz w:val="28"/>
          <w:szCs w:val="28"/>
        </w:rPr>
        <w:t>Цель</w:t>
      </w:r>
      <w:r w:rsidRPr="001B6E5A">
        <w:rPr>
          <w:rFonts w:eastAsia="Times New Roman"/>
          <w:sz w:val="28"/>
          <w:szCs w:val="28"/>
        </w:rPr>
        <w:t xml:space="preserve">ю муниципальной программы является </w:t>
      </w:r>
      <w:r>
        <w:rPr>
          <w:sz w:val="28"/>
          <w:szCs w:val="28"/>
        </w:rPr>
        <w:t>развитие благоприя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условий для успешной социализации и эффективной самореализ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конкурентоспособности молодежи в социально-экономической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 города Ханты-Мансийска.</w:t>
      </w:r>
    </w:p>
    <w:p w:rsidR="00B576F2" w:rsidRPr="001B6E5A" w:rsidRDefault="00B576F2" w:rsidP="00B576F2">
      <w:pPr>
        <w:spacing w:after="0"/>
        <w:ind w:right="424" w:firstLine="709"/>
        <w:jc w:val="both"/>
        <w:rPr>
          <w:sz w:val="28"/>
          <w:szCs w:val="28"/>
        </w:rPr>
      </w:pPr>
      <w:r w:rsidRPr="001B6E5A">
        <w:rPr>
          <w:rFonts w:eastAsia="Times New Roman"/>
          <w:sz w:val="28"/>
          <w:szCs w:val="28"/>
        </w:rPr>
        <w:t xml:space="preserve"> </w:t>
      </w:r>
      <w:r w:rsidRPr="001B6E5A">
        <w:rPr>
          <w:sz w:val="28"/>
          <w:szCs w:val="28"/>
        </w:rPr>
        <w:t>Задачи муниципальной программы:</w:t>
      </w:r>
    </w:p>
    <w:p w:rsidR="00B576F2" w:rsidRPr="00076C1E" w:rsidRDefault="00B576F2" w:rsidP="00B576F2">
      <w:pPr>
        <w:autoSpaceDE w:val="0"/>
        <w:autoSpaceDN w:val="0"/>
        <w:adjustRightInd w:val="0"/>
        <w:spacing w:after="0"/>
        <w:ind w:right="424" w:firstLine="708"/>
        <w:jc w:val="both"/>
        <w:rPr>
          <w:bCs/>
          <w:sz w:val="28"/>
          <w:szCs w:val="28"/>
        </w:rPr>
      </w:pPr>
      <w:r w:rsidRPr="00076C1E">
        <w:rPr>
          <w:rFonts w:eastAsia="Times New Roman"/>
          <w:sz w:val="28"/>
          <w:szCs w:val="28"/>
        </w:rPr>
        <w:t>1.</w:t>
      </w:r>
      <w:r w:rsidRPr="00076C1E">
        <w:rPr>
          <w:bCs/>
          <w:sz w:val="28"/>
          <w:szCs w:val="28"/>
        </w:rPr>
        <w:t xml:space="preserve"> Создание системы выявления и продвижения инициативной и т</w:t>
      </w:r>
      <w:r w:rsidRPr="00076C1E">
        <w:rPr>
          <w:bCs/>
          <w:sz w:val="28"/>
          <w:szCs w:val="28"/>
        </w:rPr>
        <w:t>а</w:t>
      </w:r>
      <w:r w:rsidRPr="00076C1E">
        <w:rPr>
          <w:bCs/>
          <w:sz w:val="28"/>
          <w:szCs w:val="28"/>
        </w:rPr>
        <w:t>лантливой молодежи, развития потенциала молодежи.</w:t>
      </w:r>
    </w:p>
    <w:p w:rsidR="00B576F2" w:rsidRPr="00076C1E" w:rsidRDefault="00B576F2" w:rsidP="00B576F2">
      <w:pPr>
        <w:autoSpaceDE w:val="0"/>
        <w:autoSpaceDN w:val="0"/>
        <w:adjustRightInd w:val="0"/>
        <w:spacing w:after="0"/>
        <w:ind w:right="424" w:firstLine="708"/>
        <w:jc w:val="both"/>
        <w:rPr>
          <w:bCs/>
          <w:sz w:val="28"/>
          <w:szCs w:val="28"/>
        </w:rPr>
      </w:pPr>
      <w:r w:rsidRPr="00076C1E">
        <w:rPr>
          <w:bCs/>
          <w:sz w:val="28"/>
          <w:szCs w:val="28"/>
        </w:rPr>
        <w:t>2. Создание условий для эффективного поведения молодежи на рынке труда, содействие профориентации молодежи.</w:t>
      </w:r>
    </w:p>
    <w:p w:rsidR="00B576F2" w:rsidRPr="00076C1E" w:rsidRDefault="00B576F2" w:rsidP="00B576F2">
      <w:pPr>
        <w:autoSpaceDE w:val="0"/>
        <w:autoSpaceDN w:val="0"/>
        <w:adjustRightInd w:val="0"/>
        <w:spacing w:after="0"/>
        <w:ind w:right="42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076C1E">
        <w:rPr>
          <w:bCs/>
          <w:sz w:val="28"/>
          <w:szCs w:val="28"/>
        </w:rPr>
        <w:t>Содействие в развитии гражданских, патриотических качеств молодежи, социализация молодых людей, оказавшихся в трудной жизне</w:t>
      </w:r>
      <w:r w:rsidRPr="00076C1E">
        <w:rPr>
          <w:bCs/>
          <w:sz w:val="28"/>
          <w:szCs w:val="28"/>
        </w:rPr>
        <w:t>н</w:t>
      </w:r>
      <w:r w:rsidRPr="00076C1E">
        <w:rPr>
          <w:bCs/>
          <w:sz w:val="28"/>
          <w:szCs w:val="28"/>
        </w:rPr>
        <w:t>ной ситуации.</w:t>
      </w:r>
    </w:p>
    <w:p w:rsidR="00B576F2" w:rsidRPr="00076C1E" w:rsidRDefault="00B576F2" w:rsidP="00B576F2">
      <w:pPr>
        <w:autoSpaceDE w:val="0"/>
        <w:autoSpaceDN w:val="0"/>
        <w:adjustRightInd w:val="0"/>
        <w:spacing w:after="0"/>
        <w:ind w:right="424" w:firstLine="708"/>
        <w:jc w:val="both"/>
        <w:rPr>
          <w:bCs/>
          <w:sz w:val="28"/>
          <w:szCs w:val="28"/>
        </w:rPr>
      </w:pPr>
      <w:r w:rsidRPr="00076C1E">
        <w:rPr>
          <w:bCs/>
          <w:sz w:val="28"/>
          <w:szCs w:val="28"/>
        </w:rPr>
        <w:t>4. Повышение качества оказания муниципальных услуг для мол</w:t>
      </w:r>
      <w:r w:rsidRPr="00076C1E">
        <w:rPr>
          <w:bCs/>
          <w:sz w:val="28"/>
          <w:szCs w:val="28"/>
        </w:rPr>
        <w:t>о</w:t>
      </w:r>
      <w:r w:rsidRPr="00076C1E">
        <w:rPr>
          <w:bCs/>
          <w:sz w:val="28"/>
          <w:szCs w:val="28"/>
        </w:rPr>
        <w:t>дежи</w:t>
      </w:r>
      <w:r>
        <w:rPr>
          <w:bCs/>
          <w:sz w:val="28"/>
          <w:szCs w:val="28"/>
        </w:rPr>
        <w:t>.</w:t>
      </w:r>
    </w:p>
    <w:p w:rsidR="00B576F2" w:rsidRDefault="00B576F2" w:rsidP="00B576F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  <w:r w:rsidRPr="001B6E5A">
        <w:rPr>
          <w:rFonts w:eastAsia="Times New Roman"/>
          <w:sz w:val="28"/>
          <w:szCs w:val="28"/>
        </w:rPr>
        <w:t>Достижение указанной ц</w:t>
      </w:r>
      <w:r>
        <w:rPr>
          <w:rFonts w:eastAsia="Times New Roman"/>
          <w:sz w:val="28"/>
          <w:szCs w:val="28"/>
        </w:rPr>
        <w:t>ели и решение задач характеризую</w:t>
      </w:r>
      <w:r w:rsidRPr="001B6E5A">
        <w:rPr>
          <w:rFonts w:eastAsia="Times New Roman"/>
          <w:sz w:val="28"/>
          <w:szCs w:val="28"/>
        </w:rPr>
        <w:t>тся сл</w:t>
      </w:r>
      <w:r w:rsidRPr="001B6E5A">
        <w:rPr>
          <w:rFonts w:eastAsia="Times New Roman"/>
          <w:sz w:val="28"/>
          <w:szCs w:val="28"/>
        </w:rPr>
        <w:t>е</w:t>
      </w:r>
      <w:r w:rsidRPr="001B6E5A">
        <w:rPr>
          <w:rFonts w:eastAsia="Times New Roman"/>
          <w:sz w:val="28"/>
          <w:szCs w:val="28"/>
        </w:rPr>
        <w:t>дующими целевыми показателями:</w:t>
      </w:r>
    </w:p>
    <w:p w:rsidR="00B576F2" w:rsidRDefault="00B576F2" w:rsidP="00B576F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B576F2" w:rsidRDefault="00B576F2" w:rsidP="00B576F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B576F2" w:rsidRDefault="00B576F2" w:rsidP="00B576F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B576F2" w:rsidRDefault="00B576F2" w:rsidP="00B576F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B576F2" w:rsidRDefault="00B576F2" w:rsidP="00B576F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B576F2" w:rsidRDefault="00B576F2" w:rsidP="00B576F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B576F2" w:rsidRDefault="00B576F2" w:rsidP="00B576F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B576F2" w:rsidRDefault="00B576F2" w:rsidP="00B576F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B576F2" w:rsidRDefault="00B576F2" w:rsidP="00B576F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B576F2" w:rsidRDefault="00B576F2" w:rsidP="00B576F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B576F2" w:rsidRDefault="00B576F2" w:rsidP="00B576F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B576F2" w:rsidRDefault="00B576F2" w:rsidP="00B576F2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B576F2" w:rsidRPr="00260311" w:rsidRDefault="00B576F2" w:rsidP="00B576F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1B6E5A">
        <w:rPr>
          <w:sz w:val="28"/>
          <w:szCs w:val="28"/>
        </w:rPr>
        <w:lastRenderedPageBreak/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260311">
        <w:t xml:space="preserve">Таблица 3.22.1. </w:t>
      </w:r>
    </w:p>
    <w:p w:rsidR="00B576F2" w:rsidRPr="000A6854" w:rsidRDefault="00B576F2" w:rsidP="00B576F2">
      <w:pPr>
        <w:spacing w:after="0"/>
        <w:ind w:right="424" w:firstLine="709"/>
        <w:jc w:val="center"/>
        <w:rPr>
          <w:b/>
          <w:sz w:val="28"/>
          <w:szCs w:val="28"/>
        </w:rPr>
      </w:pPr>
      <w:r w:rsidRPr="000A6854">
        <w:rPr>
          <w:b/>
          <w:sz w:val="28"/>
          <w:szCs w:val="28"/>
        </w:rPr>
        <w:t xml:space="preserve">Целевые показатели муниципальной программы </w:t>
      </w:r>
    </w:p>
    <w:p w:rsidR="00B576F2" w:rsidRPr="000A6854" w:rsidRDefault="00B576F2" w:rsidP="00B576F2">
      <w:pPr>
        <w:spacing w:after="0"/>
        <w:ind w:right="424" w:firstLine="709"/>
        <w:jc w:val="center"/>
        <w:rPr>
          <w:b/>
          <w:sz w:val="28"/>
          <w:szCs w:val="28"/>
        </w:rPr>
      </w:pPr>
      <w:r w:rsidRPr="000A6854">
        <w:rPr>
          <w:b/>
          <w:sz w:val="28"/>
          <w:szCs w:val="28"/>
        </w:rPr>
        <w:t>«Молодежь города Ханты-Мансийска» на 2016-2020 годы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836"/>
        <w:gridCol w:w="1134"/>
        <w:gridCol w:w="1843"/>
        <w:gridCol w:w="1134"/>
        <w:gridCol w:w="1134"/>
        <w:gridCol w:w="1134"/>
        <w:gridCol w:w="1134"/>
      </w:tblGrid>
      <w:tr w:rsidR="00B576F2" w:rsidRPr="00C32F1C" w:rsidTr="009E0B0D">
        <w:trPr>
          <w:trHeight w:val="1902"/>
          <w:tblHeader/>
        </w:trPr>
        <w:tc>
          <w:tcPr>
            <w:tcW w:w="425" w:type="dxa"/>
            <w:vMerge w:val="restart"/>
            <w:vAlign w:val="center"/>
          </w:tcPr>
          <w:p w:rsidR="00B576F2" w:rsidRPr="005239AF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836" w:type="dxa"/>
            <w:vMerge w:val="restart"/>
            <w:vAlign w:val="center"/>
          </w:tcPr>
          <w:p w:rsidR="00B576F2" w:rsidRPr="005239AF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Наименование показат</w:t>
            </w:r>
            <w:r w:rsidRPr="005239AF">
              <w:rPr>
                <w:sz w:val="20"/>
                <w:szCs w:val="20"/>
              </w:rPr>
              <w:t>е</w:t>
            </w:r>
            <w:r w:rsidRPr="005239AF">
              <w:rPr>
                <w:sz w:val="20"/>
                <w:szCs w:val="20"/>
              </w:rPr>
              <w:t>лей результатов</w:t>
            </w:r>
          </w:p>
        </w:tc>
        <w:tc>
          <w:tcPr>
            <w:tcW w:w="1134" w:type="dxa"/>
            <w:vMerge w:val="restart"/>
            <w:vAlign w:val="center"/>
          </w:tcPr>
          <w:p w:rsidR="00B576F2" w:rsidRPr="005239AF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Ед. </w:t>
            </w:r>
            <w:proofErr w:type="spellStart"/>
            <w:r w:rsidRPr="005239AF">
              <w:rPr>
                <w:sz w:val="20"/>
                <w:szCs w:val="20"/>
              </w:rPr>
              <w:t>изм</w:t>
            </w:r>
            <w:proofErr w:type="spellEnd"/>
            <w:r w:rsidRPr="005239AF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B576F2" w:rsidRPr="005239AF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Базовы</w:t>
            </w:r>
            <w:r>
              <w:rPr>
                <w:sz w:val="20"/>
                <w:szCs w:val="20"/>
              </w:rPr>
              <w:t>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казатель на начало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</w:t>
            </w:r>
            <w:r w:rsidRPr="005239AF">
              <w:rPr>
                <w:sz w:val="20"/>
                <w:szCs w:val="20"/>
              </w:rPr>
              <w:t>ции пр</w:t>
            </w:r>
            <w:r w:rsidRPr="005239A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</w:t>
            </w:r>
            <w:r w:rsidRPr="005239AF">
              <w:rPr>
                <w:sz w:val="20"/>
                <w:szCs w:val="20"/>
              </w:rPr>
              <w:t>мы</w:t>
            </w:r>
          </w:p>
        </w:tc>
        <w:tc>
          <w:tcPr>
            <w:tcW w:w="2268" w:type="dxa"/>
            <w:gridSpan w:val="2"/>
            <w:vAlign w:val="center"/>
          </w:tcPr>
          <w:p w:rsidR="00B576F2" w:rsidRPr="005239AF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Значение показ</w:t>
            </w:r>
            <w:r w:rsidRPr="005239AF">
              <w:rPr>
                <w:sz w:val="20"/>
                <w:szCs w:val="20"/>
              </w:rPr>
              <w:t>а</w:t>
            </w:r>
            <w:r w:rsidRPr="005239AF">
              <w:rPr>
                <w:sz w:val="20"/>
                <w:szCs w:val="20"/>
              </w:rPr>
              <w:t xml:space="preserve">телей за 2017 год </w:t>
            </w:r>
          </w:p>
        </w:tc>
        <w:tc>
          <w:tcPr>
            <w:tcW w:w="2268" w:type="dxa"/>
            <w:gridSpan w:val="2"/>
            <w:vAlign w:val="center"/>
          </w:tcPr>
          <w:p w:rsidR="00B576F2" w:rsidRPr="005239AF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Значение показ</w:t>
            </w:r>
            <w:r w:rsidRPr="005239AF">
              <w:rPr>
                <w:sz w:val="20"/>
                <w:szCs w:val="20"/>
              </w:rPr>
              <w:t>а</w:t>
            </w:r>
            <w:r w:rsidRPr="005239AF">
              <w:rPr>
                <w:sz w:val="20"/>
                <w:szCs w:val="20"/>
              </w:rPr>
              <w:t>телей за 2018 год</w:t>
            </w:r>
          </w:p>
        </w:tc>
      </w:tr>
      <w:tr w:rsidR="00B576F2" w:rsidRPr="00C32F1C" w:rsidTr="009E0B0D">
        <w:trPr>
          <w:trHeight w:val="293"/>
        </w:trPr>
        <w:tc>
          <w:tcPr>
            <w:tcW w:w="425" w:type="dxa"/>
            <w:vMerge/>
            <w:vAlign w:val="center"/>
          </w:tcPr>
          <w:p w:rsidR="00B576F2" w:rsidRPr="005239AF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B576F2" w:rsidRPr="005239AF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576F2" w:rsidRPr="005239AF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576F2" w:rsidRPr="005239AF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76F2" w:rsidRPr="005239AF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vAlign w:val="center"/>
          </w:tcPr>
          <w:p w:rsidR="00B576F2" w:rsidRPr="005239AF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vAlign w:val="center"/>
          </w:tcPr>
          <w:p w:rsidR="00B576F2" w:rsidRPr="005239AF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B576F2" w:rsidRPr="005239AF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факт</w:t>
            </w:r>
          </w:p>
        </w:tc>
      </w:tr>
      <w:tr w:rsidR="00B576F2" w:rsidRPr="00C32F1C" w:rsidTr="009E0B0D">
        <w:trPr>
          <w:trHeight w:val="479"/>
        </w:trPr>
        <w:tc>
          <w:tcPr>
            <w:tcW w:w="425" w:type="dxa"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B576F2" w:rsidRPr="00700144" w:rsidRDefault="00B576F2" w:rsidP="009E0B0D">
            <w:pPr>
              <w:spacing w:after="0" w:line="240" w:lineRule="auto"/>
              <w:ind w:right="424"/>
              <w:jc w:val="left"/>
              <w:rPr>
                <w:color w:val="000000"/>
                <w:sz w:val="20"/>
                <w:szCs w:val="20"/>
              </w:rPr>
            </w:pPr>
            <w:r w:rsidRPr="00700144">
              <w:rPr>
                <w:color w:val="000000"/>
                <w:sz w:val="20"/>
                <w:szCs w:val="20"/>
              </w:rPr>
              <w:t>Количество мероприятий в сфере молодежной п</w:t>
            </w:r>
            <w:r w:rsidRPr="00700144">
              <w:rPr>
                <w:color w:val="000000"/>
                <w:sz w:val="20"/>
                <w:szCs w:val="20"/>
              </w:rPr>
              <w:t>о</w:t>
            </w:r>
            <w:r w:rsidRPr="00700144">
              <w:rPr>
                <w:color w:val="000000"/>
                <w:sz w:val="20"/>
                <w:szCs w:val="20"/>
              </w:rPr>
              <w:t>литики</w:t>
            </w:r>
          </w:p>
        </w:tc>
        <w:tc>
          <w:tcPr>
            <w:tcW w:w="1134" w:type="dxa"/>
          </w:tcPr>
          <w:p w:rsidR="00B576F2" w:rsidRPr="00700144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00144">
              <w:rPr>
                <w:sz w:val="20"/>
                <w:szCs w:val="20"/>
              </w:rPr>
              <w:t>д</w:t>
            </w:r>
            <w:r w:rsidRPr="00700144">
              <w:rPr>
                <w:sz w:val="20"/>
                <w:szCs w:val="20"/>
              </w:rPr>
              <w:t>и</w:t>
            </w:r>
            <w:r w:rsidRPr="00700144">
              <w:rPr>
                <w:sz w:val="20"/>
                <w:szCs w:val="20"/>
              </w:rPr>
              <w:t>ниц в год</w:t>
            </w:r>
          </w:p>
        </w:tc>
        <w:tc>
          <w:tcPr>
            <w:tcW w:w="1843" w:type="dxa"/>
          </w:tcPr>
          <w:p w:rsidR="00B576F2" w:rsidRPr="00700144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700144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B576F2" w:rsidRPr="00700144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576F2" w:rsidRPr="00700144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576F2" w:rsidRPr="00700144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700144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576F2" w:rsidRPr="00700144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700144">
              <w:rPr>
                <w:sz w:val="20"/>
                <w:szCs w:val="20"/>
              </w:rPr>
              <w:t>61</w:t>
            </w:r>
          </w:p>
        </w:tc>
      </w:tr>
      <w:tr w:rsidR="00B576F2" w:rsidRPr="00C32F1C" w:rsidTr="009E0B0D">
        <w:trPr>
          <w:trHeight w:val="627"/>
        </w:trPr>
        <w:tc>
          <w:tcPr>
            <w:tcW w:w="425" w:type="dxa"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B576F2" w:rsidRPr="00527CAF" w:rsidRDefault="00B576F2" w:rsidP="009E0B0D">
            <w:pPr>
              <w:spacing w:after="0" w:line="240" w:lineRule="auto"/>
              <w:ind w:right="424"/>
              <w:jc w:val="left"/>
              <w:rPr>
                <w:color w:val="000000"/>
                <w:sz w:val="20"/>
                <w:szCs w:val="20"/>
              </w:rPr>
            </w:pPr>
            <w:r w:rsidRPr="00527CAF">
              <w:rPr>
                <w:color w:val="000000"/>
                <w:sz w:val="20"/>
                <w:szCs w:val="20"/>
              </w:rPr>
              <w:t>Количество молодых людей в возрасте 14-30 лет, охваченных мер</w:t>
            </w:r>
            <w:r w:rsidRPr="00527CAF">
              <w:rPr>
                <w:color w:val="000000"/>
                <w:sz w:val="20"/>
                <w:szCs w:val="20"/>
              </w:rPr>
              <w:t>о</w:t>
            </w:r>
            <w:r w:rsidRPr="00527CAF">
              <w:rPr>
                <w:color w:val="000000"/>
                <w:sz w:val="20"/>
                <w:szCs w:val="20"/>
              </w:rPr>
              <w:t>приятиями в сфере мол</w:t>
            </w:r>
            <w:r w:rsidRPr="00527CAF">
              <w:rPr>
                <w:color w:val="000000"/>
                <w:sz w:val="20"/>
                <w:szCs w:val="20"/>
              </w:rPr>
              <w:t>о</w:t>
            </w:r>
            <w:r w:rsidRPr="00527CAF">
              <w:rPr>
                <w:color w:val="000000"/>
                <w:sz w:val="20"/>
                <w:szCs w:val="20"/>
              </w:rPr>
              <w:t>дежной политики</w:t>
            </w:r>
          </w:p>
        </w:tc>
        <w:tc>
          <w:tcPr>
            <w:tcW w:w="1134" w:type="dxa"/>
          </w:tcPr>
          <w:p w:rsidR="00B576F2" w:rsidRPr="00527CAF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27CAF">
              <w:rPr>
                <w:sz w:val="20"/>
                <w:szCs w:val="20"/>
              </w:rPr>
              <w:t>ел</w:t>
            </w:r>
            <w:r w:rsidRPr="00527CAF">
              <w:rPr>
                <w:sz w:val="20"/>
                <w:szCs w:val="20"/>
              </w:rPr>
              <w:t>о</w:t>
            </w:r>
            <w:r w:rsidRPr="00527CAF">
              <w:rPr>
                <w:sz w:val="20"/>
                <w:szCs w:val="20"/>
              </w:rPr>
              <w:t>век в год</w:t>
            </w:r>
          </w:p>
        </w:tc>
        <w:tc>
          <w:tcPr>
            <w:tcW w:w="1843" w:type="dxa"/>
          </w:tcPr>
          <w:p w:rsidR="00B576F2" w:rsidRPr="00527CAF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7CAF">
              <w:rPr>
                <w:sz w:val="20"/>
                <w:szCs w:val="20"/>
              </w:rPr>
              <w:t>10 800</w:t>
            </w:r>
          </w:p>
        </w:tc>
        <w:tc>
          <w:tcPr>
            <w:tcW w:w="1134" w:type="dxa"/>
          </w:tcPr>
          <w:p w:rsidR="00B576F2" w:rsidRPr="00527CAF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7CAF">
              <w:rPr>
                <w:sz w:val="20"/>
                <w:szCs w:val="20"/>
              </w:rPr>
              <w:t>9 800</w:t>
            </w:r>
          </w:p>
        </w:tc>
        <w:tc>
          <w:tcPr>
            <w:tcW w:w="1134" w:type="dxa"/>
          </w:tcPr>
          <w:p w:rsidR="00B576F2" w:rsidRPr="00527CAF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7CAF">
              <w:rPr>
                <w:sz w:val="20"/>
                <w:szCs w:val="20"/>
              </w:rPr>
              <w:t>14 775</w:t>
            </w:r>
          </w:p>
        </w:tc>
        <w:tc>
          <w:tcPr>
            <w:tcW w:w="1134" w:type="dxa"/>
          </w:tcPr>
          <w:p w:rsidR="00B576F2" w:rsidRPr="00527CAF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7CAF">
              <w:rPr>
                <w:sz w:val="20"/>
                <w:szCs w:val="20"/>
              </w:rPr>
              <w:t>14 500</w:t>
            </w:r>
          </w:p>
        </w:tc>
        <w:tc>
          <w:tcPr>
            <w:tcW w:w="1134" w:type="dxa"/>
          </w:tcPr>
          <w:p w:rsidR="00B576F2" w:rsidRPr="00527CAF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7CAF">
              <w:rPr>
                <w:sz w:val="20"/>
                <w:szCs w:val="20"/>
              </w:rPr>
              <w:t>14 830</w:t>
            </w:r>
          </w:p>
        </w:tc>
      </w:tr>
      <w:tr w:rsidR="00B576F2" w:rsidRPr="00C32F1C" w:rsidTr="009E0B0D">
        <w:trPr>
          <w:trHeight w:val="278"/>
        </w:trPr>
        <w:tc>
          <w:tcPr>
            <w:tcW w:w="425" w:type="dxa"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B576F2" w:rsidRPr="00772EEA" w:rsidRDefault="00B576F2" w:rsidP="009E0B0D">
            <w:pPr>
              <w:widowControl w:val="0"/>
              <w:spacing w:after="0" w:line="240" w:lineRule="auto"/>
              <w:ind w:right="424" w:hanging="14"/>
              <w:jc w:val="left"/>
              <w:rPr>
                <w:bCs/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Количество молодых людей  в возрасте 14-18 лет, трудоустроенных на временные и постоянные рабочие места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Pr="00772EEA">
              <w:rPr>
                <w:color w:val="000000"/>
                <w:sz w:val="20"/>
                <w:szCs w:val="20"/>
              </w:rPr>
              <w:t>ел</w:t>
            </w:r>
            <w:r w:rsidRPr="00772EEA">
              <w:rPr>
                <w:color w:val="000000"/>
                <w:sz w:val="20"/>
                <w:szCs w:val="20"/>
              </w:rPr>
              <w:t>о</w:t>
            </w:r>
            <w:r w:rsidRPr="00772EEA">
              <w:rPr>
                <w:color w:val="000000"/>
                <w:sz w:val="20"/>
                <w:szCs w:val="20"/>
              </w:rPr>
              <w:t>век в год</w:t>
            </w:r>
          </w:p>
        </w:tc>
        <w:tc>
          <w:tcPr>
            <w:tcW w:w="1843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772EEA">
              <w:rPr>
                <w:sz w:val="20"/>
                <w:szCs w:val="20"/>
              </w:rPr>
              <w:t>714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772EEA">
              <w:rPr>
                <w:sz w:val="20"/>
                <w:szCs w:val="20"/>
              </w:rPr>
              <w:t>730</w:t>
            </w:r>
          </w:p>
        </w:tc>
      </w:tr>
      <w:tr w:rsidR="00B576F2" w:rsidRPr="00C32F1C" w:rsidTr="009E0B0D">
        <w:trPr>
          <w:trHeight w:val="278"/>
        </w:trPr>
        <w:tc>
          <w:tcPr>
            <w:tcW w:w="425" w:type="dxa"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B576F2" w:rsidRPr="00772EEA" w:rsidRDefault="00B576F2" w:rsidP="009E0B0D">
            <w:pPr>
              <w:spacing w:after="0" w:line="240" w:lineRule="auto"/>
              <w:ind w:right="424"/>
              <w:jc w:val="left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Количество молодых людей в возрасте 14-30 лет, участвующих в до</w:t>
            </w:r>
            <w:r w:rsidRPr="00772EEA">
              <w:rPr>
                <w:color w:val="000000"/>
                <w:sz w:val="20"/>
                <w:szCs w:val="20"/>
              </w:rPr>
              <w:t>б</w:t>
            </w:r>
            <w:r w:rsidRPr="00772EEA">
              <w:rPr>
                <w:color w:val="000000"/>
                <w:sz w:val="20"/>
                <w:szCs w:val="20"/>
              </w:rPr>
              <w:t>ровольческой деятельн</w:t>
            </w:r>
            <w:r w:rsidRPr="00772EEA">
              <w:rPr>
                <w:color w:val="000000"/>
                <w:sz w:val="20"/>
                <w:szCs w:val="20"/>
              </w:rPr>
              <w:t>о</w:t>
            </w:r>
            <w:r w:rsidRPr="00772EEA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72EEA">
              <w:rPr>
                <w:sz w:val="20"/>
                <w:szCs w:val="20"/>
              </w:rPr>
              <w:t>ел</w:t>
            </w:r>
            <w:r w:rsidRPr="00772EEA">
              <w:rPr>
                <w:sz w:val="20"/>
                <w:szCs w:val="20"/>
              </w:rPr>
              <w:t>о</w:t>
            </w:r>
            <w:r w:rsidRPr="00772EEA">
              <w:rPr>
                <w:sz w:val="20"/>
                <w:szCs w:val="20"/>
              </w:rPr>
              <w:t>век в год</w:t>
            </w:r>
          </w:p>
        </w:tc>
        <w:tc>
          <w:tcPr>
            <w:tcW w:w="1843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772EEA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772EEA">
              <w:rPr>
                <w:sz w:val="20"/>
                <w:szCs w:val="20"/>
              </w:rPr>
              <w:t>920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autoSpaceDE w:val="0"/>
              <w:autoSpaceDN w:val="0"/>
              <w:adjustRightInd w:val="0"/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772E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72EEA">
              <w:rPr>
                <w:sz w:val="20"/>
                <w:szCs w:val="20"/>
              </w:rPr>
              <w:t>507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772EEA">
              <w:rPr>
                <w:sz w:val="20"/>
                <w:szCs w:val="20"/>
              </w:rPr>
              <w:t>1 500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autoSpaceDE w:val="0"/>
              <w:autoSpaceDN w:val="0"/>
              <w:adjustRightInd w:val="0"/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772EEA">
              <w:rPr>
                <w:sz w:val="20"/>
                <w:szCs w:val="20"/>
              </w:rPr>
              <w:t>1 511</w:t>
            </w:r>
          </w:p>
        </w:tc>
      </w:tr>
      <w:tr w:rsidR="00B576F2" w:rsidRPr="00C32F1C" w:rsidTr="009E0B0D">
        <w:trPr>
          <w:trHeight w:val="278"/>
        </w:trPr>
        <w:tc>
          <w:tcPr>
            <w:tcW w:w="425" w:type="dxa"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:rsidR="00B576F2" w:rsidRPr="00772EEA" w:rsidRDefault="00B576F2" w:rsidP="009E0B0D">
            <w:pPr>
              <w:spacing w:after="0" w:line="240" w:lineRule="auto"/>
              <w:ind w:right="424"/>
              <w:jc w:val="left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Количество молодежи, привлеченной к участию в окружных, межреги</w:t>
            </w:r>
            <w:r w:rsidRPr="00772EEA">
              <w:rPr>
                <w:color w:val="000000"/>
                <w:sz w:val="20"/>
                <w:szCs w:val="20"/>
              </w:rPr>
              <w:t>о</w:t>
            </w:r>
            <w:r w:rsidRPr="00772EEA">
              <w:rPr>
                <w:color w:val="000000"/>
                <w:sz w:val="20"/>
                <w:szCs w:val="20"/>
              </w:rPr>
              <w:t>нальных, всероссийских молодежных меропри</w:t>
            </w:r>
            <w:r w:rsidRPr="00772EEA">
              <w:rPr>
                <w:color w:val="000000"/>
                <w:sz w:val="20"/>
                <w:szCs w:val="20"/>
              </w:rPr>
              <w:t>я</w:t>
            </w:r>
            <w:r w:rsidRPr="00772EEA">
              <w:rPr>
                <w:color w:val="000000"/>
                <w:sz w:val="20"/>
                <w:szCs w:val="20"/>
              </w:rPr>
              <w:t>тиях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Pr="00772EEA">
              <w:rPr>
                <w:color w:val="000000"/>
                <w:sz w:val="20"/>
                <w:szCs w:val="20"/>
              </w:rPr>
              <w:t>ел</w:t>
            </w:r>
            <w:r w:rsidRPr="00772EEA">
              <w:rPr>
                <w:color w:val="000000"/>
                <w:sz w:val="20"/>
                <w:szCs w:val="20"/>
              </w:rPr>
              <w:t>о</w:t>
            </w:r>
            <w:r w:rsidRPr="00772EEA">
              <w:rPr>
                <w:color w:val="000000"/>
                <w:sz w:val="20"/>
                <w:szCs w:val="20"/>
              </w:rPr>
              <w:t>век в год</w:t>
            </w:r>
          </w:p>
        </w:tc>
        <w:tc>
          <w:tcPr>
            <w:tcW w:w="1843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autoSpaceDE w:val="0"/>
              <w:autoSpaceDN w:val="0"/>
              <w:adjustRightInd w:val="0"/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772EEA">
              <w:rPr>
                <w:sz w:val="20"/>
                <w:szCs w:val="20"/>
              </w:rPr>
              <w:t>282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autoSpaceDE w:val="0"/>
              <w:autoSpaceDN w:val="0"/>
              <w:adjustRightInd w:val="0"/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772EEA">
              <w:rPr>
                <w:sz w:val="20"/>
                <w:szCs w:val="20"/>
              </w:rPr>
              <w:t>251</w:t>
            </w:r>
          </w:p>
        </w:tc>
      </w:tr>
      <w:tr w:rsidR="00B576F2" w:rsidRPr="00C32F1C" w:rsidTr="009E0B0D">
        <w:trPr>
          <w:trHeight w:val="278"/>
        </w:trPr>
        <w:tc>
          <w:tcPr>
            <w:tcW w:w="425" w:type="dxa"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B576F2" w:rsidRPr="00772EEA" w:rsidRDefault="00B576F2" w:rsidP="009E0B0D">
            <w:pPr>
              <w:spacing w:after="0" w:line="240" w:lineRule="auto"/>
              <w:ind w:right="424"/>
              <w:jc w:val="left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Количество социальных молодежных проектов, заявленных на горо</w:t>
            </w:r>
            <w:r w:rsidRPr="00772EEA">
              <w:rPr>
                <w:color w:val="000000"/>
                <w:sz w:val="20"/>
                <w:szCs w:val="20"/>
              </w:rPr>
              <w:t>д</w:t>
            </w:r>
            <w:r w:rsidRPr="00772EEA">
              <w:rPr>
                <w:color w:val="000000"/>
                <w:sz w:val="20"/>
                <w:szCs w:val="20"/>
              </w:rPr>
              <w:t>ские, окружные и вс</w:t>
            </w:r>
            <w:r w:rsidRPr="00772EEA">
              <w:rPr>
                <w:color w:val="000000"/>
                <w:sz w:val="20"/>
                <w:szCs w:val="20"/>
              </w:rPr>
              <w:t>е</w:t>
            </w:r>
            <w:r w:rsidRPr="00772EEA">
              <w:rPr>
                <w:color w:val="000000"/>
                <w:sz w:val="20"/>
                <w:szCs w:val="20"/>
              </w:rPr>
              <w:t>российские конкурсы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Pr="00772EEA">
              <w:rPr>
                <w:color w:val="000000"/>
                <w:sz w:val="20"/>
                <w:szCs w:val="20"/>
              </w:rPr>
              <w:t>д</w:t>
            </w:r>
            <w:r w:rsidRPr="00772EEA">
              <w:rPr>
                <w:color w:val="000000"/>
                <w:sz w:val="20"/>
                <w:szCs w:val="20"/>
              </w:rPr>
              <w:t>и</w:t>
            </w:r>
            <w:r w:rsidRPr="00772EEA">
              <w:rPr>
                <w:color w:val="000000"/>
                <w:sz w:val="20"/>
                <w:szCs w:val="20"/>
              </w:rPr>
              <w:t>ниц в год</w:t>
            </w:r>
          </w:p>
        </w:tc>
        <w:tc>
          <w:tcPr>
            <w:tcW w:w="1843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772EEA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772EEA">
              <w:rPr>
                <w:sz w:val="20"/>
                <w:szCs w:val="20"/>
              </w:rPr>
              <w:t>52</w:t>
            </w:r>
          </w:p>
        </w:tc>
      </w:tr>
      <w:tr w:rsidR="00B576F2" w:rsidRPr="00C32F1C" w:rsidTr="009E0B0D">
        <w:trPr>
          <w:trHeight w:val="278"/>
        </w:trPr>
        <w:tc>
          <w:tcPr>
            <w:tcW w:w="425" w:type="dxa"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:rsidR="00B576F2" w:rsidRPr="00772EEA" w:rsidRDefault="00B576F2" w:rsidP="009E0B0D">
            <w:pPr>
              <w:spacing w:after="0" w:line="240" w:lineRule="auto"/>
              <w:ind w:right="424"/>
              <w:jc w:val="left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Выполнение муниц</w:t>
            </w:r>
            <w:r w:rsidRPr="00772EEA">
              <w:rPr>
                <w:color w:val="000000"/>
                <w:sz w:val="20"/>
                <w:szCs w:val="20"/>
              </w:rPr>
              <w:t>и</w:t>
            </w:r>
            <w:r w:rsidRPr="00772EEA">
              <w:rPr>
                <w:color w:val="000000"/>
                <w:sz w:val="20"/>
                <w:szCs w:val="20"/>
              </w:rPr>
              <w:t>пальных заданий на ок</w:t>
            </w:r>
            <w:r w:rsidRPr="00772EEA">
              <w:rPr>
                <w:color w:val="000000"/>
                <w:sz w:val="20"/>
                <w:szCs w:val="20"/>
              </w:rPr>
              <w:t>а</w:t>
            </w:r>
            <w:r w:rsidRPr="00772EEA">
              <w:rPr>
                <w:color w:val="000000"/>
                <w:sz w:val="20"/>
                <w:szCs w:val="20"/>
              </w:rPr>
              <w:t>зание муниципальной услуги, выполнение м</w:t>
            </w:r>
            <w:r w:rsidRPr="00772EEA">
              <w:rPr>
                <w:color w:val="000000"/>
                <w:sz w:val="20"/>
                <w:szCs w:val="20"/>
              </w:rPr>
              <w:t>у</w:t>
            </w:r>
            <w:r w:rsidRPr="00772EEA">
              <w:rPr>
                <w:color w:val="000000"/>
                <w:sz w:val="20"/>
                <w:szCs w:val="20"/>
              </w:rPr>
              <w:t>ниципальных работ в сфере молодежной пол</w:t>
            </w:r>
            <w:r w:rsidRPr="00772EEA">
              <w:rPr>
                <w:color w:val="000000"/>
                <w:sz w:val="20"/>
                <w:szCs w:val="20"/>
              </w:rPr>
              <w:t>и</w:t>
            </w:r>
            <w:r w:rsidRPr="00772EEA">
              <w:rPr>
                <w:color w:val="000000"/>
                <w:sz w:val="20"/>
                <w:szCs w:val="20"/>
              </w:rPr>
              <w:t>тики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не менее 95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не м</w:t>
            </w:r>
            <w:r w:rsidRPr="00772EEA">
              <w:rPr>
                <w:color w:val="000000"/>
                <w:sz w:val="20"/>
                <w:szCs w:val="20"/>
              </w:rPr>
              <w:t>е</w:t>
            </w:r>
            <w:r w:rsidRPr="00772EEA">
              <w:rPr>
                <w:color w:val="000000"/>
                <w:sz w:val="20"/>
                <w:szCs w:val="20"/>
              </w:rPr>
              <w:t>нее 95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не м</w:t>
            </w:r>
            <w:r w:rsidRPr="00772EEA">
              <w:rPr>
                <w:color w:val="000000"/>
                <w:sz w:val="20"/>
                <w:szCs w:val="20"/>
              </w:rPr>
              <w:t>е</w:t>
            </w:r>
            <w:r w:rsidRPr="00772EEA">
              <w:rPr>
                <w:color w:val="000000"/>
                <w:sz w:val="20"/>
                <w:szCs w:val="20"/>
              </w:rPr>
              <w:t>нее 95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772EEA">
              <w:rPr>
                <w:sz w:val="20"/>
                <w:szCs w:val="20"/>
              </w:rPr>
              <w:t>100</w:t>
            </w:r>
          </w:p>
        </w:tc>
      </w:tr>
      <w:tr w:rsidR="00B576F2" w:rsidRPr="00C32F1C" w:rsidTr="009E0B0D">
        <w:trPr>
          <w:trHeight w:val="278"/>
        </w:trPr>
        <w:tc>
          <w:tcPr>
            <w:tcW w:w="425" w:type="dxa"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6" w:type="dxa"/>
          </w:tcPr>
          <w:p w:rsidR="00B576F2" w:rsidRPr="00772EEA" w:rsidRDefault="00B576F2" w:rsidP="009E0B0D">
            <w:pPr>
              <w:spacing w:after="0" w:line="240" w:lineRule="auto"/>
              <w:ind w:right="424"/>
              <w:jc w:val="left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Удовлетворенность получателей муниципал</w:t>
            </w:r>
            <w:r w:rsidRPr="00772EEA">
              <w:rPr>
                <w:color w:val="000000"/>
                <w:sz w:val="20"/>
                <w:szCs w:val="20"/>
              </w:rPr>
              <w:t>ь</w:t>
            </w:r>
            <w:r w:rsidRPr="00772EEA">
              <w:rPr>
                <w:color w:val="000000"/>
                <w:sz w:val="20"/>
                <w:szCs w:val="20"/>
              </w:rPr>
              <w:t>ных услуг в сфере  мол</w:t>
            </w:r>
            <w:r w:rsidRPr="00772EEA">
              <w:rPr>
                <w:color w:val="000000"/>
                <w:sz w:val="20"/>
                <w:szCs w:val="20"/>
              </w:rPr>
              <w:t>о</w:t>
            </w:r>
            <w:r w:rsidRPr="00772EEA">
              <w:rPr>
                <w:color w:val="000000"/>
                <w:sz w:val="20"/>
                <w:szCs w:val="20"/>
              </w:rPr>
              <w:t>дежной политики кач</w:t>
            </w:r>
            <w:r w:rsidRPr="00772EEA">
              <w:rPr>
                <w:color w:val="000000"/>
                <w:sz w:val="20"/>
                <w:szCs w:val="20"/>
              </w:rPr>
              <w:t>е</w:t>
            </w:r>
            <w:r w:rsidRPr="00772EEA">
              <w:rPr>
                <w:color w:val="000000"/>
                <w:sz w:val="20"/>
                <w:szCs w:val="20"/>
              </w:rPr>
              <w:t>ством предоставления услуги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не менее 95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не м</w:t>
            </w:r>
            <w:r w:rsidRPr="00772EEA">
              <w:rPr>
                <w:color w:val="000000"/>
                <w:sz w:val="20"/>
                <w:szCs w:val="20"/>
              </w:rPr>
              <w:t>е</w:t>
            </w:r>
            <w:r w:rsidRPr="00772EEA">
              <w:rPr>
                <w:color w:val="000000"/>
                <w:sz w:val="20"/>
                <w:szCs w:val="20"/>
              </w:rPr>
              <w:t>нее 95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772EEA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color w:val="000000"/>
                <w:sz w:val="20"/>
                <w:szCs w:val="20"/>
              </w:rPr>
            </w:pPr>
            <w:r w:rsidRPr="00772EEA">
              <w:rPr>
                <w:color w:val="000000"/>
                <w:sz w:val="20"/>
                <w:szCs w:val="20"/>
              </w:rPr>
              <w:t>не м</w:t>
            </w:r>
            <w:r w:rsidRPr="00772EEA">
              <w:rPr>
                <w:color w:val="000000"/>
                <w:sz w:val="20"/>
                <w:szCs w:val="20"/>
              </w:rPr>
              <w:t>е</w:t>
            </w:r>
            <w:r w:rsidRPr="00772EEA">
              <w:rPr>
                <w:color w:val="000000"/>
                <w:sz w:val="20"/>
                <w:szCs w:val="20"/>
              </w:rPr>
              <w:t>нее 95</w:t>
            </w:r>
          </w:p>
        </w:tc>
        <w:tc>
          <w:tcPr>
            <w:tcW w:w="1134" w:type="dxa"/>
          </w:tcPr>
          <w:p w:rsidR="00B576F2" w:rsidRPr="00772EEA" w:rsidRDefault="00B576F2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772EEA">
              <w:rPr>
                <w:sz w:val="20"/>
                <w:szCs w:val="20"/>
              </w:rPr>
              <w:t>97,4</w:t>
            </w:r>
          </w:p>
        </w:tc>
      </w:tr>
    </w:tbl>
    <w:p w:rsidR="00B576F2" w:rsidRDefault="00B576F2" w:rsidP="00B576F2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76F2" w:rsidRPr="001B6E5A" w:rsidRDefault="00B576F2" w:rsidP="00B576F2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 финансирование муниципальной программы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пред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смотрены средства бюджета города Ханты-Мансийска в объеме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19 782,3 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рублей.</w:t>
      </w:r>
    </w:p>
    <w:p w:rsidR="00B576F2" w:rsidRDefault="00B576F2" w:rsidP="00B576F2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 </w:t>
      </w:r>
      <w:r w:rsidRPr="001B6E5A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ляет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19 782,3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% от годового объема финансирования. </w:t>
      </w:r>
    </w:p>
    <w:p w:rsidR="00B576F2" w:rsidRDefault="00B576F2" w:rsidP="00B576F2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  <w:r w:rsidRPr="003337FD">
        <w:t>Рисунок 3.</w:t>
      </w:r>
      <w:r>
        <w:t>22</w:t>
      </w:r>
      <w:r w:rsidRPr="003337FD">
        <w:t>.1.</w:t>
      </w:r>
    </w:p>
    <w:p w:rsidR="00B576F2" w:rsidRDefault="00B576F2" w:rsidP="00B576F2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76F2" w:rsidRPr="000A6854" w:rsidRDefault="00B576F2" w:rsidP="00B576F2">
      <w:pPr>
        <w:spacing w:after="0"/>
        <w:ind w:right="424" w:firstLine="709"/>
        <w:jc w:val="center"/>
        <w:rPr>
          <w:b/>
          <w:sz w:val="28"/>
          <w:szCs w:val="28"/>
        </w:rPr>
      </w:pPr>
      <w:r w:rsidRPr="000A6854">
        <w:rPr>
          <w:b/>
          <w:sz w:val="28"/>
          <w:szCs w:val="28"/>
        </w:rPr>
        <w:t>Объемы ассигнований на реализацию муниципальной пр</w:t>
      </w:r>
      <w:r w:rsidRPr="000A6854">
        <w:rPr>
          <w:b/>
          <w:sz w:val="28"/>
          <w:szCs w:val="28"/>
        </w:rPr>
        <w:t>о</w:t>
      </w:r>
      <w:r w:rsidRPr="000A6854">
        <w:rPr>
          <w:b/>
          <w:sz w:val="28"/>
          <w:szCs w:val="28"/>
        </w:rPr>
        <w:t>граммы «Молодежь города Ханты-Мансийска» на 2016-2020 годы, тыс. рублей</w:t>
      </w:r>
    </w:p>
    <w:p w:rsidR="00B576F2" w:rsidRPr="000A6854" w:rsidRDefault="00B576F2" w:rsidP="00B576F2">
      <w:pPr>
        <w:pStyle w:val="ConsPlusTitle"/>
        <w:spacing w:line="276" w:lineRule="auto"/>
        <w:ind w:right="424"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576F2" w:rsidRDefault="00B576F2" w:rsidP="00B576F2">
      <w:pPr>
        <w:pStyle w:val="ConsPlusTitle"/>
        <w:spacing w:line="276" w:lineRule="auto"/>
        <w:ind w:right="424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76F2" w:rsidRDefault="00B576F2" w:rsidP="00B576F2">
      <w:pPr>
        <w:pStyle w:val="ConsPlusTitle"/>
        <w:spacing w:line="276" w:lineRule="auto"/>
        <w:ind w:right="424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08CF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5524500" cy="2410558"/>
            <wp:effectExtent l="0" t="0" r="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576F2" w:rsidRPr="001B6E5A" w:rsidRDefault="00B576F2" w:rsidP="00B576F2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76F2" w:rsidRPr="001B6E5A" w:rsidRDefault="00B576F2" w:rsidP="00B576F2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  <w:r w:rsidRPr="001B6E5A">
        <w:rPr>
          <w:sz w:val="28"/>
          <w:szCs w:val="28"/>
        </w:rPr>
        <w:t>Объемы бюджетных ассигнований распределены следующим образом:</w:t>
      </w:r>
    </w:p>
    <w:p w:rsidR="00B576F2" w:rsidRDefault="00B576F2" w:rsidP="00B576F2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rPr>
          <w:sz w:val="28"/>
          <w:szCs w:val="28"/>
        </w:rPr>
      </w:pPr>
    </w:p>
    <w:p w:rsidR="00B576F2" w:rsidRPr="00D70E7D" w:rsidRDefault="00B576F2" w:rsidP="00B576F2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  <w:r w:rsidRPr="00D70E7D">
        <w:t>Таблица 3.22</w:t>
      </w:r>
      <w:r>
        <w:t>.2</w:t>
      </w:r>
      <w:r w:rsidRPr="00D70E7D">
        <w:t>.</w:t>
      </w:r>
    </w:p>
    <w:p w:rsidR="00B576F2" w:rsidRPr="005239AF" w:rsidRDefault="00B576F2" w:rsidP="00B576F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sz w:val="28"/>
          <w:szCs w:val="28"/>
        </w:rPr>
      </w:pPr>
      <w:r w:rsidRPr="005239AF">
        <w:rPr>
          <w:sz w:val="28"/>
          <w:szCs w:val="28"/>
        </w:rPr>
        <w:t>Объем бюджетных ассигнований за 2018 год по основному исполнителю и соисполнителям муниципальной программы «</w:t>
      </w:r>
      <w:r w:rsidRPr="000B2F9C">
        <w:rPr>
          <w:sz w:val="28"/>
          <w:szCs w:val="28"/>
        </w:rPr>
        <w:t>Молодежь города Х</w:t>
      </w:r>
      <w:r>
        <w:rPr>
          <w:sz w:val="28"/>
          <w:szCs w:val="28"/>
        </w:rPr>
        <w:t>анты-Мансийска</w:t>
      </w:r>
      <w:r w:rsidRPr="005239AF">
        <w:rPr>
          <w:sz w:val="28"/>
          <w:szCs w:val="28"/>
        </w:rPr>
        <w:t>»</w:t>
      </w:r>
      <w:r>
        <w:rPr>
          <w:sz w:val="28"/>
          <w:szCs w:val="28"/>
        </w:rPr>
        <w:t xml:space="preserve"> на 2016-2020 годы</w:t>
      </w:r>
    </w:p>
    <w:p w:rsidR="00B576F2" w:rsidRPr="00D70E7D" w:rsidRDefault="00B576F2" w:rsidP="00B576F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D70E7D">
        <w:t>(тыс. рублей)</w:t>
      </w:r>
    </w:p>
    <w:tbl>
      <w:tblPr>
        <w:tblW w:w="9364" w:type="dxa"/>
        <w:tblInd w:w="92" w:type="dxa"/>
        <w:tblLook w:val="04A0"/>
      </w:tblPr>
      <w:tblGrid>
        <w:gridCol w:w="910"/>
        <w:gridCol w:w="2069"/>
        <w:gridCol w:w="1340"/>
        <w:gridCol w:w="1721"/>
        <w:gridCol w:w="1679"/>
        <w:gridCol w:w="1645"/>
      </w:tblGrid>
      <w:tr w:rsidR="00B576F2" w:rsidRPr="00371B75" w:rsidTr="009E0B0D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№ </w:t>
            </w:r>
            <w:proofErr w:type="spellStart"/>
            <w:r w:rsidRPr="005239AF">
              <w:rPr>
                <w:sz w:val="20"/>
                <w:szCs w:val="20"/>
              </w:rPr>
              <w:t>п</w:t>
            </w:r>
            <w:proofErr w:type="spellEnd"/>
            <w:r w:rsidRPr="005239AF">
              <w:rPr>
                <w:sz w:val="20"/>
                <w:szCs w:val="20"/>
              </w:rPr>
              <w:t>/</w:t>
            </w:r>
            <w:proofErr w:type="spellStart"/>
            <w:r w:rsidRPr="005239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Наименование основного исполнителя, с</w:t>
            </w:r>
            <w:r w:rsidRPr="005239AF">
              <w:rPr>
                <w:sz w:val="20"/>
                <w:szCs w:val="20"/>
              </w:rPr>
              <w:t>о</w:t>
            </w:r>
            <w:r w:rsidRPr="005239AF">
              <w:rPr>
                <w:sz w:val="20"/>
                <w:szCs w:val="20"/>
              </w:rPr>
              <w:t>исполнителя муниципальной программы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2017 год (о</w:t>
            </w:r>
            <w:r w:rsidRPr="005239AF">
              <w:rPr>
                <w:sz w:val="20"/>
                <w:szCs w:val="20"/>
              </w:rPr>
              <w:t>т</w:t>
            </w:r>
            <w:r w:rsidRPr="005239AF">
              <w:rPr>
                <w:sz w:val="20"/>
                <w:szCs w:val="20"/>
              </w:rPr>
              <w:t>чет)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2018 год </w:t>
            </w:r>
          </w:p>
        </w:tc>
      </w:tr>
      <w:tr w:rsidR="00B576F2" w:rsidRPr="00371B75" w:rsidTr="009E0B0D">
        <w:trPr>
          <w:trHeight w:val="90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F2" w:rsidRPr="005239AF" w:rsidRDefault="00B576F2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Исполнение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% испо</w:t>
            </w:r>
            <w:r w:rsidRPr="005239AF">
              <w:rPr>
                <w:sz w:val="20"/>
                <w:szCs w:val="20"/>
              </w:rPr>
              <w:t>л</w:t>
            </w:r>
            <w:r w:rsidRPr="005239AF">
              <w:rPr>
                <w:sz w:val="20"/>
                <w:szCs w:val="20"/>
              </w:rPr>
              <w:t>нения</w:t>
            </w:r>
          </w:p>
        </w:tc>
      </w:tr>
      <w:tr w:rsidR="00B576F2" w:rsidRPr="008257CD" w:rsidTr="009E0B0D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F2" w:rsidRPr="005239AF" w:rsidRDefault="00B576F2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Всего по мун</w:t>
            </w:r>
            <w:r w:rsidRPr="005239AF">
              <w:rPr>
                <w:sz w:val="20"/>
                <w:szCs w:val="20"/>
              </w:rPr>
              <w:t>и</w:t>
            </w:r>
            <w:r w:rsidRPr="005239AF">
              <w:rPr>
                <w:sz w:val="20"/>
                <w:szCs w:val="20"/>
              </w:rPr>
              <w:t>ципальной пр</w:t>
            </w:r>
            <w:r w:rsidRPr="005239AF">
              <w:rPr>
                <w:sz w:val="20"/>
                <w:szCs w:val="20"/>
              </w:rPr>
              <w:t>о</w:t>
            </w:r>
            <w:r w:rsidRPr="005239AF">
              <w:rPr>
                <w:sz w:val="20"/>
                <w:szCs w:val="20"/>
              </w:rPr>
              <w:t>грамме, в том числе: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17 046,3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19 782,3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19 782,3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B576F2" w:rsidRPr="00371B75" w:rsidTr="009E0B0D">
        <w:trPr>
          <w:trHeight w:val="45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68701A">
              <w:rPr>
                <w:bCs/>
                <w:sz w:val="20"/>
                <w:szCs w:val="20"/>
              </w:rPr>
              <w:t>Муни</w:t>
            </w:r>
            <w:r>
              <w:rPr>
                <w:bCs/>
                <w:sz w:val="20"/>
                <w:szCs w:val="20"/>
              </w:rPr>
              <w:t>ципальное бюджетное учреждение «</w:t>
            </w:r>
            <w:r w:rsidRPr="0068701A">
              <w:rPr>
                <w:bCs/>
                <w:sz w:val="20"/>
                <w:szCs w:val="20"/>
              </w:rPr>
              <w:t>М</w:t>
            </w:r>
            <w:r w:rsidRPr="0068701A">
              <w:rPr>
                <w:bCs/>
                <w:sz w:val="20"/>
                <w:szCs w:val="20"/>
              </w:rPr>
              <w:t>о</w:t>
            </w:r>
            <w:r w:rsidRPr="0068701A">
              <w:rPr>
                <w:bCs/>
                <w:sz w:val="20"/>
                <w:szCs w:val="20"/>
              </w:rPr>
              <w:t>лодежный центр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17 046,3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19 782,3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19 782,3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B576F2" w:rsidRDefault="00B576F2" w:rsidP="00B576F2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76F2" w:rsidRDefault="00B576F2" w:rsidP="00B576F2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B576F2" w:rsidRDefault="00B576F2" w:rsidP="00B576F2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B576F2" w:rsidRDefault="00B576F2" w:rsidP="00B576F2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B576F2" w:rsidRDefault="00B576F2" w:rsidP="00B576F2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  <w:r w:rsidRPr="003337FD">
        <w:t>Рисунок 3.</w:t>
      </w:r>
      <w:r>
        <w:t>22.2</w:t>
      </w:r>
      <w:r w:rsidRPr="003337FD">
        <w:t>.</w:t>
      </w:r>
    </w:p>
    <w:p w:rsidR="00B576F2" w:rsidRDefault="00B576F2" w:rsidP="00B576F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sz w:val="28"/>
          <w:szCs w:val="28"/>
        </w:rPr>
      </w:pPr>
      <w:r w:rsidRPr="005239AF">
        <w:rPr>
          <w:sz w:val="28"/>
          <w:szCs w:val="28"/>
        </w:rPr>
        <w:t>Структура расходов муниципальной программы</w:t>
      </w:r>
    </w:p>
    <w:p w:rsidR="00B576F2" w:rsidRPr="005239AF" w:rsidRDefault="00B576F2" w:rsidP="00B576F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sz w:val="28"/>
          <w:szCs w:val="28"/>
        </w:rPr>
      </w:pPr>
      <w:r w:rsidRPr="005239AF">
        <w:rPr>
          <w:sz w:val="28"/>
          <w:szCs w:val="28"/>
        </w:rPr>
        <w:t xml:space="preserve"> «</w:t>
      </w:r>
      <w:r w:rsidRPr="000B2F9C">
        <w:rPr>
          <w:sz w:val="28"/>
          <w:szCs w:val="28"/>
        </w:rPr>
        <w:t>Молодежь города Х</w:t>
      </w:r>
      <w:r>
        <w:rPr>
          <w:sz w:val="28"/>
          <w:szCs w:val="28"/>
        </w:rPr>
        <w:t>анты-Мансийска</w:t>
      </w:r>
      <w:r w:rsidRPr="005239AF">
        <w:rPr>
          <w:sz w:val="28"/>
          <w:szCs w:val="28"/>
        </w:rPr>
        <w:t>»</w:t>
      </w:r>
      <w:r>
        <w:rPr>
          <w:sz w:val="28"/>
          <w:szCs w:val="28"/>
        </w:rPr>
        <w:t xml:space="preserve"> на 2016-2020 годы, тыс. рублей</w:t>
      </w:r>
    </w:p>
    <w:p w:rsidR="00B576F2" w:rsidRPr="002272F9" w:rsidRDefault="00B576F2" w:rsidP="00B576F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/>
        <w:jc w:val="left"/>
        <w:rPr>
          <w:sz w:val="28"/>
          <w:szCs w:val="28"/>
        </w:rPr>
      </w:pPr>
      <w:r w:rsidRPr="00724B04">
        <w:rPr>
          <w:noProof/>
          <w:sz w:val="28"/>
          <w:szCs w:val="28"/>
        </w:rPr>
        <w:drawing>
          <wp:inline distT="0" distB="0" distL="0" distR="0">
            <wp:extent cx="5939790" cy="3802753"/>
            <wp:effectExtent l="0" t="0" r="0" b="0"/>
            <wp:docPr id="1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576F2" w:rsidRPr="00D56F01" w:rsidRDefault="00B576F2" w:rsidP="00B576F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D56F01">
        <w:t>Таблица 3.22</w:t>
      </w:r>
      <w:r>
        <w:t>.3</w:t>
      </w:r>
      <w:r w:rsidRPr="00D56F01">
        <w:t>.</w:t>
      </w:r>
    </w:p>
    <w:p w:rsidR="00B576F2" w:rsidRPr="005239AF" w:rsidRDefault="00B576F2" w:rsidP="00B576F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sz w:val="28"/>
          <w:szCs w:val="28"/>
        </w:rPr>
      </w:pPr>
      <w:r w:rsidRPr="005239AF">
        <w:rPr>
          <w:sz w:val="28"/>
          <w:szCs w:val="28"/>
        </w:rPr>
        <w:t>Структура расходов муниципальной программы «</w:t>
      </w:r>
      <w:r w:rsidRPr="000B2F9C">
        <w:rPr>
          <w:sz w:val="28"/>
          <w:szCs w:val="28"/>
        </w:rPr>
        <w:t>Молодежь города Х</w:t>
      </w:r>
      <w:r>
        <w:rPr>
          <w:sz w:val="28"/>
          <w:szCs w:val="28"/>
        </w:rPr>
        <w:t>анты-Мансийска</w:t>
      </w:r>
      <w:r w:rsidRPr="005239AF">
        <w:rPr>
          <w:sz w:val="28"/>
          <w:szCs w:val="28"/>
        </w:rPr>
        <w:t>»</w:t>
      </w:r>
      <w:r>
        <w:rPr>
          <w:sz w:val="28"/>
          <w:szCs w:val="28"/>
        </w:rPr>
        <w:t xml:space="preserve"> на 2016-2020 годы</w:t>
      </w:r>
    </w:p>
    <w:p w:rsidR="00B576F2" w:rsidRPr="00D56F01" w:rsidRDefault="00B576F2" w:rsidP="00B576F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D56F01">
        <w:t xml:space="preserve"> (тыс. рублей)</w:t>
      </w:r>
    </w:p>
    <w:tbl>
      <w:tblPr>
        <w:tblW w:w="9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1467"/>
        <w:gridCol w:w="1721"/>
        <w:gridCol w:w="1679"/>
        <w:gridCol w:w="1645"/>
      </w:tblGrid>
      <w:tr w:rsidR="00B576F2" w:rsidRPr="00C32F1C" w:rsidTr="009E0B0D">
        <w:trPr>
          <w:trHeight w:val="300"/>
          <w:tblHeader/>
        </w:trPr>
        <w:tc>
          <w:tcPr>
            <w:tcW w:w="3401" w:type="dxa"/>
            <w:vMerge w:val="restart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м</w:t>
            </w:r>
            <w:r w:rsidRPr="005239AF">
              <w:rPr>
                <w:sz w:val="20"/>
                <w:szCs w:val="20"/>
              </w:rPr>
              <w:t>е</w:t>
            </w:r>
            <w:r w:rsidRPr="005239AF">
              <w:rPr>
                <w:sz w:val="20"/>
                <w:szCs w:val="20"/>
              </w:rPr>
              <w:t>роприятия муниципальной пр</w:t>
            </w:r>
            <w:r w:rsidRPr="005239AF">
              <w:rPr>
                <w:sz w:val="20"/>
                <w:szCs w:val="20"/>
              </w:rPr>
              <w:t>о</w:t>
            </w:r>
            <w:r w:rsidRPr="005239AF">
              <w:rPr>
                <w:sz w:val="20"/>
                <w:szCs w:val="20"/>
              </w:rPr>
              <w:t>граммы</w:t>
            </w:r>
          </w:p>
        </w:tc>
        <w:tc>
          <w:tcPr>
            <w:tcW w:w="1467" w:type="dxa"/>
            <w:vMerge w:val="restart"/>
            <w:noWrap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2017 год (отчет)</w:t>
            </w:r>
          </w:p>
        </w:tc>
        <w:tc>
          <w:tcPr>
            <w:tcW w:w="5045" w:type="dxa"/>
            <w:gridSpan w:val="3"/>
            <w:noWrap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2018 год </w:t>
            </w:r>
          </w:p>
        </w:tc>
      </w:tr>
      <w:tr w:rsidR="00B576F2" w:rsidRPr="00C32F1C" w:rsidTr="009E0B0D">
        <w:trPr>
          <w:trHeight w:val="900"/>
          <w:tblHeader/>
        </w:trPr>
        <w:tc>
          <w:tcPr>
            <w:tcW w:w="3401" w:type="dxa"/>
            <w:vMerge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72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679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Исполнение</w:t>
            </w:r>
          </w:p>
        </w:tc>
        <w:tc>
          <w:tcPr>
            <w:tcW w:w="1645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% испо</w:t>
            </w:r>
            <w:r w:rsidRPr="005239AF">
              <w:rPr>
                <w:sz w:val="20"/>
                <w:szCs w:val="20"/>
              </w:rPr>
              <w:t>л</w:t>
            </w:r>
            <w:r w:rsidRPr="005239AF">
              <w:rPr>
                <w:sz w:val="20"/>
                <w:szCs w:val="20"/>
              </w:rPr>
              <w:t>нения</w:t>
            </w:r>
          </w:p>
        </w:tc>
      </w:tr>
      <w:tr w:rsidR="00B576F2" w:rsidRPr="00A0434D" w:rsidTr="009E0B0D">
        <w:trPr>
          <w:trHeight w:val="300"/>
        </w:trPr>
        <w:tc>
          <w:tcPr>
            <w:tcW w:w="340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5239AF">
              <w:rPr>
                <w:bCs/>
                <w:sz w:val="20"/>
                <w:szCs w:val="20"/>
              </w:rPr>
              <w:t>Всего по муниципальной пр</w:t>
            </w:r>
            <w:r w:rsidRPr="005239AF">
              <w:rPr>
                <w:bCs/>
                <w:sz w:val="20"/>
                <w:szCs w:val="20"/>
              </w:rPr>
              <w:t>о</w:t>
            </w:r>
            <w:r w:rsidRPr="005239AF">
              <w:rPr>
                <w:bCs/>
                <w:sz w:val="20"/>
                <w:szCs w:val="20"/>
              </w:rPr>
              <w:t>грамме, в том числе:</w:t>
            </w:r>
          </w:p>
        </w:tc>
        <w:tc>
          <w:tcPr>
            <w:tcW w:w="1467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17 046,3</w:t>
            </w:r>
          </w:p>
        </w:tc>
        <w:tc>
          <w:tcPr>
            <w:tcW w:w="172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19 782,3</w:t>
            </w:r>
          </w:p>
        </w:tc>
        <w:tc>
          <w:tcPr>
            <w:tcW w:w="1679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19 782,3</w:t>
            </w:r>
          </w:p>
        </w:tc>
        <w:tc>
          <w:tcPr>
            <w:tcW w:w="1645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</w:tr>
      <w:tr w:rsidR="00B576F2" w:rsidRPr="00C32F1C" w:rsidTr="009E0B0D">
        <w:trPr>
          <w:trHeight w:val="300"/>
        </w:trPr>
        <w:tc>
          <w:tcPr>
            <w:tcW w:w="340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B576F2" w:rsidRPr="00C32F1C" w:rsidTr="009E0B0D">
        <w:trPr>
          <w:trHeight w:val="300"/>
        </w:trPr>
        <w:tc>
          <w:tcPr>
            <w:tcW w:w="340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1 309,6</w:t>
            </w:r>
          </w:p>
        </w:tc>
        <w:tc>
          <w:tcPr>
            <w:tcW w:w="172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1 366,1</w:t>
            </w:r>
          </w:p>
        </w:tc>
        <w:tc>
          <w:tcPr>
            <w:tcW w:w="1679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1 366,1</w:t>
            </w:r>
          </w:p>
        </w:tc>
        <w:tc>
          <w:tcPr>
            <w:tcW w:w="1645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B576F2" w:rsidRPr="00C32F1C" w:rsidTr="009E0B0D">
        <w:trPr>
          <w:trHeight w:val="300"/>
        </w:trPr>
        <w:tc>
          <w:tcPr>
            <w:tcW w:w="340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15 736,7</w:t>
            </w:r>
          </w:p>
        </w:tc>
        <w:tc>
          <w:tcPr>
            <w:tcW w:w="172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18 416,2</w:t>
            </w:r>
          </w:p>
        </w:tc>
        <w:tc>
          <w:tcPr>
            <w:tcW w:w="1679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18 416,2</w:t>
            </w:r>
          </w:p>
        </w:tc>
        <w:tc>
          <w:tcPr>
            <w:tcW w:w="1645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B576F2" w:rsidRPr="00A0434D" w:rsidTr="009E0B0D">
        <w:trPr>
          <w:trHeight w:val="300"/>
        </w:trPr>
        <w:tc>
          <w:tcPr>
            <w:tcW w:w="340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Основное мероприятие </w:t>
            </w:r>
            <w:r w:rsidRPr="00DD664C">
              <w:rPr>
                <w:sz w:val="20"/>
                <w:szCs w:val="20"/>
              </w:rPr>
              <w:t xml:space="preserve">«Организация и проведение </w:t>
            </w:r>
            <w:r w:rsidRPr="00DD664C">
              <w:rPr>
                <w:sz w:val="20"/>
                <w:szCs w:val="20"/>
              </w:rPr>
              <w:lastRenderedPageBreak/>
              <w:t>мер</w:t>
            </w:r>
            <w:r w:rsidRPr="00DD664C">
              <w:rPr>
                <w:sz w:val="20"/>
                <w:szCs w:val="20"/>
              </w:rPr>
              <w:t>о</w:t>
            </w:r>
            <w:r w:rsidRPr="00DD664C">
              <w:rPr>
                <w:sz w:val="20"/>
                <w:szCs w:val="20"/>
              </w:rPr>
              <w:t>приятий в сфере молодежной политики»,</w:t>
            </w:r>
            <w:r w:rsidRPr="005239AF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467" w:type="dxa"/>
            <w:hideMark/>
          </w:tcPr>
          <w:p w:rsidR="00B576F2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9 646,7</w:t>
            </w:r>
          </w:p>
          <w:p w:rsidR="00B576F2" w:rsidRPr="005239AF" w:rsidRDefault="00B576F2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721" w:type="dxa"/>
            <w:hideMark/>
          </w:tcPr>
          <w:p w:rsidR="00B576F2" w:rsidRPr="007C0232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  <w:highlight w:val="yellow"/>
              </w:rPr>
            </w:pPr>
            <w:r w:rsidRPr="00261119">
              <w:rPr>
                <w:sz w:val="20"/>
                <w:szCs w:val="20"/>
              </w:rPr>
              <w:t>10 565,4</w:t>
            </w:r>
          </w:p>
        </w:tc>
        <w:tc>
          <w:tcPr>
            <w:tcW w:w="1679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261119">
              <w:rPr>
                <w:sz w:val="20"/>
                <w:szCs w:val="20"/>
              </w:rPr>
              <w:t>10 565,4</w:t>
            </w:r>
          </w:p>
        </w:tc>
        <w:tc>
          <w:tcPr>
            <w:tcW w:w="1645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B576F2" w:rsidRPr="00C32F1C" w:rsidTr="009E0B0D">
        <w:trPr>
          <w:trHeight w:val="300"/>
        </w:trPr>
        <w:tc>
          <w:tcPr>
            <w:tcW w:w="340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lastRenderedPageBreak/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B576F2" w:rsidRPr="00C32F1C" w:rsidTr="009E0B0D">
        <w:trPr>
          <w:trHeight w:val="300"/>
        </w:trPr>
        <w:tc>
          <w:tcPr>
            <w:tcW w:w="340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1 309,6</w:t>
            </w:r>
          </w:p>
        </w:tc>
        <w:tc>
          <w:tcPr>
            <w:tcW w:w="172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1 366,1</w:t>
            </w:r>
          </w:p>
        </w:tc>
        <w:tc>
          <w:tcPr>
            <w:tcW w:w="1679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1 366,1</w:t>
            </w:r>
          </w:p>
        </w:tc>
        <w:tc>
          <w:tcPr>
            <w:tcW w:w="1645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B576F2" w:rsidRPr="00C32F1C" w:rsidTr="009E0B0D">
        <w:trPr>
          <w:trHeight w:val="300"/>
        </w:trPr>
        <w:tc>
          <w:tcPr>
            <w:tcW w:w="340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8 337,1</w:t>
            </w:r>
          </w:p>
        </w:tc>
        <w:tc>
          <w:tcPr>
            <w:tcW w:w="172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9 199,3</w:t>
            </w:r>
          </w:p>
        </w:tc>
        <w:tc>
          <w:tcPr>
            <w:tcW w:w="1679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9 199,3</w:t>
            </w:r>
          </w:p>
        </w:tc>
        <w:tc>
          <w:tcPr>
            <w:tcW w:w="1645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B576F2" w:rsidRPr="00A0434D" w:rsidTr="009E0B0D">
        <w:trPr>
          <w:trHeight w:val="300"/>
        </w:trPr>
        <w:tc>
          <w:tcPr>
            <w:tcW w:w="340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Основное мероприятие </w:t>
            </w:r>
            <w:r w:rsidRPr="00DD664C">
              <w:rPr>
                <w:sz w:val="20"/>
                <w:szCs w:val="20"/>
              </w:rPr>
              <w:t>«</w:t>
            </w:r>
            <w:r w:rsidRPr="006C0E95">
              <w:rPr>
                <w:sz w:val="20"/>
                <w:szCs w:val="20"/>
              </w:rPr>
              <w:t>Обе</w:t>
            </w:r>
            <w:r w:rsidRPr="006C0E95">
              <w:rPr>
                <w:sz w:val="20"/>
                <w:szCs w:val="20"/>
              </w:rPr>
              <w:t>с</w:t>
            </w:r>
            <w:r w:rsidRPr="006C0E95">
              <w:rPr>
                <w:sz w:val="20"/>
                <w:szCs w:val="20"/>
              </w:rPr>
              <w:t>печение деятельности муниц</w:t>
            </w:r>
            <w:r w:rsidRPr="006C0E9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бюджетного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«Молодежный центр»</w:t>
            </w:r>
            <w:r w:rsidRPr="00DD664C">
              <w:rPr>
                <w:sz w:val="20"/>
                <w:szCs w:val="20"/>
              </w:rPr>
              <w:t>,</w:t>
            </w:r>
            <w:r w:rsidRPr="005239AF">
              <w:rPr>
                <w:sz w:val="20"/>
                <w:szCs w:val="20"/>
              </w:rPr>
              <w:t xml:space="preserve"> вс</w:t>
            </w:r>
            <w:r w:rsidRPr="005239AF">
              <w:rPr>
                <w:sz w:val="20"/>
                <w:szCs w:val="20"/>
              </w:rPr>
              <w:t>е</w:t>
            </w:r>
            <w:r w:rsidRPr="005239AF">
              <w:rPr>
                <w:sz w:val="20"/>
                <w:szCs w:val="20"/>
              </w:rPr>
              <w:t>го, в том числе:</w:t>
            </w:r>
          </w:p>
        </w:tc>
        <w:tc>
          <w:tcPr>
            <w:tcW w:w="1467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7 399,6</w:t>
            </w:r>
          </w:p>
        </w:tc>
        <w:tc>
          <w:tcPr>
            <w:tcW w:w="172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9 216,9</w:t>
            </w:r>
          </w:p>
        </w:tc>
        <w:tc>
          <w:tcPr>
            <w:tcW w:w="1679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9 216,9</w:t>
            </w:r>
          </w:p>
        </w:tc>
        <w:tc>
          <w:tcPr>
            <w:tcW w:w="1645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B576F2" w:rsidRPr="00A0434D" w:rsidTr="009E0B0D">
        <w:trPr>
          <w:trHeight w:val="300"/>
        </w:trPr>
        <w:tc>
          <w:tcPr>
            <w:tcW w:w="340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B576F2" w:rsidRPr="00A0434D" w:rsidTr="009E0B0D">
        <w:trPr>
          <w:trHeight w:val="300"/>
        </w:trPr>
        <w:tc>
          <w:tcPr>
            <w:tcW w:w="340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B576F2" w:rsidRPr="00A0434D" w:rsidTr="009E0B0D">
        <w:trPr>
          <w:trHeight w:val="283"/>
        </w:trPr>
        <w:tc>
          <w:tcPr>
            <w:tcW w:w="340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7 399,6</w:t>
            </w:r>
          </w:p>
        </w:tc>
        <w:tc>
          <w:tcPr>
            <w:tcW w:w="1721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9 216,9</w:t>
            </w:r>
          </w:p>
        </w:tc>
        <w:tc>
          <w:tcPr>
            <w:tcW w:w="1679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9 216,9</w:t>
            </w:r>
          </w:p>
        </w:tc>
        <w:tc>
          <w:tcPr>
            <w:tcW w:w="1645" w:type="dxa"/>
            <w:hideMark/>
          </w:tcPr>
          <w:p w:rsidR="00B576F2" w:rsidRPr="005239AF" w:rsidRDefault="00B576F2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B576F2" w:rsidRPr="001B6E5A" w:rsidRDefault="00B576F2" w:rsidP="00B576F2">
      <w:pPr>
        <w:pStyle w:val="a6"/>
        <w:spacing w:after="0"/>
        <w:ind w:left="0" w:right="424"/>
        <w:jc w:val="both"/>
        <w:rPr>
          <w:sz w:val="28"/>
          <w:szCs w:val="28"/>
        </w:rPr>
      </w:pPr>
      <w:r>
        <w:t xml:space="preserve">   </w:t>
      </w:r>
    </w:p>
    <w:p w:rsidR="00B576F2" w:rsidRPr="00B576F2" w:rsidRDefault="00B576F2" w:rsidP="00B576F2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  <w:r w:rsidRPr="00B576F2">
        <w:rPr>
          <w:sz w:val="28"/>
          <w:szCs w:val="28"/>
        </w:rPr>
        <w:t xml:space="preserve">В 2018 году на реализацию мероприятий муниципальной программы «Молодежь города Ханты-Мансийска» на 2016-2020 годы выделено </w:t>
      </w:r>
      <w:r w:rsidRPr="00B576F2">
        <w:rPr>
          <w:bCs/>
          <w:sz w:val="28"/>
          <w:szCs w:val="28"/>
        </w:rPr>
        <w:t xml:space="preserve">19 782,3 тыс. </w:t>
      </w:r>
      <w:r w:rsidRPr="00B576F2">
        <w:rPr>
          <w:sz w:val="28"/>
          <w:szCs w:val="28"/>
        </w:rPr>
        <w:t>рублей, в том числе:</w:t>
      </w:r>
    </w:p>
    <w:p w:rsidR="00B576F2" w:rsidRPr="00B576F2" w:rsidRDefault="00B576F2" w:rsidP="00B576F2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B576F2">
        <w:rPr>
          <w:sz w:val="28"/>
          <w:szCs w:val="28"/>
        </w:rPr>
        <w:t>средства бюджета города 18 416,2 тыс. рублей;</w:t>
      </w:r>
    </w:p>
    <w:p w:rsidR="00B576F2" w:rsidRPr="00B576F2" w:rsidRDefault="00B576F2" w:rsidP="00B576F2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B576F2">
        <w:rPr>
          <w:sz w:val="28"/>
          <w:szCs w:val="28"/>
        </w:rPr>
        <w:t>средства бюджета автономного округа 1 366,1 тыс. рублей.</w:t>
      </w:r>
    </w:p>
    <w:p w:rsidR="00B576F2" w:rsidRPr="00B576F2" w:rsidRDefault="00B576F2" w:rsidP="00B576F2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B576F2">
        <w:rPr>
          <w:sz w:val="28"/>
          <w:szCs w:val="28"/>
        </w:rPr>
        <w:t>1. Основное мероприятие «Организация и проведение мероприятий в сфере молодежной политики» выделены средства в размере 10 565,4 тыс. рублей, в том числе:</w:t>
      </w:r>
    </w:p>
    <w:p w:rsidR="00B576F2" w:rsidRPr="00B576F2" w:rsidRDefault="00B576F2" w:rsidP="00B576F2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B576F2">
        <w:rPr>
          <w:sz w:val="28"/>
          <w:szCs w:val="28"/>
        </w:rPr>
        <w:t>средства бюджета города 9 199,3 тыс. рублей;</w:t>
      </w:r>
    </w:p>
    <w:p w:rsidR="00B576F2" w:rsidRPr="00B576F2" w:rsidRDefault="00B576F2" w:rsidP="00B576F2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B576F2">
        <w:rPr>
          <w:sz w:val="28"/>
          <w:szCs w:val="28"/>
        </w:rPr>
        <w:t>средства бюджета автономного округа 1 366,1 тыс. рублей.</w:t>
      </w:r>
    </w:p>
    <w:p w:rsidR="00B576F2" w:rsidRPr="00B576F2" w:rsidRDefault="00B576F2" w:rsidP="00B576F2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B576F2">
        <w:rPr>
          <w:sz w:val="28"/>
          <w:szCs w:val="28"/>
        </w:rPr>
        <w:t xml:space="preserve">Кассовое исполнение составило 10 565,4 тыс. рублей, в том числе:  </w:t>
      </w:r>
    </w:p>
    <w:p w:rsidR="00B576F2" w:rsidRPr="00B576F2" w:rsidRDefault="00B576F2" w:rsidP="00B576F2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B576F2">
        <w:rPr>
          <w:sz w:val="28"/>
          <w:szCs w:val="28"/>
        </w:rPr>
        <w:t>средства бюджета города 9 199,3 тыс. рублей;</w:t>
      </w:r>
    </w:p>
    <w:p w:rsidR="00B576F2" w:rsidRPr="00B576F2" w:rsidRDefault="00B576F2" w:rsidP="00B576F2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B576F2">
        <w:rPr>
          <w:sz w:val="28"/>
          <w:szCs w:val="28"/>
        </w:rPr>
        <w:t>средства бюджета автономного округа 1 366,1 тыс. рублей.</w:t>
      </w:r>
    </w:p>
    <w:p w:rsidR="00B576F2" w:rsidRPr="00B576F2" w:rsidRDefault="00B576F2" w:rsidP="00B576F2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B576F2">
        <w:rPr>
          <w:sz w:val="28"/>
          <w:szCs w:val="28"/>
        </w:rPr>
        <w:t>Плановые показатели исполнены на 100%.</w:t>
      </w:r>
    </w:p>
    <w:p w:rsidR="00B576F2" w:rsidRPr="00B576F2" w:rsidRDefault="00B576F2" w:rsidP="00B576F2">
      <w:pPr>
        <w:spacing w:after="0"/>
        <w:ind w:right="424" w:firstLine="709"/>
        <w:jc w:val="both"/>
        <w:rPr>
          <w:sz w:val="28"/>
          <w:szCs w:val="28"/>
        </w:rPr>
      </w:pPr>
      <w:r w:rsidRPr="00B576F2">
        <w:rPr>
          <w:sz w:val="28"/>
          <w:szCs w:val="28"/>
        </w:rPr>
        <w:t>Выделенные средства направлены на:</w:t>
      </w:r>
    </w:p>
    <w:p w:rsidR="00B576F2" w:rsidRPr="00B576F2" w:rsidRDefault="00B576F2" w:rsidP="00B576F2">
      <w:pPr>
        <w:spacing w:after="0"/>
        <w:ind w:right="424" w:firstLine="709"/>
        <w:jc w:val="both"/>
        <w:rPr>
          <w:sz w:val="28"/>
          <w:szCs w:val="28"/>
        </w:rPr>
      </w:pPr>
      <w:r w:rsidRPr="00B576F2">
        <w:rPr>
          <w:sz w:val="28"/>
          <w:szCs w:val="28"/>
        </w:rPr>
        <w:t>Р</w:t>
      </w:r>
      <w:r w:rsidRPr="00B576F2">
        <w:rPr>
          <w:rFonts w:eastAsia="Calibri"/>
          <w:bCs/>
          <w:sz w:val="28"/>
          <w:szCs w:val="28"/>
        </w:rPr>
        <w:t>еализацию проекта общественного движения «</w:t>
      </w:r>
      <w:proofErr w:type="spellStart"/>
      <w:r w:rsidRPr="00B576F2">
        <w:rPr>
          <w:rFonts w:eastAsia="Calibri"/>
          <w:bCs/>
          <w:sz w:val="28"/>
          <w:szCs w:val="28"/>
        </w:rPr>
        <w:t>Street</w:t>
      </w:r>
      <w:proofErr w:type="spellEnd"/>
      <w:r w:rsidRPr="00B576F2">
        <w:rPr>
          <w:rFonts w:eastAsia="Calibri"/>
          <w:bCs/>
          <w:sz w:val="28"/>
          <w:szCs w:val="28"/>
        </w:rPr>
        <w:t xml:space="preserve"> </w:t>
      </w:r>
      <w:proofErr w:type="spellStart"/>
      <w:r w:rsidRPr="00B576F2">
        <w:rPr>
          <w:rFonts w:eastAsia="Calibri"/>
          <w:bCs/>
          <w:sz w:val="28"/>
          <w:szCs w:val="28"/>
        </w:rPr>
        <w:t>workout</w:t>
      </w:r>
      <w:proofErr w:type="spellEnd"/>
      <w:r w:rsidRPr="00B576F2">
        <w:rPr>
          <w:rFonts w:eastAsia="Calibri"/>
          <w:bCs/>
          <w:sz w:val="28"/>
          <w:szCs w:val="28"/>
        </w:rPr>
        <w:t>» г</w:t>
      </w:r>
      <w:r w:rsidRPr="00B576F2">
        <w:rPr>
          <w:rFonts w:eastAsia="Calibri"/>
          <w:bCs/>
          <w:sz w:val="28"/>
          <w:szCs w:val="28"/>
        </w:rPr>
        <w:t>о</w:t>
      </w:r>
      <w:r w:rsidRPr="00B576F2">
        <w:rPr>
          <w:rFonts w:eastAsia="Calibri"/>
          <w:bCs/>
          <w:sz w:val="28"/>
          <w:szCs w:val="28"/>
        </w:rPr>
        <w:t xml:space="preserve">рода Ханты-Мансийска по итогам конкурса проектов инициативного </w:t>
      </w:r>
      <w:proofErr w:type="spellStart"/>
      <w:r w:rsidRPr="00B576F2">
        <w:rPr>
          <w:rFonts w:eastAsia="Calibri"/>
          <w:bCs/>
          <w:sz w:val="28"/>
          <w:szCs w:val="28"/>
        </w:rPr>
        <w:t>бюджетирования</w:t>
      </w:r>
      <w:proofErr w:type="spellEnd"/>
      <w:r w:rsidRPr="00B576F2">
        <w:rPr>
          <w:rFonts w:eastAsia="Calibri"/>
          <w:bCs/>
          <w:sz w:val="28"/>
          <w:szCs w:val="28"/>
        </w:rPr>
        <w:t xml:space="preserve"> «Мы планируем бюджет вместе» выделено ассигнов</w:t>
      </w:r>
      <w:r w:rsidRPr="00B576F2">
        <w:rPr>
          <w:rFonts w:eastAsia="Calibri"/>
          <w:bCs/>
          <w:sz w:val="28"/>
          <w:szCs w:val="28"/>
        </w:rPr>
        <w:t>а</w:t>
      </w:r>
      <w:r w:rsidRPr="00B576F2">
        <w:rPr>
          <w:rFonts w:eastAsia="Calibri"/>
          <w:bCs/>
          <w:sz w:val="28"/>
          <w:szCs w:val="28"/>
        </w:rPr>
        <w:t>ний в размере 200,0 тыс. рублей.</w:t>
      </w:r>
      <w:r w:rsidRPr="00B576F2">
        <w:rPr>
          <w:sz w:val="28"/>
          <w:szCs w:val="28"/>
        </w:rPr>
        <w:t xml:space="preserve"> </w:t>
      </w:r>
      <w:r w:rsidRPr="00B576F2">
        <w:rPr>
          <w:rFonts w:eastAsia="Calibri"/>
          <w:bCs/>
          <w:sz w:val="28"/>
          <w:szCs w:val="28"/>
        </w:rPr>
        <w:t>Проект реализован в период с апреля по июнь 2018 года. В рамках реализации проекта, в период с марта по апрель проведены конкурсные процедуры, с мая по июнь сбор заявок на участие в турнире и подготовительные мероприятия (изготовление наградной, с</w:t>
      </w:r>
      <w:r w:rsidRPr="00B576F2">
        <w:rPr>
          <w:rFonts w:eastAsia="Calibri"/>
          <w:bCs/>
          <w:sz w:val="28"/>
          <w:szCs w:val="28"/>
        </w:rPr>
        <w:t>у</w:t>
      </w:r>
      <w:r w:rsidRPr="00B576F2">
        <w:rPr>
          <w:rFonts w:eastAsia="Calibri"/>
          <w:bCs/>
          <w:sz w:val="28"/>
          <w:szCs w:val="28"/>
        </w:rPr>
        <w:t>венирной и полиграфической продукции, обеспечение питьевого режима и питания участников турнира, услуги по организации турнира (суде</w:t>
      </w:r>
      <w:r w:rsidRPr="00B576F2">
        <w:rPr>
          <w:rFonts w:eastAsia="Calibri"/>
          <w:bCs/>
          <w:sz w:val="28"/>
          <w:szCs w:val="28"/>
        </w:rPr>
        <w:t>й</w:t>
      </w:r>
      <w:r w:rsidRPr="00B576F2">
        <w:rPr>
          <w:rFonts w:eastAsia="Calibri"/>
          <w:bCs/>
          <w:sz w:val="28"/>
          <w:szCs w:val="28"/>
        </w:rPr>
        <w:t xml:space="preserve">ская коллегия), оплата проживания иногородним </w:t>
      </w:r>
      <w:r w:rsidRPr="00B576F2">
        <w:rPr>
          <w:rFonts w:eastAsia="Calibri"/>
          <w:bCs/>
          <w:sz w:val="28"/>
          <w:szCs w:val="28"/>
        </w:rPr>
        <w:lastRenderedPageBreak/>
        <w:t>участникам).</w:t>
      </w:r>
      <w:r w:rsidRPr="00B576F2">
        <w:rPr>
          <w:sz w:val="28"/>
          <w:szCs w:val="28"/>
        </w:rPr>
        <w:t xml:space="preserve"> </w:t>
      </w:r>
      <w:r w:rsidRPr="00B576F2">
        <w:rPr>
          <w:rFonts w:eastAsia="Calibri"/>
          <w:bCs/>
          <w:sz w:val="28"/>
          <w:szCs w:val="28"/>
        </w:rPr>
        <w:t xml:space="preserve">23 июня 2018 года проведен «Открытый турнир по </w:t>
      </w:r>
      <w:proofErr w:type="spellStart"/>
      <w:r w:rsidRPr="00B576F2">
        <w:rPr>
          <w:rFonts w:eastAsia="Calibri"/>
          <w:bCs/>
          <w:sz w:val="28"/>
          <w:szCs w:val="28"/>
        </w:rPr>
        <w:t>Street</w:t>
      </w:r>
      <w:proofErr w:type="spellEnd"/>
      <w:r w:rsidRPr="00B576F2">
        <w:rPr>
          <w:rFonts w:eastAsia="Calibri"/>
          <w:bCs/>
          <w:sz w:val="28"/>
          <w:szCs w:val="28"/>
        </w:rPr>
        <w:t xml:space="preserve"> </w:t>
      </w:r>
      <w:proofErr w:type="spellStart"/>
      <w:r w:rsidRPr="00B576F2">
        <w:rPr>
          <w:rFonts w:eastAsia="Calibri"/>
          <w:bCs/>
          <w:sz w:val="28"/>
          <w:szCs w:val="28"/>
        </w:rPr>
        <w:t>workout</w:t>
      </w:r>
      <w:proofErr w:type="spellEnd"/>
      <w:r w:rsidRPr="00B576F2">
        <w:rPr>
          <w:rFonts w:eastAsia="Calibri"/>
          <w:bCs/>
          <w:sz w:val="28"/>
          <w:szCs w:val="28"/>
        </w:rPr>
        <w:t xml:space="preserve"> города Ханты-Мансийска», в рамках фестиваля «PROДОБРО», посвященного Дню м</w:t>
      </w:r>
      <w:r w:rsidRPr="00B576F2">
        <w:rPr>
          <w:rFonts w:eastAsia="Calibri"/>
          <w:bCs/>
          <w:sz w:val="28"/>
          <w:szCs w:val="28"/>
        </w:rPr>
        <w:t>о</w:t>
      </w:r>
      <w:r w:rsidRPr="00B576F2">
        <w:rPr>
          <w:rFonts w:eastAsia="Calibri"/>
          <w:bCs/>
          <w:sz w:val="28"/>
          <w:szCs w:val="28"/>
        </w:rPr>
        <w:t>лодежи.</w:t>
      </w:r>
    </w:p>
    <w:p w:rsidR="00B576F2" w:rsidRPr="00B576F2" w:rsidRDefault="00B576F2" w:rsidP="00B576F2">
      <w:pPr>
        <w:spacing w:after="0"/>
        <w:ind w:right="424" w:firstLine="708"/>
        <w:jc w:val="both"/>
        <w:rPr>
          <w:rFonts w:eastAsia="Calibri"/>
          <w:bCs/>
          <w:sz w:val="28"/>
          <w:szCs w:val="28"/>
        </w:rPr>
      </w:pPr>
      <w:r w:rsidRPr="00B576F2">
        <w:rPr>
          <w:rFonts w:eastAsia="Calibri"/>
          <w:bCs/>
          <w:sz w:val="28"/>
          <w:szCs w:val="28"/>
        </w:rPr>
        <w:t>Цель турнира, заключающаяся в пропаганде здорового образа жи</w:t>
      </w:r>
      <w:r w:rsidRPr="00B576F2">
        <w:rPr>
          <w:rFonts w:eastAsia="Calibri"/>
          <w:bCs/>
          <w:sz w:val="28"/>
          <w:szCs w:val="28"/>
        </w:rPr>
        <w:t>з</w:t>
      </w:r>
      <w:r w:rsidRPr="00B576F2">
        <w:rPr>
          <w:rFonts w:eastAsia="Calibri"/>
          <w:bCs/>
          <w:sz w:val="28"/>
          <w:szCs w:val="28"/>
        </w:rPr>
        <w:t>ни и привлечении к систематическим занятиям физической культурой и спортом молодых жителей города, достигнута. Так, по результатам пр</w:t>
      </w:r>
      <w:r w:rsidRPr="00B576F2">
        <w:rPr>
          <w:rFonts w:eastAsia="Calibri"/>
          <w:bCs/>
          <w:sz w:val="28"/>
          <w:szCs w:val="28"/>
        </w:rPr>
        <w:t>о</w:t>
      </w:r>
      <w:r w:rsidRPr="00B576F2">
        <w:rPr>
          <w:rFonts w:eastAsia="Calibri"/>
          <w:bCs/>
          <w:sz w:val="28"/>
          <w:szCs w:val="28"/>
        </w:rPr>
        <w:t xml:space="preserve">ведения турнира выявлены молодые и талантливые спортсмены, число участников движения </w:t>
      </w:r>
      <w:proofErr w:type="spellStart"/>
      <w:r w:rsidRPr="00B576F2">
        <w:rPr>
          <w:rFonts w:eastAsia="Calibri"/>
          <w:bCs/>
          <w:sz w:val="28"/>
          <w:szCs w:val="28"/>
        </w:rPr>
        <w:t>Street</w:t>
      </w:r>
      <w:proofErr w:type="spellEnd"/>
      <w:r w:rsidRPr="00B576F2">
        <w:rPr>
          <w:rFonts w:eastAsia="Calibri"/>
          <w:bCs/>
          <w:sz w:val="28"/>
          <w:szCs w:val="28"/>
        </w:rPr>
        <w:t xml:space="preserve"> </w:t>
      </w:r>
      <w:proofErr w:type="spellStart"/>
      <w:r w:rsidRPr="00B576F2">
        <w:rPr>
          <w:rFonts w:eastAsia="Calibri"/>
          <w:bCs/>
          <w:sz w:val="28"/>
          <w:szCs w:val="28"/>
        </w:rPr>
        <w:t>workout</w:t>
      </w:r>
      <w:proofErr w:type="spellEnd"/>
      <w:r w:rsidRPr="00B576F2">
        <w:rPr>
          <w:rFonts w:eastAsia="Calibri"/>
          <w:bCs/>
          <w:sz w:val="28"/>
          <w:szCs w:val="28"/>
        </w:rPr>
        <w:t>, налажены коммуникативные связи среди спортивной молодежи города и участниками турнира из следу</w:t>
      </w:r>
      <w:r w:rsidRPr="00B576F2">
        <w:rPr>
          <w:rFonts w:eastAsia="Calibri"/>
          <w:bCs/>
          <w:sz w:val="28"/>
          <w:szCs w:val="28"/>
        </w:rPr>
        <w:t>ю</w:t>
      </w:r>
      <w:r w:rsidRPr="00B576F2">
        <w:rPr>
          <w:rFonts w:eastAsia="Calibri"/>
          <w:bCs/>
          <w:sz w:val="28"/>
          <w:szCs w:val="28"/>
        </w:rPr>
        <w:t>щих муниципальных образований Ханты-Мансийского автономного о</w:t>
      </w:r>
      <w:r w:rsidRPr="00B576F2">
        <w:rPr>
          <w:rFonts w:eastAsia="Calibri"/>
          <w:bCs/>
          <w:sz w:val="28"/>
          <w:szCs w:val="28"/>
        </w:rPr>
        <w:t>к</w:t>
      </w:r>
      <w:r w:rsidRPr="00B576F2">
        <w:rPr>
          <w:rFonts w:eastAsia="Calibri"/>
          <w:bCs/>
          <w:sz w:val="28"/>
          <w:szCs w:val="28"/>
        </w:rPr>
        <w:t xml:space="preserve">руга - </w:t>
      </w:r>
      <w:proofErr w:type="spellStart"/>
      <w:r w:rsidRPr="00B576F2">
        <w:rPr>
          <w:rFonts w:eastAsia="Calibri"/>
          <w:bCs/>
          <w:sz w:val="28"/>
          <w:szCs w:val="28"/>
        </w:rPr>
        <w:t>Югры</w:t>
      </w:r>
      <w:proofErr w:type="spellEnd"/>
      <w:r w:rsidRPr="00B576F2">
        <w:rPr>
          <w:rFonts w:eastAsia="Calibri"/>
          <w:bCs/>
          <w:sz w:val="28"/>
          <w:szCs w:val="28"/>
        </w:rPr>
        <w:t xml:space="preserve">: городов Нефтеюганск, </w:t>
      </w:r>
      <w:proofErr w:type="spellStart"/>
      <w:r w:rsidRPr="00B576F2">
        <w:rPr>
          <w:rFonts w:eastAsia="Calibri"/>
          <w:bCs/>
          <w:sz w:val="28"/>
          <w:szCs w:val="28"/>
        </w:rPr>
        <w:t>Нягань</w:t>
      </w:r>
      <w:proofErr w:type="spellEnd"/>
      <w:r w:rsidRPr="00B576F2">
        <w:rPr>
          <w:rFonts w:eastAsia="Calibri"/>
          <w:bCs/>
          <w:sz w:val="28"/>
          <w:szCs w:val="28"/>
        </w:rPr>
        <w:t xml:space="preserve"> и поселка </w:t>
      </w:r>
      <w:proofErr w:type="spellStart"/>
      <w:r w:rsidRPr="00B576F2">
        <w:rPr>
          <w:rFonts w:eastAsia="Calibri"/>
          <w:bCs/>
          <w:sz w:val="28"/>
          <w:szCs w:val="28"/>
        </w:rPr>
        <w:t>Цингалы</w:t>
      </w:r>
      <w:proofErr w:type="spellEnd"/>
      <w:r w:rsidRPr="00B576F2">
        <w:rPr>
          <w:rFonts w:eastAsia="Calibri"/>
          <w:bCs/>
          <w:sz w:val="28"/>
          <w:szCs w:val="28"/>
        </w:rPr>
        <w:t>. Благод</w:t>
      </w:r>
      <w:r w:rsidRPr="00B576F2">
        <w:rPr>
          <w:rFonts w:eastAsia="Calibri"/>
          <w:bCs/>
          <w:sz w:val="28"/>
          <w:szCs w:val="28"/>
        </w:rPr>
        <w:t>а</w:t>
      </w:r>
      <w:r w:rsidRPr="00B576F2">
        <w:rPr>
          <w:rFonts w:eastAsia="Calibri"/>
          <w:bCs/>
          <w:sz w:val="28"/>
          <w:szCs w:val="28"/>
        </w:rPr>
        <w:t xml:space="preserve">ря реализации проекта общественное движение </w:t>
      </w:r>
      <w:proofErr w:type="spellStart"/>
      <w:r w:rsidRPr="00B576F2">
        <w:rPr>
          <w:rFonts w:eastAsia="Calibri"/>
          <w:bCs/>
          <w:sz w:val="28"/>
          <w:szCs w:val="28"/>
        </w:rPr>
        <w:t>Street</w:t>
      </w:r>
      <w:proofErr w:type="spellEnd"/>
      <w:r w:rsidRPr="00B576F2">
        <w:rPr>
          <w:rFonts w:eastAsia="Calibri"/>
          <w:bCs/>
          <w:sz w:val="28"/>
          <w:szCs w:val="28"/>
        </w:rPr>
        <w:t xml:space="preserve"> </w:t>
      </w:r>
      <w:proofErr w:type="spellStart"/>
      <w:r w:rsidRPr="00B576F2">
        <w:rPr>
          <w:rFonts w:eastAsia="Calibri"/>
          <w:bCs/>
          <w:sz w:val="28"/>
          <w:szCs w:val="28"/>
        </w:rPr>
        <w:t>Workout</w:t>
      </w:r>
      <w:proofErr w:type="spellEnd"/>
      <w:r w:rsidRPr="00B576F2">
        <w:rPr>
          <w:rFonts w:eastAsia="Calibri"/>
          <w:bCs/>
          <w:sz w:val="28"/>
          <w:szCs w:val="28"/>
        </w:rPr>
        <w:t xml:space="preserve"> города Ханты-Мансийска получило возможность осуществлять тренировочный процесс в зале спортивного клуба смешанных Боевых Единоборств «</w:t>
      </w:r>
      <w:proofErr w:type="spellStart"/>
      <w:r w:rsidRPr="00B576F2">
        <w:rPr>
          <w:rFonts w:eastAsia="Calibri"/>
          <w:bCs/>
          <w:sz w:val="28"/>
          <w:szCs w:val="28"/>
        </w:rPr>
        <w:t>Fight</w:t>
      </w:r>
      <w:proofErr w:type="spellEnd"/>
      <w:r w:rsidRPr="00B576F2">
        <w:rPr>
          <w:rFonts w:eastAsia="Calibri"/>
          <w:bCs/>
          <w:sz w:val="28"/>
          <w:szCs w:val="28"/>
        </w:rPr>
        <w:t xml:space="preserve"> </w:t>
      </w:r>
      <w:proofErr w:type="spellStart"/>
      <w:r w:rsidRPr="00B576F2">
        <w:rPr>
          <w:rFonts w:eastAsia="Calibri"/>
          <w:bCs/>
          <w:sz w:val="28"/>
          <w:szCs w:val="28"/>
        </w:rPr>
        <w:t>Selection</w:t>
      </w:r>
      <w:proofErr w:type="spellEnd"/>
      <w:r w:rsidRPr="00B576F2">
        <w:rPr>
          <w:rFonts w:eastAsia="Calibri"/>
          <w:bCs/>
          <w:sz w:val="28"/>
          <w:szCs w:val="28"/>
        </w:rPr>
        <w:t>» на партнерских условиях. Всего в турнире приняли участие 35 спортсменов-любителей. Общий охват аудитории составил более 200 ч</w:t>
      </w:r>
      <w:r w:rsidRPr="00B576F2">
        <w:rPr>
          <w:rFonts w:eastAsia="Calibri"/>
          <w:bCs/>
          <w:sz w:val="28"/>
          <w:szCs w:val="28"/>
        </w:rPr>
        <w:t>е</w:t>
      </w:r>
      <w:r w:rsidRPr="00B576F2">
        <w:rPr>
          <w:rFonts w:eastAsia="Calibri"/>
          <w:bCs/>
          <w:sz w:val="28"/>
          <w:szCs w:val="28"/>
        </w:rPr>
        <w:t>ловек, включая зрителей и болельщиков.</w:t>
      </w:r>
    </w:p>
    <w:p w:rsidR="00B576F2" w:rsidRPr="00B576F2" w:rsidRDefault="00B576F2" w:rsidP="00B576F2">
      <w:pPr>
        <w:spacing w:after="0"/>
        <w:ind w:right="424" w:firstLine="708"/>
        <w:jc w:val="both"/>
        <w:rPr>
          <w:rFonts w:eastAsia="Calibri"/>
          <w:bCs/>
          <w:sz w:val="28"/>
          <w:szCs w:val="28"/>
        </w:rPr>
      </w:pPr>
      <w:r w:rsidRPr="00B576F2">
        <w:rPr>
          <w:rFonts w:eastAsia="Calibri"/>
          <w:bCs/>
          <w:sz w:val="28"/>
          <w:szCs w:val="28"/>
        </w:rPr>
        <w:t>Стоит отметить, что в городе эффективно функционирует система организации деятельности молодежных трудовых отрядов, преследующая цель вовлечения несовершеннолетних граждан в возрасте от 14 до 18 лет в свободное от учебы время в трудовые отношения.  Выделены средства в размере 888,1 тыс. рублей. В 2018 году количество трудоустроенных по</w:t>
      </w:r>
      <w:r w:rsidRPr="00B576F2">
        <w:rPr>
          <w:rFonts w:eastAsia="Calibri"/>
          <w:bCs/>
          <w:sz w:val="28"/>
          <w:szCs w:val="28"/>
        </w:rPr>
        <w:t>д</w:t>
      </w:r>
      <w:r w:rsidRPr="00B576F2">
        <w:rPr>
          <w:rFonts w:eastAsia="Calibri"/>
          <w:bCs/>
          <w:sz w:val="28"/>
          <w:szCs w:val="28"/>
        </w:rPr>
        <w:t>ростков составило 730 человек (2017 год - 714 человек). Из них 680 человек трудоустроены за счет средств муниципальной программы  «Мол</w:t>
      </w:r>
      <w:r w:rsidRPr="00B576F2">
        <w:rPr>
          <w:rFonts w:eastAsia="Calibri"/>
          <w:bCs/>
          <w:sz w:val="28"/>
          <w:szCs w:val="28"/>
        </w:rPr>
        <w:t>о</w:t>
      </w:r>
      <w:r w:rsidRPr="00B576F2">
        <w:rPr>
          <w:rFonts w:eastAsia="Calibri"/>
          <w:bCs/>
          <w:sz w:val="28"/>
          <w:szCs w:val="28"/>
        </w:rPr>
        <w:t>дежь   города Ханты-Мансийска»  на  2016 - 2020 годы,  50 несоверше</w:t>
      </w:r>
      <w:r w:rsidRPr="00B576F2">
        <w:rPr>
          <w:rFonts w:eastAsia="Calibri"/>
          <w:bCs/>
          <w:sz w:val="28"/>
          <w:szCs w:val="28"/>
        </w:rPr>
        <w:t>н</w:t>
      </w:r>
      <w:r w:rsidRPr="00B576F2">
        <w:rPr>
          <w:rFonts w:eastAsia="Calibri"/>
          <w:bCs/>
          <w:sz w:val="28"/>
          <w:szCs w:val="28"/>
        </w:rPr>
        <w:t>нолетних трудоустроены за счет средств работодателей: муниципального предприятия «Жилищное коммунальное управление», муниципального дорожно-эксплуатационного предприятия, муниципального бюджетного учреждения «Управление по эксплуатации служебных зданий».</w:t>
      </w:r>
    </w:p>
    <w:p w:rsidR="00B576F2" w:rsidRPr="00B576F2" w:rsidRDefault="00B576F2" w:rsidP="00B576F2">
      <w:pPr>
        <w:spacing w:after="0"/>
        <w:ind w:right="424" w:firstLine="708"/>
        <w:jc w:val="both"/>
        <w:rPr>
          <w:rFonts w:eastAsia="Calibri"/>
          <w:bCs/>
          <w:sz w:val="28"/>
          <w:szCs w:val="28"/>
        </w:rPr>
      </w:pPr>
      <w:r w:rsidRPr="00B576F2">
        <w:rPr>
          <w:rFonts w:eastAsia="Calibri"/>
          <w:bCs/>
          <w:sz w:val="28"/>
          <w:szCs w:val="28"/>
        </w:rPr>
        <w:t>Организация временной трудовой занятости подростков осущест</w:t>
      </w:r>
      <w:r w:rsidRPr="00B576F2">
        <w:rPr>
          <w:rFonts w:eastAsia="Calibri"/>
          <w:bCs/>
          <w:sz w:val="28"/>
          <w:szCs w:val="28"/>
        </w:rPr>
        <w:t>в</w:t>
      </w:r>
      <w:r w:rsidRPr="00B576F2">
        <w:rPr>
          <w:rFonts w:eastAsia="Calibri"/>
          <w:bCs/>
          <w:sz w:val="28"/>
          <w:szCs w:val="28"/>
        </w:rPr>
        <w:t>ляется с марта по ноябрь, продолжительность рабочего времени участн</w:t>
      </w:r>
      <w:r w:rsidRPr="00B576F2">
        <w:rPr>
          <w:rFonts w:eastAsia="Calibri"/>
          <w:bCs/>
          <w:sz w:val="28"/>
          <w:szCs w:val="28"/>
        </w:rPr>
        <w:t>и</w:t>
      </w:r>
      <w:r w:rsidRPr="00B576F2">
        <w:rPr>
          <w:rFonts w:eastAsia="Calibri"/>
          <w:bCs/>
          <w:sz w:val="28"/>
          <w:szCs w:val="28"/>
        </w:rPr>
        <w:t>ков молодежных трудовых отрядов составила 2 часа в день при 5-ти дневной рабочей неделе. Ребята выполняли работы по уборке и благоус</w:t>
      </w:r>
      <w:r w:rsidRPr="00B576F2">
        <w:rPr>
          <w:rFonts w:eastAsia="Calibri"/>
          <w:bCs/>
          <w:sz w:val="28"/>
          <w:szCs w:val="28"/>
        </w:rPr>
        <w:t>т</w:t>
      </w:r>
      <w:r w:rsidRPr="00B576F2">
        <w:rPr>
          <w:rFonts w:eastAsia="Calibri"/>
          <w:bCs/>
          <w:sz w:val="28"/>
          <w:szCs w:val="28"/>
        </w:rPr>
        <w:t>ройству городских территорий. Средняя заработная плата несовершенн</w:t>
      </w:r>
      <w:r w:rsidRPr="00B576F2">
        <w:rPr>
          <w:rFonts w:eastAsia="Calibri"/>
          <w:bCs/>
          <w:sz w:val="28"/>
          <w:szCs w:val="28"/>
        </w:rPr>
        <w:t>о</w:t>
      </w:r>
      <w:r w:rsidRPr="00B576F2">
        <w:rPr>
          <w:rFonts w:eastAsia="Calibri"/>
          <w:bCs/>
          <w:sz w:val="28"/>
          <w:szCs w:val="28"/>
        </w:rPr>
        <w:t xml:space="preserve">летнего в месяц составляет 7 753,27 рублей. </w:t>
      </w:r>
    </w:p>
    <w:p w:rsidR="00B576F2" w:rsidRPr="00B576F2" w:rsidRDefault="00B576F2" w:rsidP="00B576F2">
      <w:pPr>
        <w:spacing w:after="0"/>
        <w:ind w:right="424" w:firstLine="708"/>
        <w:jc w:val="both"/>
        <w:rPr>
          <w:rFonts w:eastAsia="Calibri"/>
          <w:bCs/>
          <w:sz w:val="28"/>
          <w:szCs w:val="28"/>
        </w:rPr>
      </w:pPr>
      <w:r w:rsidRPr="00B576F2">
        <w:rPr>
          <w:rFonts w:eastAsia="Calibri"/>
          <w:bCs/>
          <w:sz w:val="28"/>
          <w:szCs w:val="28"/>
        </w:rPr>
        <w:t>Главные события в сфере молодежной политики в 2018 году связ</w:t>
      </w:r>
      <w:r w:rsidRPr="00B576F2">
        <w:rPr>
          <w:rFonts w:eastAsia="Calibri"/>
          <w:bCs/>
          <w:sz w:val="28"/>
          <w:szCs w:val="28"/>
        </w:rPr>
        <w:t>а</w:t>
      </w:r>
      <w:r w:rsidRPr="00B576F2">
        <w:rPr>
          <w:rFonts w:eastAsia="Calibri"/>
          <w:bCs/>
          <w:sz w:val="28"/>
          <w:szCs w:val="28"/>
        </w:rPr>
        <w:t>ны с  объявленным в Российской Федерации Годом добровольца (воло</w:t>
      </w:r>
      <w:r w:rsidRPr="00B576F2">
        <w:rPr>
          <w:rFonts w:eastAsia="Calibri"/>
          <w:bCs/>
          <w:sz w:val="28"/>
          <w:szCs w:val="28"/>
        </w:rPr>
        <w:t>н</w:t>
      </w:r>
      <w:r w:rsidRPr="00B576F2">
        <w:rPr>
          <w:rFonts w:eastAsia="Calibri"/>
          <w:bCs/>
          <w:sz w:val="28"/>
          <w:szCs w:val="28"/>
        </w:rPr>
        <w:t xml:space="preserve">тера). Одним из самых масштабных молодежных мероприятий стал </w:t>
      </w:r>
      <w:r w:rsidRPr="00B576F2">
        <w:rPr>
          <w:rFonts w:eastAsia="Calibri"/>
          <w:bCs/>
          <w:sz w:val="28"/>
          <w:szCs w:val="28"/>
        </w:rPr>
        <w:lastRenderedPageBreak/>
        <w:t>фе</w:t>
      </w:r>
      <w:r w:rsidRPr="00B576F2">
        <w:rPr>
          <w:rFonts w:eastAsia="Calibri"/>
          <w:bCs/>
          <w:sz w:val="28"/>
          <w:szCs w:val="28"/>
        </w:rPr>
        <w:t>с</w:t>
      </w:r>
      <w:r w:rsidRPr="00B576F2">
        <w:rPr>
          <w:rFonts w:eastAsia="Calibri"/>
          <w:bCs/>
          <w:sz w:val="28"/>
          <w:szCs w:val="28"/>
        </w:rPr>
        <w:t>тиваль «P</w:t>
      </w:r>
      <w:proofErr w:type="spellStart"/>
      <w:r w:rsidRPr="00B576F2">
        <w:rPr>
          <w:rFonts w:eastAsia="Calibri"/>
          <w:bCs/>
          <w:sz w:val="28"/>
          <w:szCs w:val="28"/>
          <w:lang w:val="en-US"/>
        </w:rPr>
        <w:t>ro</w:t>
      </w:r>
      <w:proofErr w:type="spellEnd"/>
      <w:r w:rsidRPr="00B576F2">
        <w:rPr>
          <w:rFonts w:eastAsia="Calibri"/>
          <w:bCs/>
          <w:sz w:val="28"/>
          <w:szCs w:val="28"/>
        </w:rPr>
        <w:t>Добро», в рамках которого состоялся марафон добрых дел, где все желающие учились русскому жестовому языку, внесли свой вклад в развитие благотворительности, приобретая значок «Красная гвоздика» у партнеров фонда «Память поколений», помогли детям с ограниченными возможностями, объединенных Региональной общественной организац</w:t>
      </w:r>
      <w:r w:rsidRPr="00B576F2">
        <w:rPr>
          <w:rFonts w:eastAsia="Calibri"/>
          <w:bCs/>
          <w:sz w:val="28"/>
          <w:szCs w:val="28"/>
        </w:rPr>
        <w:t>и</w:t>
      </w:r>
      <w:r w:rsidRPr="00B576F2">
        <w:rPr>
          <w:rFonts w:eastAsia="Calibri"/>
          <w:bCs/>
          <w:sz w:val="28"/>
          <w:szCs w:val="28"/>
        </w:rPr>
        <w:t>ей «Солнце на ладони».</w:t>
      </w:r>
    </w:p>
    <w:p w:rsidR="00B576F2" w:rsidRPr="00B576F2" w:rsidRDefault="00B576F2" w:rsidP="00B576F2">
      <w:pPr>
        <w:spacing w:after="0"/>
        <w:ind w:right="424" w:firstLine="708"/>
        <w:jc w:val="both"/>
        <w:rPr>
          <w:rFonts w:eastAsia="Calibri"/>
          <w:bCs/>
          <w:sz w:val="28"/>
          <w:szCs w:val="28"/>
        </w:rPr>
      </w:pPr>
      <w:r w:rsidRPr="00B576F2">
        <w:rPr>
          <w:rFonts w:eastAsia="Calibri"/>
          <w:bCs/>
          <w:sz w:val="28"/>
          <w:szCs w:val="28"/>
        </w:rPr>
        <w:t>С целью формирования базовых знаний о волонтерской деятельн</w:t>
      </w:r>
      <w:r w:rsidRPr="00B576F2">
        <w:rPr>
          <w:rFonts w:eastAsia="Calibri"/>
          <w:bCs/>
          <w:sz w:val="28"/>
          <w:szCs w:val="28"/>
        </w:rPr>
        <w:t>о</w:t>
      </w:r>
      <w:r w:rsidRPr="00B576F2">
        <w:rPr>
          <w:rFonts w:eastAsia="Calibri"/>
          <w:bCs/>
          <w:sz w:val="28"/>
          <w:szCs w:val="28"/>
        </w:rPr>
        <w:t>сти и основных компетенциях добровольца для 70 представителей уч</w:t>
      </w:r>
      <w:r w:rsidRPr="00B576F2">
        <w:rPr>
          <w:rFonts w:eastAsia="Calibri"/>
          <w:bCs/>
          <w:sz w:val="28"/>
          <w:szCs w:val="28"/>
        </w:rPr>
        <w:t>а</w:t>
      </w:r>
      <w:r w:rsidRPr="00B576F2">
        <w:rPr>
          <w:rFonts w:eastAsia="Calibri"/>
          <w:bCs/>
          <w:sz w:val="28"/>
          <w:szCs w:val="28"/>
        </w:rPr>
        <w:t>щейся и студенческой молодежи проведена первая «Городская школа в</w:t>
      </w:r>
      <w:r w:rsidRPr="00B576F2">
        <w:rPr>
          <w:rFonts w:eastAsia="Calibri"/>
          <w:bCs/>
          <w:sz w:val="28"/>
          <w:szCs w:val="28"/>
        </w:rPr>
        <w:t>о</w:t>
      </w:r>
      <w:r w:rsidRPr="00B576F2">
        <w:rPr>
          <w:rFonts w:eastAsia="Calibri"/>
          <w:bCs/>
          <w:sz w:val="28"/>
          <w:szCs w:val="28"/>
        </w:rPr>
        <w:t>лонтера».</w:t>
      </w:r>
    </w:p>
    <w:p w:rsidR="00B576F2" w:rsidRPr="00B576F2" w:rsidRDefault="00B576F2" w:rsidP="00B576F2">
      <w:pPr>
        <w:spacing w:after="0"/>
        <w:ind w:right="424" w:firstLine="708"/>
        <w:jc w:val="both"/>
        <w:rPr>
          <w:rFonts w:eastAsia="Calibri"/>
          <w:bCs/>
          <w:sz w:val="28"/>
          <w:szCs w:val="28"/>
        </w:rPr>
      </w:pPr>
      <w:r w:rsidRPr="00B576F2">
        <w:rPr>
          <w:rFonts w:eastAsia="Calibri"/>
          <w:bCs/>
          <w:sz w:val="28"/>
          <w:szCs w:val="28"/>
        </w:rPr>
        <w:t>В рамках слета Ханты-Мансийского местного отделения общеро</w:t>
      </w:r>
      <w:r w:rsidRPr="00B576F2">
        <w:rPr>
          <w:rFonts w:eastAsia="Calibri"/>
          <w:bCs/>
          <w:sz w:val="28"/>
          <w:szCs w:val="28"/>
        </w:rPr>
        <w:t>с</w:t>
      </w:r>
      <w:r w:rsidRPr="00B576F2">
        <w:rPr>
          <w:rFonts w:eastAsia="Calibri"/>
          <w:bCs/>
          <w:sz w:val="28"/>
          <w:szCs w:val="28"/>
        </w:rPr>
        <w:t>сийской общественно-государственной детско-юношеской организации «Российское движение школьников» проведена образовательная сессия  «Я доброволец», состоящая из вводного модуля «Лаборатория компете</w:t>
      </w:r>
      <w:r w:rsidRPr="00B576F2">
        <w:rPr>
          <w:rFonts w:eastAsia="Calibri"/>
          <w:bCs/>
          <w:sz w:val="28"/>
          <w:szCs w:val="28"/>
        </w:rPr>
        <w:t>н</w:t>
      </w:r>
      <w:r w:rsidRPr="00B576F2">
        <w:rPr>
          <w:rFonts w:eastAsia="Calibri"/>
          <w:bCs/>
          <w:sz w:val="28"/>
          <w:szCs w:val="28"/>
        </w:rPr>
        <w:t>ций добровольца», профилактического модуля «Живи здорово», патри</w:t>
      </w:r>
      <w:r w:rsidRPr="00B576F2">
        <w:rPr>
          <w:rFonts w:eastAsia="Calibri"/>
          <w:bCs/>
          <w:sz w:val="28"/>
          <w:szCs w:val="28"/>
        </w:rPr>
        <w:t>о</w:t>
      </w:r>
      <w:r w:rsidRPr="00B576F2">
        <w:rPr>
          <w:rFonts w:eastAsia="Calibri"/>
          <w:bCs/>
          <w:sz w:val="28"/>
          <w:szCs w:val="28"/>
        </w:rPr>
        <w:t xml:space="preserve">тического модуля «Готов к победам», модуля комплексной безопасности «Учись, применяй, помогай». </w:t>
      </w:r>
    </w:p>
    <w:p w:rsidR="00B576F2" w:rsidRPr="00B576F2" w:rsidRDefault="00B576F2" w:rsidP="00B576F2">
      <w:pPr>
        <w:spacing w:after="0"/>
        <w:ind w:right="424" w:firstLine="708"/>
        <w:jc w:val="both"/>
        <w:rPr>
          <w:rFonts w:eastAsia="Calibri"/>
          <w:bCs/>
          <w:sz w:val="28"/>
          <w:szCs w:val="28"/>
        </w:rPr>
      </w:pPr>
      <w:r w:rsidRPr="00B576F2">
        <w:rPr>
          <w:rFonts w:eastAsia="Calibri"/>
          <w:bCs/>
          <w:sz w:val="28"/>
          <w:szCs w:val="28"/>
        </w:rPr>
        <w:t>Впервые проведен городской молодежный форум «Ханты-Мансийск - территория добра», на котором около 100 добровольцев п</w:t>
      </w:r>
      <w:r w:rsidRPr="00B576F2">
        <w:rPr>
          <w:rFonts w:eastAsia="Calibri"/>
          <w:bCs/>
          <w:sz w:val="28"/>
          <w:szCs w:val="28"/>
        </w:rPr>
        <w:t>о</w:t>
      </w:r>
      <w:r w:rsidRPr="00B576F2">
        <w:rPr>
          <w:rFonts w:eastAsia="Calibri"/>
          <w:bCs/>
          <w:sz w:val="28"/>
          <w:szCs w:val="28"/>
        </w:rPr>
        <w:t>знакомились с лучшими добровольческими практиками города Ханты-Мансийска, узнали о возможностях участия в благотворительных прое</w:t>
      </w:r>
      <w:r w:rsidRPr="00B576F2">
        <w:rPr>
          <w:rFonts w:eastAsia="Calibri"/>
          <w:bCs/>
          <w:sz w:val="28"/>
          <w:szCs w:val="28"/>
        </w:rPr>
        <w:t>к</w:t>
      </w:r>
      <w:r w:rsidRPr="00B576F2">
        <w:rPr>
          <w:rFonts w:eastAsia="Calibri"/>
          <w:bCs/>
          <w:sz w:val="28"/>
          <w:szCs w:val="28"/>
        </w:rPr>
        <w:t xml:space="preserve">тах, не выходя из дома, учились предлагать и продвигать свои идеи и объединяться вместе для добрых дел. </w:t>
      </w:r>
    </w:p>
    <w:p w:rsidR="00B576F2" w:rsidRPr="00B576F2" w:rsidRDefault="00B576F2" w:rsidP="00B576F2">
      <w:pPr>
        <w:spacing w:after="0"/>
        <w:ind w:right="424" w:firstLine="708"/>
        <w:jc w:val="both"/>
        <w:rPr>
          <w:rFonts w:eastAsia="Calibri"/>
          <w:bCs/>
          <w:sz w:val="28"/>
          <w:szCs w:val="28"/>
        </w:rPr>
      </w:pPr>
      <w:r w:rsidRPr="00B576F2">
        <w:rPr>
          <w:rFonts w:eastAsia="Calibri"/>
          <w:bCs/>
          <w:sz w:val="28"/>
          <w:szCs w:val="28"/>
        </w:rPr>
        <w:t>С целью поддержки добровольческих инициатив проведен, ставший традиционным, городской конкурс «Волонтер года». В 2018 году колич</w:t>
      </w:r>
      <w:r w:rsidRPr="00B576F2">
        <w:rPr>
          <w:rFonts w:eastAsia="Calibri"/>
          <w:bCs/>
          <w:sz w:val="28"/>
          <w:szCs w:val="28"/>
        </w:rPr>
        <w:t>е</w:t>
      </w:r>
      <w:r w:rsidRPr="00B576F2">
        <w:rPr>
          <w:rFonts w:eastAsia="Calibri"/>
          <w:bCs/>
          <w:sz w:val="28"/>
          <w:szCs w:val="28"/>
        </w:rPr>
        <w:t>ство участников увеличилось в четыре раза (288 человек в 2018 году, 67 человек в 2017 году).</w:t>
      </w:r>
    </w:p>
    <w:p w:rsidR="00B576F2" w:rsidRPr="00B576F2" w:rsidRDefault="00B576F2" w:rsidP="00B576F2">
      <w:pPr>
        <w:spacing w:after="0"/>
        <w:ind w:right="424" w:firstLine="708"/>
        <w:jc w:val="both"/>
        <w:rPr>
          <w:rFonts w:eastAsia="Calibri"/>
          <w:bCs/>
          <w:sz w:val="28"/>
          <w:szCs w:val="28"/>
        </w:rPr>
      </w:pPr>
      <w:r w:rsidRPr="00B576F2">
        <w:rPr>
          <w:rFonts w:eastAsia="Calibri"/>
          <w:bCs/>
          <w:sz w:val="28"/>
          <w:szCs w:val="28"/>
        </w:rPr>
        <w:t>Сохраняется положительная динамика создания добровольческих объединений. На сегодняшний день на территории города Ханты-Мансийска осуществляют деятельность 28 волонтерских объединений (в 2017 году - 24 объединения).</w:t>
      </w:r>
    </w:p>
    <w:p w:rsidR="00B576F2" w:rsidRPr="00B576F2" w:rsidRDefault="00B576F2" w:rsidP="00B576F2">
      <w:pPr>
        <w:spacing w:after="0"/>
        <w:ind w:right="424" w:firstLine="708"/>
        <w:jc w:val="both"/>
        <w:rPr>
          <w:rFonts w:eastAsia="Calibri"/>
          <w:bCs/>
          <w:sz w:val="28"/>
          <w:szCs w:val="28"/>
        </w:rPr>
      </w:pPr>
      <w:r w:rsidRPr="00B576F2">
        <w:rPr>
          <w:rFonts w:eastAsia="Calibri"/>
          <w:bCs/>
          <w:sz w:val="28"/>
          <w:szCs w:val="28"/>
        </w:rPr>
        <w:t>Волонтеры нашего города оказывают содействие в проведении событийных мероприятий, помогают ветеранам и пожилым людям, зан</w:t>
      </w:r>
      <w:r w:rsidRPr="00B576F2">
        <w:rPr>
          <w:rFonts w:eastAsia="Calibri"/>
          <w:bCs/>
          <w:sz w:val="28"/>
          <w:szCs w:val="28"/>
        </w:rPr>
        <w:t>и</w:t>
      </w:r>
      <w:r w:rsidRPr="00B576F2">
        <w:rPr>
          <w:rFonts w:eastAsia="Calibri"/>
          <w:bCs/>
          <w:sz w:val="28"/>
          <w:szCs w:val="28"/>
        </w:rPr>
        <w:t>маются благоустройством памятных мест, пропагандируют здоровый образ жизни, организуют досуг детей из неблагополучных семей, способс</w:t>
      </w:r>
      <w:r w:rsidRPr="00B576F2">
        <w:rPr>
          <w:rFonts w:eastAsia="Calibri"/>
          <w:bCs/>
          <w:sz w:val="28"/>
          <w:szCs w:val="28"/>
        </w:rPr>
        <w:t>т</w:t>
      </w:r>
      <w:r w:rsidRPr="00B576F2">
        <w:rPr>
          <w:rFonts w:eastAsia="Calibri"/>
          <w:bCs/>
          <w:sz w:val="28"/>
          <w:szCs w:val="28"/>
        </w:rPr>
        <w:t>вует адаптации людей с ограниченными возможностями, проводят ра</w:t>
      </w:r>
      <w:r w:rsidRPr="00B576F2">
        <w:rPr>
          <w:rFonts w:eastAsia="Calibri"/>
          <w:bCs/>
          <w:sz w:val="28"/>
          <w:szCs w:val="28"/>
        </w:rPr>
        <w:t>з</w:t>
      </w:r>
      <w:r w:rsidRPr="00B576F2">
        <w:rPr>
          <w:rFonts w:eastAsia="Calibri"/>
          <w:bCs/>
          <w:sz w:val="28"/>
          <w:szCs w:val="28"/>
        </w:rPr>
        <w:t>личные профилактические мероприятия, не оставляют в беде животных. Количество молодых людей, участвующих в добровольческой (волонте</w:t>
      </w:r>
      <w:r w:rsidRPr="00B576F2">
        <w:rPr>
          <w:rFonts w:eastAsia="Calibri"/>
          <w:bCs/>
          <w:sz w:val="28"/>
          <w:szCs w:val="28"/>
        </w:rPr>
        <w:t>р</w:t>
      </w:r>
      <w:r w:rsidRPr="00B576F2">
        <w:rPr>
          <w:rFonts w:eastAsia="Calibri"/>
          <w:bCs/>
          <w:sz w:val="28"/>
          <w:szCs w:val="28"/>
        </w:rPr>
        <w:t>ской) деятельности в 2018 году составило более 1 500 человек.</w:t>
      </w:r>
    </w:p>
    <w:p w:rsidR="00B576F2" w:rsidRPr="00B576F2" w:rsidRDefault="00B576F2" w:rsidP="00B576F2">
      <w:pPr>
        <w:spacing w:after="0"/>
        <w:ind w:right="424" w:firstLine="708"/>
        <w:jc w:val="both"/>
        <w:rPr>
          <w:rFonts w:eastAsia="Calibri"/>
          <w:bCs/>
          <w:sz w:val="28"/>
          <w:szCs w:val="28"/>
        </w:rPr>
      </w:pPr>
      <w:r w:rsidRPr="00B576F2">
        <w:rPr>
          <w:rFonts w:eastAsia="Calibri"/>
          <w:bCs/>
          <w:sz w:val="28"/>
          <w:szCs w:val="28"/>
        </w:rPr>
        <w:lastRenderedPageBreak/>
        <w:t>В течение года Управлением физической культуры, спорта и мол</w:t>
      </w:r>
      <w:r w:rsidRPr="00B576F2">
        <w:rPr>
          <w:rFonts w:eastAsia="Calibri"/>
          <w:bCs/>
          <w:sz w:val="28"/>
          <w:szCs w:val="28"/>
        </w:rPr>
        <w:t>о</w:t>
      </w:r>
      <w:r w:rsidRPr="00B576F2">
        <w:rPr>
          <w:rFonts w:eastAsia="Calibri"/>
          <w:bCs/>
          <w:sz w:val="28"/>
          <w:szCs w:val="28"/>
        </w:rPr>
        <w:t>дежной политики Администрации города Ханты-Мансийска совместно с муниципальным бюджетным учреждением «Молодежный центр» пров</w:t>
      </w:r>
      <w:r w:rsidRPr="00B576F2">
        <w:rPr>
          <w:rFonts w:eastAsia="Calibri"/>
          <w:bCs/>
          <w:sz w:val="28"/>
          <w:szCs w:val="28"/>
        </w:rPr>
        <w:t>е</w:t>
      </w:r>
      <w:r w:rsidRPr="00B576F2">
        <w:rPr>
          <w:rFonts w:eastAsia="Calibri"/>
          <w:bCs/>
          <w:sz w:val="28"/>
          <w:szCs w:val="28"/>
        </w:rPr>
        <w:t>дено более 60 городских мероприятий для подростков и молодежи. В том числе традиционные: чемпионат по пантомимическим играм среди мол</w:t>
      </w:r>
      <w:r w:rsidRPr="00B576F2">
        <w:rPr>
          <w:rFonts w:eastAsia="Calibri"/>
          <w:bCs/>
          <w:sz w:val="28"/>
          <w:szCs w:val="28"/>
        </w:rPr>
        <w:t>о</w:t>
      </w:r>
      <w:r w:rsidRPr="00B576F2">
        <w:rPr>
          <w:rFonts w:eastAsia="Calibri"/>
          <w:bCs/>
          <w:sz w:val="28"/>
          <w:szCs w:val="28"/>
        </w:rPr>
        <w:t xml:space="preserve">дежи, турниры по игре «Что? Где? Когда?», городской конкурс «Студент года», открытый турнир по </w:t>
      </w:r>
      <w:proofErr w:type="spellStart"/>
      <w:r w:rsidRPr="00B576F2">
        <w:rPr>
          <w:rFonts w:eastAsia="Calibri"/>
          <w:bCs/>
          <w:sz w:val="28"/>
          <w:szCs w:val="28"/>
        </w:rPr>
        <w:t>Street</w:t>
      </w:r>
      <w:proofErr w:type="spellEnd"/>
      <w:r w:rsidRPr="00B576F2">
        <w:rPr>
          <w:rFonts w:eastAsia="Calibri"/>
          <w:bCs/>
          <w:sz w:val="28"/>
          <w:szCs w:val="28"/>
        </w:rPr>
        <w:t xml:space="preserve"> </w:t>
      </w:r>
      <w:proofErr w:type="spellStart"/>
      <w:r w:rsidRPr="00B576F2">
        <w:rPr>
          <w:rFonts w:eastAsia="Calibri"/>
          <w:bCs/>
          <w:sz w:val="28"/>
          <w:szCs w:val="28"/>
        </w:rPr>
        <w:t>Workout</w:t>
      </w:r>
      <w:proofErr w:type="spellEnd"/>
      <w:r w:rsidRPr="00B576F2">
        <w:rPr>
          <w:rFonts w:eastAsia="Calibri"/>
          <w:bCs/>
          <w:sz w:val="28"/>
          <w:szCs w:val="28"/>
        </w:rPr>
        <w:t>, форум активных граждан «Молодой политик», церемония чествования молодежи города Ханты-Мансийска и партнеров муниципальной молодежной политики и другие.</w:t>
      </w:r>
    </w:p>
    <w:p w:rsidR="00B576F2" w:rsidRPr="00B576F2" w:rsidRDefault="00B576F2" w:rsidP="00B576F2">
      <w:pPr>
        <w:spacing w:after="0"/>
        <w:ind w:right="424" w:firstLine="708"/>
        <w:jc w:val="both"/>
        <w:rPr>
          <w:rFonts w:eastAsia="Calibri"/>
          <w:bCs/>
          <w:sz w:val="28"/>
          <w:szCs w:val="28"/>
        </w:rPr>
      </w:pPr>
      <w:r w:rsidRPr="00B576F2">
        <w:rPr>
          <w:rFonts w:eastAsia="Calibri"/>
          <w:bCs/>
          <w:sz w:val="28"/>
          <w:szCs w:val="28"/>
        </w:rPr>
        <w:t>Количество молодых горожан, вовлеченных в реализацию проектов и программ в сфере молодежной политики, ежегодно увеличивается. Так, в 2018 году охват молодежи составил более 14 800 человек (2017 год – 14 775 человек).</w:t>
      </w:r>
    </w:p>
    <w:p w:rsidR="00B576F2" w:rsidRPr="00B576F2" w:rsidRDefault="00B576F2" w:rsidP="00B576F2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B576F2">
        <w:rPr>
          <w:sz w:val="28"/>
          <w:szCs w:val="28"/>
        </w:rPr>
        <w:t>2. Основное мероприятие «Обеспечение деятельности муниципал</w:t>
      </w:r>
      <w:r w:rsidRPr="00B576F2">
        <w:rPr>
          <w:sz w:val="28"/>
          <w:szCs w:val="28"/>
        </w:rPr>
        <w:t>ь</w:t>
      </w:r>
      <w:r w:rsidRPr="00B576F2">
        <w:rPr>
          <w:sz w:val="28"/>
          <w:szCs w:val="28"/>
        </w:rPr>
        <w:t>ного бюджетного учреждения «Молодежный центр» выделены средства в размере 9 216,9 тыс. рублей, в том числе:</w:t>
      </w:r>
    </w:p>
    <w:p w:rsidR="00B576F2" w:rsidRPr="00B576F2" w:rsidRDefault="00B576F2" w:rsidP="00B576F2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B576F2">
        <w:rPr>
          <w:sz w:val="28"/>
          <w:szCs w:val="28"/>
        </w:rPr>
        <w:t>средства бюджета города 9 216,9 тыс. рублей.</w:t>
      </w:r>
    </w:p>
    <w:p w:rsidR="00B576F2" w:rsidRPr="00B576F2" w:rsidRDefault="00B576F2" w:rsidP="00B576F2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B576F2">
        <w:rPr>
          <w:sz w:val="28"/>
          <w:szCs w:val="28"/>
        </w:rPr>
        <w:t xml:space="preserve">Кассовое исполнение составило 9 216,9 тыс. рублей, в том числе:  </w:t>
      </w:r>
    </w:p>
    <w:p w:rsidR="00B576F2" w:rsidRPr="00B576F2" w:rsidRDefault="00B576F2" w:rsidP="00B576F2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B576F2">
        <w:rPr>
          <w:sz w:val="28"/>
          <w:szCs w:val="28"/>
        </w:rPr>
        <w:t>средства бюджета города 9 216,9 тыс. рублей.</w:t>
      </w:r>
    </w:p>
    <w:p w:rsidR="00B576F2" w:rsidRPr="00B576F2" w:rsidRDefault="00B576F2" w:rsidP="00B576F2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B576F2">
        <w:rPr>
          <w:sz w:val="28"/>
          <w:szCs w:val="28"/>
        </w:rPr>
        <w:t>Плановые показатели исполнены на 100%.</w:t>
      </w:r>
    </w:p>
    <w:p w:rsidR="00B576F2" w:rsidRPr="00B576F2" w:rsidRDefault="00B576F2" w:rsidP="00B576F2">
      <w:pPr>
        <w:spacing w:after="0"/>
        <w:ind w:right="424" w:firstLine="708"/>
        <w:jc w:val="both"/>
        <w:rPr>
          <w:sz w:val="28"/>
          <w:szCs w:val="28"/>
        </w:rPr>
      </w:pPr>
      <w:r w:rsidRPr="00B576F2">
        <w:rPr>
          <w:sz w:val="28"/>
          <w:szCs w:val="28"/>
        </w:rPr>
        <w:t xml:space="preserve">В рамках данного мероприятия обеспечивается функционирование  муниципального </w:t>
      </w:r>
      <w:r w:rsidRPr="00B576F2">
        <w:rPr>
          <w:bCs/>
          <w:sz w:val="28"/>
          <w:szCs w:val="28"/>
        </w:rPr>
        <w:t xml:space="preserve">бюджетного учреждения «Молодежный центр». </w:t>
      </w:r>
      <w:r w:rsidRPr="00B576F2">
        <w:rPr>
          <w:rFonts w:eastAsia="Calibri"/>
          <w:sz w:val="28"/>
          <w:szCs w:val="28"/>
        </w:rPr>
        <w:t>Осно</w:t>
      </w:r>
      <w:r w:rsidRPr="00B576F2">
        <w:rPr>
          <w:rFonts w:eastAsia="Calibri"/>
          <w:sz w:val="28"/>
          <w:szCs w:val="28"/>
        </w:rPr>
        <w:t>в</w:t>
      </w:r>
      <w:r w:rsidRPr="00B576F2">
        <w:rPr>
          <w:rFonts w:eastAsia="Calibri"/>
          <w:sz w:val="28"/>
          <w:szCs w:val="28"/>
        </w:rPr>
        <w:t>ную сумму расходов составили: выплата заработной платы сотрудникам</w:t>
      </w:r>
      <w:r w:rsidRPr="00B576F2">
        <w:rPr>
          <w:sz w:val="28"/>
          <w:szCs w:val="28"/>
        </w:rPr>
        <w:t xml:space="preserve"> учреждения, мероприятия по повышению квалификации руководителей и специалистов, уплата налогов, сборов и иных платежей в бюджетную систему, осуществление закупок товаров, работ и услуг, направленных на обеспечение надлежащих организационно-технических и безопасных у</w:t>
      </w:r>
      <w:r w:rsidRPr="00B576F2">
        <w:rPr>
          <w:sz w:val="28"/>
          <w:szCs w:val="28"/>
        </w:rPr>
        <w:t>с</w:t>
      </w:r>
      <w:r w:rsidRPr="00B576F2">
        <w:rPr>
          <w:sz w:val="28"/>
          <w:szCs w:val="28"/>
        </w:rPr>
        <w:t>ловий труда для исполнения служебных обязанностей в соответствии с установленными требованиями, на содержание имущества, находящегося в муниципальной собственности.</w:t>
      </w:r>
    </w:p>
    <w:p w:rsidR="006A6BE2" w:rsidRDefault="006A6BE2"/>
    <w:sectPr w:rsidR="006A6BE2" w:rsidSect="006A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76F2"/>
    <w:rsid w:val="006A6BE2"/>
    <w:rsid w:val="00B5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F2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76F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6F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B576F2"/>
    <w:pPr>
      <w:spacing w:after="120" w:line="240" w:lineRule="auto"/>
      <w:ind w:left="283"/>
      <w:jc w:val="center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B576F2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B576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rmal (Web)"/>
    <w:aliases w:val="Обычный (веб) Знак"/>
    <w:basedOn w:val="a"/>
    <w:uiPriority w:val="99"/>
    <w:qFormat/>
    <w:rsid w:val="00B576F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B576F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B576F2"/>
    <w:pPr>
      <w:shd w:val="clear" w:color="auto" w:fill="FFFFFF"/>
      <w:spacing w:after="0" w:line="278" w:lineRule="exact"/>
      <w:jc w:val="left"/>
    </w:pPr>
    <w:rPr>
      <w:rFonts w:eastAsiaTheme="minorHAnsi"/>
      <w:sz w:val="23"/>
      <w:szCs w:val="23"/>
      <w:lang w:eastAsia="en-US"/>
    </w:rPr>
  </w:style>
  <w:style w:type="paragraph" w:styleId="a6">
    <w:name w:val="List Paragraph"/>
    <w:aliases w:val="SL_Абзац списка"/>
    <w:basedOn w:val="a"/>
    <w:link w:val="a7"/>
    <w:uiPriority w:val="34"/>
    <w:qFormat/>
    <w:rsid w:val="00B576F2"/>
    <w:pPr>
      <w:ind w:left="720"/>
      <w:contextualSpacing/>
    </w:pPr>
  </w:style>
  <w:style w:type="character" w:customStyle="1" w:styleId="a7">
    <w:name w:val="Абзац списка Знак"/>
    <w:aliases w:val="SL_Абзац списка Знак"/>
    <w:link w:val="a6"/>
    <w:uiPriority w:val="34"/>
    <w:locked/>
    <w:rsid w:val="00B576F2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6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1.10\&#1086;&#1073;&#1084;&#1077;&#1085;\&#1055;&#1072;&#1074;&#1083;&#1086;&#1074;&#1089;&#1082;&#1072;&#1103;%20&#1058;.&#1040;\&#1048;&#1089;&#1087;&#1086;&#1083;&#1085;&#1077;&#1085;&#1080;&#1077;%20&#1073;&#1102;&#1076;&#1078;&#1077;&#1090;&#1072;%20&#1079;&#1072;%202018%20&#1075;&#1086;&#1076;\&#1043;&#1054;&#1044;&#1054;&#1042;&#1054;&#1049;%20&#1086;&#1090;&#1095;&#1077;&#1090;\&#1056;&#1072;&#1073;&#1086;&#1095;&#1080;&#1077;%20&#1084;&#1072;&#1090;&#1077;&#1088;&#1080;&#1072;&#1083;&#1099;%20&#1082;%20&#1087;&#1088;&#1086;&#1077;&#1082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1.10\&#1086;&#1073;&#1084;&#1077;&#1085;\&#1055;&#1072;&#1074;&#1083;&#1086;&#1074;&#1089;&#1082;&#1072;&#1103;%20&#1058;.&#1040;\&#1048;&#1089;&#1087;&#1086;&#1083;&#1085;&#1077;&#1085;&#1080;&#1077;%20&#1073;&#1102;&#1076;&#1078;&#1077;&#1090;&#1072;%20&#1079;&#1072;%202018%20&#1075;&#1086;&#1076;\&#1043;&#1054;&#1044;&#1054;&#1042;&#1054;&#1049;%20&#1086;&#1090;&#1095;&#1077;&#1090;\&#1056;&#1072;&#1073;&#1086;&#1095;&#1080;&#1077;%20&#1084;&#1072;&#1090;&#1077;&#1088;&#1080;&#1072;&#1083;&#1099;%20&#1082;%20&#1087;&#1088;&#1086;&#1077;&#1082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4941993789642587E-2"/>
          <c:y val="0.13616573192391287"/>
          <c:w val="0.95505794372559671"/>
          <c:h val="0.69371292355353165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'Молодёжь 2018'!$B$4:$D$4</c:f>
              <c:strCache>
                <c:ptCount val="3"/>
                <c:pt idx="0">
                  <c:v>2017 год (исполнено)</c:v>
                </c:pt>
                <c:pt idx="1">
                  <c:v>2018 год (плановые назначения)</c:v>
                </c:pt>
                <c:pt idx="2">
                  <c:v>2018 (исполнено)</c:v>
                </c:pt>
              </c:strCache>
            </c:strRef>
          </c:cat>
          <c:val>
            <c:numRef>
              <c:f>'Молодёжь 2018'!$B$5:$D$5</c:f>
              <c:numCache>
                <c:formatCode>#,##0.0;[Red]\-#,##0.0;0.0</c:formatCode>
                <c:ptCount val="3"/>
                <c:pt idx="0">
                  <c:v>17046.300000000003</c:v>
                </c:pt>
                <c:pt idx="1">
                  <c:v>19782.3</c:v>
                </c:pt>
                <c:pt idx="2">
                  <c:v>19782.3</c:v>
                </c:pt>
              </c:numCache>
            </c:numRef>
          </c:val>
        </c:ser>
        <c:gapWidth val="219"/>
        <c:overlap val="-27"/>
        <c:axId val="102397056"/>
        <c:axId val="102958976"/>
      </c:barChart>
      <c:catAx>
        <c:axId val="102397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958976"/>
        <c:crosses val="autoZero"/>
        <c:auto val="1"/>
        <c:lblAlgn val="ctr"/>
        <c:lblOffset val="100"/>
      </c:catAx>
      <c:valAx>
        <c:axId val="102958976"/>
        <c:scaling>
          <c:orientation val="minMax"/>
        </c:scaling>
        <c:delete val="1"/>
        <c:axPos val="l"/>
        <c:numFmt formatCode="#,##0.0;[Red]\-#,##0.0;0.0" sourceLinked="1"/>
        <c:majorTickMark val="none"/>
        <c:tickLblPos val="none"/>
        <c:crossAx val="10239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'Молодёжь 2018'!$B$1</c:f>
              <c:strCache>
                <c:ptCount val="1"/>
                <c:pt idx="0">
                  <c:v>2017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'Молодёжь 2018'!$A$2:$A$3</c:f>
              <c:strCache>
                <c:ptCount val="2"/>
                <c:pt idx="0">
                  <c:v>Организация и проведение мероприятий в сфере молодежной политики</c:v>
                </c:pt>
                <c:pt idx="1">
                  <c:v>Обеспечение деятельности муниципального бюджетного учреждения "Молодежный центр"</c:v>
                </c:pt>
              </c:strCache>
            </c:strRef>
          </c:cat>
          <c:val>
            <c:numRef>
              <c:f>'Молодёжь 2018'!$B$2:$B$3</c:f>
              <c:numCache>
                <c:formatCode>_-* #,##0.0_р_._-;\-* #,##0.0_р_._-;_-* "-"?_р_._-;_-@_-</c:formatCode>
                <c:ptCount val="2"/>
                <c:pt idx="0">
                  <c:v>9646.7000000000007</c:v>
                </c:pt>
                <c:pt idx="1">
                  <c:v>7399.6</c:v>
                </c:pt>
              </c:numCache>
            </c:numRef>
          </c:val>
        </c:ser>
        <c:ser>
          <c:idx val="1"/>
          <c:order val="1"/>
          <c:tx>
            <c:strRef>
              <c:f>'Молодёжь 2018'!$C$1</c:f>
              <c:strCache>
                <c:ptCount val="1"/>
                <c:pt idx="0">
                  <c:v>2018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'Молодёжь 2018'!$A$2:$A$3</c:f>
              <c:strCache>
                <c:ptCount val="2"/>
                <c:pt idx="0">
                  <c:v>Организация и проведение мероприятий в сфере молодежной политики</c:v>
                </c:pt>
                <c:pt idx="1">
                  <c:v>Обеспечение деятельности муниципального бюджетного учреждения "Молодежный центр"</c:v>
                </c:pt>
              </c:strCache>
            </c:strRef>
          </c:cat>
          <c:val>
            <c:numRef>
              <c:f>'Молодёжь 2018'!$C$2:$C$3</c:f>
              <c:numCache>
                <c:formatCode>_-* #,##0.0_р_._-;\-* #,##0.0_р_._-;_-* "-"?_р_._-;_-@_-</c:formatCode>
                <c:ptCount val="2"/>
                <c:pt idx="0">
                  <c:v>10565.4</c:v>
                </c:pt>
                <c:pt idx="1">
                  <c:v>9216.9</c:v>
                </c:pt>
              </c:numCache>
            </c:numRef>
          </c:val>
        </c:ser>
        <c:ser>
          <c:idx val="2"/>
          <c:order val="2"/>
          <c:tx>
            <c:strRef>
              <c:f>'Молодёжь 2018'!$D$1</c:f>
              <c:strCache>
                <c:ptCount val="1"/>
                <c:pt idx="0">
                  <c:v>2018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'Молодёжь 2018'!$A$2:$A$3</c:f>
              <c:strCache>
                <c:ptCount val="2"/>
                <c:pt idx="0">
                  <c:v>Организация и проведение мероприятий в сфере молодежной политики</c:v>
                </c:pt>
                <c:pt idx="1">
                  <c:v>Обеспечение деятельности муниципального бюджетного учреждения "Молодежный центр"</c:v>
                </c:pt>
              </c:strCache>
            </c:strRef>
          </c:cat>
          <c:val>
            <c:numRef>
              <c:f>'Молодёжь 2018'!$D$2:$D$3</c:f>
              <c:numCache>
                <c:formatCode>_-* #,##0.0_р_._-;\-* #,##0.0_р_._-;_-* "-"?_р_._-;_-@_-</c:formatCode>
                <c:ptCount val="2"/>
                <c:pt idx="0">
                  <c:v>10565.4</c:v>
                </c:pt>
                <c:pt idx="1">
                  <c:v>9216.9</c:v>
                </c:pt>
              </c:numCache>
            </c:numRef>
          </c:val>
        </c:ser>
        <c:gapWidth val="182"/>
        <c:axId val="105020032"/>
        <c:axId val="105054592"/>
      </c:barChart>
      <c:catAx>
        <c:axId val="1050200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054592"/>
        <c:crosses val="autoZero"/>
        <c:auto val="1"/>
        <c:lblAlgn val="ctr"/>
        <c:lblOffset val="100"/>
      </c:catAx>
      <c:valAx>
        <c:axId val="105054592"/>
        <c:scaling>
          <c:orientation val="minMax"/>
        </c:scaling>
        <c:delete val="1"/>
        <c:axPos val="b"/>
        <c:numFmt formatCode="_-* #,##0.0_р_._-;\-* #,##0.0_р_._-;_-* &quot;-&quot;?_р_._-;_-@_-" sourceLinked="1"/>
        <c:majorTickMark val="none"/>
        <c:tickLblPos val="none"/>
        <c:crossAx val="105020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1903</Words>
  <Characters>10852</Characters>
  <Application>Microsoft Office Word</Application>
  <DocSecurity>0</DocSecurity>
  <Lines>90</Lines>
  <Paragraphs>25</Paragraphs>
  <ScaleCrop>false</ScaleCrop>
  <Company/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StenerIV</dc:creator>
  <cp:keywords/>
  <dc:description/>
  <cp:lastModifiedBy>StenerIV</cp:lastModifiedBy>
  <cp:revision>2</cp:revision>
  <dcterms:created xsi:type="dcterms:W3CDTF">2019-03-21T07:34:00Z</dcterms:created>
  <dcterms:modified xsi:type="dcterms:W3CDTF">2019-03-21T07:35:00Z</dcterms:modified>
</cp:coreProperties>
</file>