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61" w:rsidRPr="00661A8D" w:rsidRDefault="00B27661" w:rsidP="00661A8D">
      <w:pPr>
        <w:pStyle w:val="2"/>
        <w:jc w:val="center"/>
        <w:rPr>
          <w:sz w:val="32"/>
          <w:szCs w:val="32"/>
        </w:rPr>
      </w:pPr>
      <w:bookmarkStart w:id="0" w:name="_Toc508869932"/>
      <w:bookmarkStart w:id="1" w:name="_Toc509924536"/>
      <w:bookmarkStart w:id="2" w:name="_Toc3795523"/>
      <w:bookmarkStart w:id="3" w:name="_Toc4056085"/>
      <w:r w:rsidRPr="00661A8D">
        <w:rPr>
          <w:sz w:val="32"/>
          <w:szCs w:val="32"/>
        </w:rPr>
        <w:t>3.9. Муниципальная программа «Основные направления развития в области управления и распоряжения муниципальной собственностью города Ханты-Мансийска</w:t>
      </w:r>
      <w:bookmarkEnd w:id="0"/>
      <w:bookmarkEnd w:id="1"/>
      <w:r w:rsidRPr="00661A8D">
        <w:rPr>
          <w:sz w:val="32"/>
          <w:szCs w:val="32"/>
        </w:rPr>
        <w:t>»</w:t>
      </w:r>
      <w:bookmarkEnd w:id="2"/>
      <w:bookmarkEnd w:id="3"/>
    </w:p>
    <w:p w:rsidR="00B27661" w:rsidRDefault="00B27661" w:rsidP="00AB1BF4">
      <w:pPr>
        <w:spacing w:after="0"/>
        <w:ind w:right="424" w:firstLine="709"/>
        <w:jc w:val="both"/>
        <w:rPr>
          <w:sz w:val="28"/>
          <w:szCs w:val="28"/>
        </w:rPr>
      </w:pPr>
    </w:p>
    <w:p w:rsidR="00B27661" w:rsidRPr="00686C50" w:rsidRDefault="00B27661" w:rsidP="008C77B1">
      <w:pPr>
        <w:spacing w:after="0"/>
        <w:ind w:right="-1" w:firstLine="709"/>
        <w:jc w:val="both"/>
        <w:rPr>
          <w:sz w:val="28"/>
          <w:szCs w:val="28"/>
        </w:rPr>
      </w:pPr>
      <w:r w:rsidRPr="00686C50">
        <w:rPr>
          <w:sz w:val="28"/>
          <w:szCs w:val="28"/>
        </w:rPr>
        <w:t>Муниципальная программа утверждена постановлением Администр</w:t>
      </w:r>
      <w:r w:rsidRPr="00686C50">
        <w:rPr>
          <w:sz w:val="28"/>
          <w:szCs w:val="28"/>
        </w:rPr>
        <w:t>а</w:t>
      </w:r>
      <w:r w:rsidRPr="00686C50">
        <w:rPr>
          <w:sz w:val="28"/>
          <w:szCs w:val="28"/>
        </w:rPr>
        <w:t>ции города Ханты-Мансийска от 08.11.2013 № 1450 «Об утверждении мун</w:t>
      </w:r>
      <w:r w:rsidRPr="00686C50">
        <w:rPr>
          <w:sz w:val="28"/>
          <w:szCs w:val="28"/>
        </w:rPr>
        <w:t>и</w:t>
      </w:r>
      <w:r w:rsidRPr="00686C50">
        <w:rPr>
          <w:sz w:val="28"/>
          <w:szCs w:val="28"/>
        </w:rPr>
        <w:t>ципальной программы «Основные направления развития в области управл</w:t>
      </w:r>
      <w:r w:rsidRPr="00686C50">
        <w:rPr>
          <w:sz w:val="28"/>
          <w:szCs w:val="28"/>
        </w:rPr>
        <w:t>е</w:t>
      </w:r>
      <w:r w:rsidRPr="00686C50">
        <w:rPr>
          <w:sz w:val="28"/>
          <w:szCs w:val="28"/>
        </w:rPr>
        <w:t xml:space="preserve">ния и распоряжения муниципальной собственностью города Ханты-Мансийска на 2016-2020 годы». </w:t>
      </w:r>
    </w:p>
    <w:p w:rsidR="00B27661" w:rsidRPr="00686C50" w:rsidRDefault="00B27661" w:rsidP="008C77B1">
      <w:pPr>
        <w:spacing w:after="0"/>
        <w:ind w:right="-1" w:firstLine="709"/>
        <w:jc w:val="both"/>
        <w:rPr>
          <w:sz w:val="28"/>
          <w:szCs w:val="28"/>
        </w:rPr>
      </w:pPr>
      <w:r w:rsidRPr="00686C50">
        <w:rPr>
          <w:sz w:val="28"/>
          <w:szCs w:val="28"/>
        </w:rPr>
        <w:t>Разработчиком и координатором муниципальной программы является</w:t>
      </w:r>
      <w:r w:rsidRPr="00686C50">
        <w:rPr>
          <w:rFonts w:eastAsia="Times New Roman"/>
          <w:sz w:val="28"/>
          <w:szCs w:val="28"/>
        </w:rPr>
        <w:t xml:space="preserve"> Департамент муниципальной собственности Администрации города Ханты-Мансийска. </w:t>
      </w:r>
    </w:p>
    <w:p w:rsidR="00B27661" w:rsidRPr="00686C50" w:rsidRDefault="00B27661" w:rsidP="008C77B1">
      <w:pPr>
        <w:widowControl w:val="0"/>
        <w:autoSpaceDE w:val="0"/>
        <w:autoSpaceDN w:val="0"/>
        <w:spacing w:after="0"/>
        <w:ind w:right="-1" w:firstLine="709"/>
        <w:jc w:val="both"/>
        <w:rPr>
          <w:rFonts w:eastAsia="Times New Roman"/>
          <w:sz w:val="28"/>
          <w:szCs w:val="28"/>
        </w:rPr>
      </w:pPr>
      <w:r w:rsidRPr="00686C50">
        <w:rPr>
          <w:rFonts w:eastAsia="Times New Roman"/>
          <w:sz w:val="28"/>
          <w:szCs w:val="28"/>
        </w:rPr>
        <w:t>Целью муниципальной программы является формирование эффекти</w:t>
      </w:r>
      <w:r w:rsidRPr="00686C50">
        <w:rPr>
          <w:rFonts w:eastAsia="Times New Roman"/>
          <w:sz w:val="28"/>
          <w:szCs w:val="28"/>
        </w:rPr>
        <w:t>в</w:t>
      </w:r>
      <w:r w:rsidRPr="00686C50">
        <w:rPr>
          <w:rFonts w:eastAsia="Times New Roman"/>
          <w:sz w:val="28"/>
          <w:szCs w:val="28"/>
        </w:rPr>
        <w:t>ного управления муниципальным имуществом города Ханты-Мансийска, п</w:t>
      </w:r>
      <w:r w:rsidRPr="00686C50">
        <w:rPr>
          <w:rFonts w:eastAsia="Times New Roman"/>
          <w:sz w:val="28"/>
          <w:szCs w:val="28"/>
        </w:rPr>
        <w:t>о</w:t>
      </w:r>
      <w:r w:rsidRPr="00686C50">
        <w:rPr>
          <w:rFonts w:eastAsia="Times New Roman"/>
          <w:sz w:val="28"/>
          <w:szCs w:val="28"/>
        </w:rPr>
        <w:t>зволяющего обеспечить оптимальный состав имущества для исполнения св</w:t>
      </w:r>
      <w:r w:rsidRPr="00686C50">
        <w:rPr>
          <w:rFonts w:eastAsia="Times New Roman"/>
          <w:sz w:val="28"/>
          <w:szCs w:val="28"/>
        </w:rPr>
        <w:t>о</w:t>
      </w:r>
      <w:r w:rsidRPr="00686C50">
        <w:rPr>
          <w:rFonts w:eastAsia="Times New Roman"/>
          <w:sz w:val="28"/>
          <w:szCs w:val="28"/>
        </w:rPr>
        <w:t>их полномочий органами местного самоуправления, учет и контроль испол</w:t>
      </w:r>
      <w:r w:rsidRPr="00686C50">
        <w:rPr>
          <w:rFonts w:eastAsia="Times New Roman"/>
          <w:sz w:val="28"/>
          <w:szCs w:val="28"/>
        </w:rPr>
        <w:t>ь</w:t>
      </w:r>
      <w:r w:rsidRPr="00686C50">
        <w:rPr>
          <w:rFonts w:eastAsia="Times New Roman"/>
          <w:sz w:val="28"/>
          <w:szCs w:val="28"/>
        </w:rPr>
        <w:t>зования муниципального имущества.</w:t>
      </w:r>
    </w:p>
    <w:p w:rsidR="00B27661" w:rsidRPr="00686C50" w:rsidRDefault="00B27661" w:rsidP="008C77B1">
      <w:pPr>
        <w:autoSpaceDE w:val="0"/>
        <w:autoSpaceDN w:val="0"/>
        <w:adjustRightInd w:val="0"/>
        <w:spacing w:after="0"/>
        <w:ind w:right="-1" w:firstLine="709"/>
        <w:jc w:val="both"/>
        <w:rPr>
          <w:sz w:val="28"/>
          <w:szCs w:val="28"/>
        </w:rPr>
      </w:pPr>
      <w:r w:rsidRPr="00686C50">
        <w:rPr>
          <w:sz w:val="28"/>
          <w:szCs w:val="28"/>
        </w:rPr>
        <w:t>Задачи муниципальной программы:</w:t>
      </w:r>
    </w:p>
    <w:p w:rsidR="00B27661" w:rsidRPr="00686C50" w:rsidRDefault="00B27661" w:rsidP="008C77B1">
      <w:pPr>
        <w:widowControl w:val="0"/>
        <w:autoSpaceDE w:val="0"/>
        <w:autoSpaceDN w:val="0"/>
        <w:spacing w:after="0"/>
        <w:ind w:right="-1" w:firstLine="709"/>
        <w:jc w:val="both"/>
        <w:rPr>
          <w:rFonts w:eastAsia="Times New Roman"/>
          <w:sz w:val="28"/>
          <w:szCs w:val="28"/>
        </w:rPr>
      </w:pPr>
      <w:r w:rsidRPr="00686C50">
        <w:rPr>
          <w:rFonts w:eastAsia="Times New Roman"/>
          <w:sz w:val="28"/>
          <w:szCs w:val="28"/>
        </w:rPr>
        <w:t>1.</w:t>
      </w:r>
      <w:r w:rsidRPr="00686C50">
        <w:rPr>
          <w:rFonts w:eastAsia="Times New Roman"/>
          <w:b/>
          <w:sz w:val="28"/>
          <w:szCs w:val="28"/>
        </w:rPr>
        <w:t xml:space="preserve"> </w:t>
      </w:r>
      <w:r w:rsidRPr="00686C50">
        <w:rPr>
          <w:rFonts w:eastAsia="Times New Roman"/>
          <w:sz w:val="28"/>
          <w:szCs w:val="28"/>
        </w:rPr>
        <w:t>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B27661" w:rsidRPr="00686C50" w:rsidRDefault="00B27661" w:rsidP="008C77B1">
      <w:pPr>
        <w:autoSpaceDE w:val="0"/>
        <w:autoSpaceDN w:val="0"/>
        <w:adjustRightInd w:val="0"/>
        <w:spacing w:after="0"/>
        <w:ind w:right="-1" w:firstLine="709"/>
        <w:jc w:val="both"/>
        <w:rPr>
          <w:rFonts w:eastAsia="Times New Roman"/>
          <w:sz w:val="28"/>
          <w:szCs w:val="28"/>
        </w:rPr>
      </w:pPr>
      <w:r w:rsidRPr="00686C50">
        <w:rPr>
          <w:rFonts w:eastAsia="Times New Roman"/>
          <w:sz w:val="28"/>
          <w:szCs w:val="28"/>
        </w:rPr>
        <w:t>2. Обеспечение условий для выполнения полномочий и функций в о</w:t>
      </w:r>
      <w:r w:rsidRPr="00686C50">
        <w:rPr>
          <w:rFonts w:eastAsia="Times New Roman"/>
          <w:sz w:val="28"/>
          <w:szCs w:val="28"/>
        </w:rPr>
        <w:t>б</w:t>
      </w:r>
      <w:r w:rsidRPr="00686C50">
        <w:rPr>
          <w:rFonts w:eastAsia="Times New Roman"/>
          <w:sz w:val="28"/>
          <w:szCs w:val="28"/>
        </w:rPr>
        <w:t>ласти управления и распоряжения имуществом, находящимся в муниципал</w:t>
      </w:r>
      <w:r w:rsidRPr="00686C50">
        <w:rPr>
          <w:rFonts w:eastAsia="Times New Roman"/>
          <w:sz w:val="28"/>
          <w:szCs w:val="28"/>
        </w:rPr>
        <w:t>ь</w:t>
      </w:r>
      <w:r w:rsidRPr="00686C50">
        <w:rPr>
          <w:rFonts w:eastAsia="Times New Roman"/>
          <w:sz w:val="28"/>
          <w:szCs w:val="28"/>
        </w:rPr>
        <w:t>ной собственности города Ханты-Мансийска</w:t>
      </w:r>
    </w:p>
    <w:p w:rsidR="00B27661" w:rsidRPr="00686C50" w:rsidRDefault="00B27661" w:rsidP="008C77B1">
      <w:pPr>
        <w:pStyle w:val="ac"/>
        <w:spacing w:after="0" w:line="276" w:lineRule="auto"/>
        <w:ind w:left="0" w:right="-1" w:firstLine="709"/>
        <w:jc w:val="both"/>
        <w:rPr>
          <w:rFonts w:eastAsia="Times New Roman"/>
          <w:sz w:val="28"/>
          <w:szCs w:val="28"/>
        </w:rPr>
      </w:pPr>
      <w:r w:rsidRPr="00686C50">
        <w:rPr>
          <w:rFonts w:eastAsia="Times New Roman"/>
          <w:sz w:val="28"/>
          <w:szCs w:val="28"/>
        </w:rPr>
        <w:t>Достижение указанной цели и решение задач характеризуется следу</w:t>
      </w:r>
      <w:r w:rsidRPr="00686C50">
        <w:rPr>
          <w:rFonts w:eastAsia="Times New Roman"/>
          <w:sz w:val="28"/>
          <w:szCs w:val="28"/>
        </w:rPr>
        <w:t>ю</w:t>
      </w:r>
      <w:r w:rsidRPr="00686C50">
        <w:rPr>
          <w:rFonts w:eastAsia="Times New Roman"/>
          <w:sz w:val="28"/>
          <w:szCs w:val="28"/>
        </w:rPr>
        <w:t>щими целевыми показателями:</w:t>
      </w: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Default="00B27661" w:rsidP="008C77B1">
      <w:pPr>
        <w:ind w:right="-1"/>
        <w:rPr>
          <w:rFonts w:eastAsia="Arial Unicode MS"/>
          <w:sz w:val="24"/>
          <w:szCs w:val="24"/>
        </w:rPr>
      </w:pPr>
    </w:p>
    <w:p w:rsidR="00B27661" w:rsidRPr="00686C50" w:rsidRDefault="00B27661" w:rsidP="008C77B1">
      <w:pPr>
        <w:ind w:right="-1"/>
        <w:rPr>
          <w:rFonts w:eastAsia="Arial Unicode MS"/>
          <w:sz w:val="24"/>
          <w:szCs w:val="24"/>
        </w:rPr>
      </w:pPr>
      <w:r w:rsidRPr="00686C50">
        <w:rPr>
          <w:rFonts w:eastAsia="Arial Unicode MS"/>
          <w:sz w:val="24"/>
          <w:szCs w:val="24"/>
        </w:rPr>
        <w:lastRenderedPageBreak/>
        <w:t>Таблица 3.9.1.</w:t>
      </w:r>
    </w:p>
    <w:p w:rsidR="00B27661" w:rsidRPr="00686C50" w:rsidRDefault="00B27661" w:rsidP="008C77B1">
      <w:pPr>
        <w:tabs>
          <w:tab w:val="left" w:pos="459"/>
        </w:tabs>
        <w:suppressAutoHyphens/>
        <w:spacing w:after="0" w:line="240" w:lineRule="auto"/>
        <w:ind w:right="-1"/>
        <w:jc w:val="center"/>
        <w:rPr>
          <w:rFonts w:eastAsia="Arial Unicode MS"/>
          <w:sz w:val="28"/>
          <w:szCs w:val="28"/>
        </w:rPr>
      </w:pPr>
      <w:r w:rsidRPr="00686C50">
        <w:rPr>
          <w:rFonts w:eastAsia="Arial Unicode MS"/>
          <w:sz w:val="28"/>
          <w:szCs w:val="28"/>
        </w:rPr>
        <w:t>Целевые показатели муниципальной программы «Основные направления развития в области управления и распоряжения муниципальной собственностью города Ханты-Мансийска на 2016-2020 годы»</w:t>
      </w:r>
    </w:p>
    <w:p w:rsidR="00B27661" w:rsidRPr="00686C50" w:rsidRDefault="00B27661" w:rsidP="008C77B1">
      <w:pPr>
        <w:spacing w:after="0"/>
        <w:ind w:left="284" w:right="-1"/>
        <w:jc w:val="both"/>
        <w:rPr>
          <w:rFonts w:eastAsia="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545"/>
        <w:gridCol w:w="567"/>
        <w:gridCol w:w="1559"/>
        <w:gridCol w:w="851"/>
        <w:gridCol w:w="850"/>
        <w:gridCol w:w="851"/>
        <w:gridCol w:w="850"/>
      </w:tblGrid>
      <w:tr w:rsidR="00BD58F5" w:rsidRPr="00686C50" w:rsidTr="008C77B1">
        <w:trPr>
          <w:trHeight w:val="1902"/>
          <w:tblHeader/>
        </w:trPr>
        <w:tc>
          <w:tcPr>
            <w:tcW w:w="425" w:type="dxa"/>
            <w:vMerge w:val="restart"/>
            <w:vAlign w:val="center"/>
          </w:tcPr>
          <w:p w:rsidR="00BD58F5" w:rsidRPr="00781D47" w:rsidRDefault="00BD58F5" w:rsidP="008C77B1">
            <w:pPr>
              <w:spacing w:line="240" w:lineRule="auto"/>
              <w:ind w:right="-1"/>
              <w:jc w:val="center"/>
              <w:rPr>
                <w:rFonts w:eastAsia="Times New Roman"/>
                <w:sz w:val="20"/>
                <w:szCs w:val="20"/>
              </w:rPr>
            </w:pPr>
            <w:r>
              <w:rPr>
                <w:rFonts w:eastAsia="Times New Roman"/>
                <w:sz w:val="20"/>
                <w:szCs w:val="20"/>
              </w:rPr>
              <w:t xml:space="preserve">№ </w:t>
            </w:r>
          </w:p>
        </w:tc>
        <w:tc>
          <w:tcPr>
            <w:tcW w:w="3545" w:type="dxa"/>
            <w:vMerge w:val="restart"/>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Наименование показателей результ</w:t>
            </w:r>
            <w:r w:rsidRPr="00781D47">
              <w:rPr>
                <w:rFonts w:eastAsia="Times New Roman"/>
                <w:sz w:val="20"/>
                <w:szCs w:val="20"/>
              </w:rPr>
              <w:t>а</w:t>
            </w:r>
            <w:r w:rsidRPr="00781D47">
              <w:rPr>
                <w:rFonts w:eastAsia="Times New Roman"/>
                <w:sz w:val="20"/>
                <w:szCs w:val="20"/>
              </w:rPr>
              <w:t>тов</w:t>
            </w:r>
          </w:p>
        </w:tc>
        <w:tc>
          <w:tcPr>
            <w:tcW w:w="567" w:type="dxa"/>
            <w:vMerge w:val="restart"/>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 xml:space="preserve">Ед. </w:t>
            </w:r>
            <w:proofErr w:type="spellStart"/>
            <w:r>
              <w:rPr>
                <w:rFonts w:eastAsia="Times New Roman"/>
                <w:sz w:val="20"/>
                <w:szCs w:val="20"/>
              </w:rPr>
              <w:t>изм</w:t>
            </w:r>
            <w:proofErr w:type="spellEnd"/>
          </w:p>
        </w:tc>
        <w:tc>
          <w:tcPr>
            <w:tcW w:w="1559" w:type="dxa"/>
            <w:vMerge w:val="restart"/>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Базовый пок</w:t>
            </w:r>
            <w:r w:rsidRPr="00781D47">
              <w:rPr>
                <w:rFonts w:eastAsia="Times New Roman"/>
                <w:sz w:val="20"/>
                <w:szCs w:val="20"/>
              </w:rPr>
              <w:t>а</w:t>
            </w:r>
            <w:r w:rsidRPr="00781D47">
              <w:rPr>
                <w:rFonts w:eastAsia="Times New Roman"/>
                <w:sz w:val="20"/>
                <w:szCs w:val="20"/>
              </w:rPr>
              <w:t>затель на нач</w:t>
            </w:r>
            <w:r w:rsidRPr="00781D47">
              <w:rPr>
                <w:rFonts w:eastAsia="Times New Roman"/>
                <w:sz w:val="20"/>
                <w:szCs w:val="20"/>
              </w:rPr>
              <w:t>а</w:t>
            </w:r>
            <w:r w:rsidRPr="00781D47">
              <w:rPr>
                <w:rFonts w:eastAsia="Times New Roman"/>
                <w:sz w:val="20"/>
                <w:szCs w:val="20"/>
              </w:rPr>
              <w:t>ло реализации программы</w:t>
            </w:r>
          </w:p>
        </w:tc>
        <w:tc>
          <w:tcPr>
            <w:tcW w:w="1701" w:type="dxa"/>
            <w:gridSpan w:val="2"/>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Значение пок</w:t>
            </w:r>
            <w:r w:rsidRPr="00781D47">
              <w:rPr>
                <w:rFonts w:eastAsia="Times New Roman"/>
                <w:sz w:val="20"/>
                <w:szCs w:val="20"/>
              </w:rPr>
              <w:t>а</w:t>
            </w:r>
            <w:r w:rsidRPr="00781D47">
              <w:rPr>
                <w:rFonts w:eastAsia="Times New Roman"/>
                <w:sz w:val="20"/>
                <w:szCs w:val="20"/>
              </w:rPr>
              <w:t xml:space="preserve">зателей за 2017 год </w:t>
            </w:r>
          </w:p>
        </w:tc>
        <w:tc>
          <w:tcPr>
            <w:tcW w:w="1701" w:type="dxa"/>
            <w:gridSpan w:val="2"/>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Значение пок</w:t>
            </w:r>
            <w:r w:rsidRPr="00781D47">
              <w:rPr>
                <w:rFonts w:eastAsia="Times New Roman"/>
                <w:sz w:val="20"/>
                <w:szCs w:val="20"/>
              </w:rPr>
              <w:t>а</w:t>
            </w:r>
            <w:r w:rsidRPr="00781D47">
              <w:rPr>
                <w:rFonts w:eastAsia="Times New Roman"/>
                <w:sz w:val="20"/>
                <w:szCs w:val="20"/>
              </w:rPr>
              <w:t>зателей за 2018 год</w:t>
            </w:r>
          </w:p>
        </w:tc>
      </w:tr>
      <w:tr w:rsidR="00BD58F5" w:rsidRPr="00686C50" w:rsidTr="008C77B1">
        <w:trPr>
          <w:trHeight w:val="293"/>
          <w:tblHeader/>
        </w:trPr>
        <w:tc>
          <w:tcPr>
            <w:tcW w:w="425" w:type="dxa"/>
            <w:vMerge/>
            <w:vAlign w:val="center"/>
          </w:tcPr>
          <w:p w:rsidR="00BD58F5" w:rsidRPr="00781D47" w:rsidRDefault="00BD58F5" w:rsidP="008C77B1">
            <w:pPr>
              <w:spacing w:line="240" w:lineRule="auto"/>
              <w:ind w:right="-1"/>
              <w:jc w:val="center"/>
              <w:rPr>
                <w:rFonts w:eastAsia="Times New Roman"/>
                <w:sz w:val="20"/>
                <w:szCs w:val="20"/>
              </w:rPr>
            </w:pPr>
          </w:p>
        </w:tc>
        <w:tc>
          <w:tcPr>
            <w:tcW w:w="3545" w:type="dxa"/>
            <w:vMerge/>
            <w:vAlign w:val="center"/>
          </w:tcPr>
          <w:p w:rsidR="00BD58F5" w:rsidRPr="00781D47" w:rsidRDefault="00BD58F5" w:rsidP="008C77B1">
            <w:pPr>
              <w:spacing w:line="240" w:lineRule="auto"/>
              <w:ind w:right="-1"/>
              <w:jc w:val="center"/>
              <w:rPr>
                <w:rFonts w:eastAsia="Times New Roman"/>
                <w:sz w:val="20"/>
                <w:szCs w:val="20"/>
              </w:rPr>
            </w:pPr>
          </w:p>
        </w:tc>
        <w:tc>
          <w:tcPr>
            <w:tcW w:w="567" w:type="dxa"/>
            <w:vMerge/>
            <w:vAlign w:val="center"/>
          </w:tcPr>
          <w:p w:rsidR="00BD58F5" w:rsidRPr="00781D47" w:rsidRDefault="00BD58F5" w:rsidP="008C77B1">
            <w:pPr>
              <w:spacing w:line="240" w:lineRule="auto"/>
              <w:ind w:right="-1"/>
              <w:jc w:val="center"/>
              <w:rPr>
                <w:rFonts w:eastAsia="Times New Roman"/>
                <w:sz w:val="20"/>
                <w:szCs w:val="20"/>
              </w:rPr>
            </w:pPr>
          </w:p>
        </w:tc>
        <w:tc>
          <w:tcPr>
            <w:tcW w:w="1559" w:type="dxa"/>
            <w:vMerge/>
            <w:vAlign w:val="center"/>
          </w:tcPr>
          <w:p w:rsidR="00BD58F5" w:rsidRPr="00781D47" w:rsidRDefault="00BD58F5" w:rsidP="008C77B1">
            <w:pPr>
              <w:spacing w:line="240" w:lineRule="auto"/>
              <w:ind w:right="-1"/>
              <w:jc w:val="center"/>
              <w:rPr>
                <w:rFonts w:eastAsia="Times New Roman"/>
                <w:sz w:val="20"/>
                <w:szCs w:val="20"/>
              </w:rPr>
            </w:pPr>
          </w:p>
        </w:tc>
        <w:tc>
          <w:tcPr>
            <w:tcW w:w="851" w:type="dxa"/>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план</w:t>
            </w:r>
          </w:p>
        </w:tc>
        <w:tc>
          <w:tcPr>
            <w:tcW w:w="850" w:type="dxa"/>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факт</w:t>
            </w:r>
          </w:p>
        </w:tc>
        <w:tc>
          <w:tcPr>
            <w:tcW w:w="851" w:type="dxa"/>
            <w:vAlign w:val="center"/>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план</w:t>
            </w:r>
          </w:p>
        </w:tc>
        <w:tc>
          <w:tcPr>
            <w:tcW w:w="850" w:type="dxa"/>
          </w:tcPr>
          <w:p w:rsidR="00BD58F5" w:rsidRPr="00781D47" w:rsidRDefault="00BD58F5" w:rsidP="008C77B1">
            <w:pPr>
              <w:spacing w:line="240" w:lineRule="auto"/>
              <w:ind w:right="-1"/>
              <w:jc w:val="center"/>
              <w:rPr>
                <w:rFonts w:eastAsia="Times New Roman"/>
                <w:sz w:val="20"/>
                <w:szCs w:val="20"/>
              </w:rPr>
            </w:pPr>
            <w:r w:rsidRPr="00781D47">
              <w:rPr>
                <w:rFonts w:eastAsia="Times New Roman"/>
                <w:sz w:val="20"/>
                <w:szCs w:val="20"/>
              </w:rPr>
              <w:t>факт</w:t>
            </w:r>
          </w:p>
        </w:tc>
      </w:tr>
      <w:tr w:rsidR="00BD58F5" w:rsidRPr="00686C50" w:rsidTr="008C77B1">
        <w:trPr>
          <w:trHeight w:val="479"/>
        </w:trPr>
        <w:tc>
          <w:tcPr>
            <w:tcW w:w="425" w:type="dxa"/>
          </w:tcPr>
          <w:p w:rsidR="00BD58F5" w:rsidRPr="00781D47" w:rsidRDefault="00BD58F5" w:rsidP="008C77B1">
            <w:pPr>
              <w:spacing w:after="0" w:line="240" w:lineRule="auto"/>
              <w:ind w:right="-1"/>
              <w:jc w:val="center"/>
              <w:rPr>
                <w:rFonts w:eastAsia="Times New Roman"/>
                <w:sz w:val="20"/>
                <w:szCs w:val="20"/>
              </w:rPr>
            </w:pPr>
            <w:r>
              <w:rPr>
                <w:rFonts w:eastAsia="Times New Roman"/>
                <w:sz w:val="20"/>
                <w:szCs w:val="20"/>
              </w:rPr>
              <w:t>1</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доли жилых и нежилых помещений, прошедших техническую паспортизацию, от общего количества жилых и нежилых помещений, нах</w:t>
            </w:r>
            <w:r w:rsidRPr="00781D47">
              <w:rPr>
                <w:rFonts w:eastAsia="Times New Roman"/>
                <w:sz w:val="20"/>
                <w:szCs w:val="20"/>
              </w:rPr>
              <w:t>о</w:t>
            </w:r>
            <w:r w:rsidRPr="00781D47">
              <w:rPr>
                <w:rFonts w:eastAsia="Times New Roman"/>
                <w:sz w:val="20"/>
                <w:szCs w:val="20"/>
              </w:rPr>
              <w:t>дящихся в муниципальной собстве</w:t>
            </w:r>
            <w:r w:rsidRPr="00781D47">
              <w:rPr>
                <w:rFonts w:eastAsia="Times New Roman"/>
                <w:sz w:val="20"/>
                <w:szCs w:val="20"/>
              </w:rPr>
              <w:t>н</w:t>
            </w:r>
            <w:r w:rsidRPr="00781D47">
              <w:rPr>
                <w:rFonts w:eastAsia="Times New Roman"/>
                <w:sz w:val="20"/>
                <w:szCs w:val="20"/>
              </w:rPr>
              <w:t>ности</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w:t>
            </w:r>
          </w:p>
        </w:tc>
        <w:tc>
          <w:tcPr>
            <w:tcW w:w="1559"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17,3</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22,6</w:t>
            </w:r>
          </w:p>
        </w:tc>
        <w:tc>
          <w:tcPr>
            <w:tcW w:w="850"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37,3</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39,9</w:t>
            </w:r>
          </w:p>
        </w:tc>
        <w:tc>
          <w:tcPr>
            <w:tcW w:w="850"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50,2</w:t>
            </w:r>
          </w:p>
        </w:tc>
      </w:tr>
      <w:tr w:rsidR="00BD58F5" w:rsidRPr="00686C50" w:rsidTr="008C77B1">
        <w:trPr>
          <w:trHeight w:val="627"/>
        </w:trPr>
        <w:tc>
          <w:tcPr>
            <w:tcW w:w="425" w:type="dxa"/>
          </w:tcPr>
          <w:p w:rsidR="00BD58F5" w:rsidRPr="00781D47" w:rsidRDefault="00BD58F5" w:rsidP="008C77B1">
            <w:pPr>
              <w:spacing w:after="0" w:line="240" w:lineRule="auto"/>
              <w:ind w:right="-1"/>
              <w:jc w:val="center"/>
              <w:rPr>
                <w:rFonts w:eastAsia="Times New Roman"/>
                <w:sz w:val="20"/>
                <w:szCs w:val="20"/>
              </w:rPr>
            </w:pPr>
            <w:r>
              <w:rPr>
                <w:rFonts w:eastAsia="Times New Roman"/>
                <w:sz w:val="20"/>
                <w:szCs w:val="20"/>
              </w:rPr>
              <w:t>2</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доли протяженности л</w:t>
            </w:r>
            <w:r w:rsidRPr="00781D47">
              <w:rPr>
                <w:rFonts w:eastAsia="Times New Roman"/>
                <w:sz w:val="20"/>
                <w:szCs w:val="20"/>
              </w:rPr>
              <w:t>и</w:t>
            </w:r>
            <w:r w:rsidRPr="00781D47">
              <w:rPr>
                <w:rFonts w:eastAsia="Times New Roman"/>
                <w:sz w:val="20"/>
                <w:szCs w:val="20"/>
              </w:rPr>
              <w:t>нейных объектов, прошедших техн</w:t>
            </w:r>
            <w:r w:rsidRPr="00781D47">
              <w:rPr>
                <w:rFonts w:eastAsia="Times New Roman"/>
                <w:sz w:val="20"/>
                <w:szCs w:val="20"/>
              </w:rPr>
              <w:t>и</w:t>
            </w:r>
            <w:r w:rsidRPr="00781D47">
              <w:rPr>
                <w:rFonts w:eastAsia="Times New Roman"/>
                <w:sz w:val="20"/>
                <w:szCs w:val="20"/>
              </w:rPr>
              <w:t>ческую паспортизацию, от общей пр</w:t>
            </w:r>
            <w:r w:rsidRPr="00781D47">
              <w:rPr>
                <w:rFonts w:eastAsia="Times New Roman"/>
                <w:sz w:val="20"/>
                <w:szCs w:val="20"/>
              </w:rPr>
              <w:t>о</w:t>
            </w:r>
            <w:r w:rsidRPr="00781D47">
              <w:rPr>
                <w:rFonts w:eastAsia="Times New Roman"/>
                <w:sz w:val="20"/>
                <w:szCs w:val="20"/>
              </w:rPr>
              <w:t>тяженности линейных объектов, нах</w:t>
            </w:r>
            <w:r w:rsidRPr="00781D47">
              <w:rPr>
                <w:rFonts w:eastAsia="Times New Roman"/>
                <w:sz w:val="20"/>
                <w:szCs w:val="20"/>
              </w:rPr>
              <w:t>о</w:t>
            </w:r>
            <w:r w:rsidRPr="00781D47">
              <w:rPr>
                <w:rFonts w:eastAsia="Times New Roman"/>
                <w:sz w:val="20"/>
                <w:szCs w:val="20"/>
              </w:rPr>
              <w:t>дящихся в муниципальной собстве</w:t>
            </w:r>
            <w:r w:rsidRPr="00781D47">
              <w:rPr>
                <w:rFonts w:eastAsia="Times New Roman"/>
                <w:sz w:val="20"/>
                <w:szCs w:val="20"/>
              </w:rPr>
              <w:t>н</w:t>
            </w:r>
            <w:r w:rsidRPr="00781D47">
              <w:rPr>
                <w:rFonts w:eastAsia="Times New Roman"/>
                <w:sz w:val="20"/>
                <w:szCs w:val="20"/>
              </w:rPr>
              <w:t>ности</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w:t>
            </w:r>
          </w:p>
        </w:tc>
        <w:tc>
          <w:tcPr>
            <w:tcW w:w="1559"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6,0</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18,0</w:t>
            </w:r>
          </w:p>
        </w:tc>
        <w:tc>
          <w:tcPr>
            <w:tcW w:w="850"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18,1</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20,1</w:t>
            </w:r>
          </w:p>
        </w:tc>
        <w:tc>
          <w:tcPr>
            <w:tcW w:w="850"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45,2</w:t>
            </w:r>
          </w:p>
          <w:p w:rsidR="00BD58F5" w:rsidRPr="00781D47" w:rsidRDefault="00BD58F5" w:rsidP="008C77B1">
            <w:pPr>
              <w:spacing w:after="0" w:line="240" w:lineRule="auto"/>
              <w:ind w:right="-1"/>
              <w:jc w:val="center"/>
              <w:rPr>
                <w:rFonts w:eastAsia="Times New Roman"/>
                <w:sz w:val="20"/>
                <w:szCs w:val="20"/>
              </w:rPr>
            </w:pPr>
          </w:p>
        </w:tc>
      </w:tr>
      <w:tr w:rsidR="00BD58F5" w:rsidRPr="00686C50" w:rsidTr="008C77B1">
        <w:trPr>
          <w:trHeight w:val="278"/>
        </w:trPr>
        <w:tc>
          <w:tcPr>
            <w:tcW w:w="425" w:type="dxa"/>
          </w:tcPr>
          <w:p w:rsidR="00BD58F5" w:rsidRPr="00781D47" w:rsidRDefault="00BD58F5" w:rsidP="008C77B1">
            <w:pPr>
              <w:spacing w:after="0" w:line="240" w:lineRule="auto"/>
              <w:ind w:right="-1"/>
              <w:jc w:val="center"/>
              <w:rPr>
                <w:rFonts w:eastAsia="Times New Roman"/>
                <w:sz w:val="20"/>
                <w:szCs w:val="20"/>
              </w:rPr>
            </w:pPr>
            <w:r>
              <w:rPr>
                <w:rFonts w:eastAsia="Times New Roman"/>
                <w:sz w:val="20"/>
                <w:szCs w:val="20"/>
              </w:rPr>
              <w:t>3</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доли протяженности л</w:t>
            </w:r>
            <w:r w:rsidRPr="00781D47">
              <w:rPr>
                <w:rFonts w:eastAsia="Times New Roman"/>
                <w:sz w:val="20"/>
                <w:szCs w:val="20"/>
              </w:rPr>
              <w:t>и</w:t>
            </w:r>
            <w:r w:rsidRPr="00781D47">
              <w:rPr>
                <w:rFonts w:eastAsia="Times New Roman"/>
                <w:sz w:val="20"/>
                <w:szCs w:val="20"/>
              </w:rPr>
              <w:t>нейных объектов, прошедших инве</w:t>
            </w:r>
            <w:r w:rsidRPr="00781D47">
              <w:rPr>
                <w:rFonts w:eastAsia="Times New Roman"/>
                <w:sz w:val="20"/>
                <w:szCs w:val="20"/>
              </w:rPr>
              <w:t>н</w:t>
            </w:r>
            <w:r w:rsidRPr="00781D47">
              <w:rPr>
                <w:rFonts w:eastAsia="Times New Roman"/>
                <w:sz w:val="20"/>
                <w:szCs w:val="20"/>
              </w:rPr>
              <w:t>таризацию, от общей протяженности линейных объектов, находящихся в муниципальной собственности</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w:t>
            </w:r>
          </w:p>
        </w:tc>
        <w:tc>
          <w:tcPr>
            <w:tcW w:w="1559"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24,3</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29,6</w:t>
            </w:r>
          </w:p>
        </w:tc>
        <w:tc>
          <w:tcPr>
            <w:tcW w:w="850"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52,3</w:t>
            </w:r>
          </w:p>
        </w:tc>
        <w:tc>
          <w:tcPr>
            <w:tcW w:w="851" w:type="dxa"/>
          </w:tcPr>
          <w:p w:rsidR="00BD58F5" w:rsidRPr="00781D47" w:rsidRDefault="00BD58F5" w:rsidP="008C77B1">
            <w:pPr>
              <w:spacing w:after="0" w:line="240" w:lineRule="auto"/>
              <w:ind w:left="180" w:right="-1"/>
              <w:jc w:val="center"/>
              <w:rPr>
                <w:rFonts w:eastAsia="Times New Roman"/>
                <w:sz w:val="20"/>
                <w:szCs w:val="20"/>
              </w:rPr>
            </w:pPr>
            <w:r w:rsidRPr="00781D47">
              <w:rPr>
                <w:rFonts w:eastAsia="Times New Roman"/>
                <w:sz w:val="20"/>
                <w:szCs w:val="20"/>
              </w:rPr>
              <w:t>70,3</w:t>
            </w:r>
          </w:p>
        </w:tc>
        <w:tc>
          <w:tcPr>
            <w:tcW w:w="850" w:type="dxa"/>
          </w:tcPr>
          <w:p w:rsidR="00BD58F5" w:rsidRPr="00781D47" w:rsidRDefault="00BD58F5" w:rsidP="008C77B1">
            <w:pPr>
              <w:spacing w:after="0" w:line="240" w:lineRule="auto"/>
              <w:ind w:left="180" w:right="-1"/>
              <w:jc w:val="center"/>
              <w:rPr>
                <w:rFonts w:eastAsia="Times New Roman"/>
                <w:sz w:val="20"/>
                <w:szCs w:val="20"/>
              </w:rPr>
            </w:pPr>
            <w:r w:rsidRPr="00781D47">
              <w:rPr>
                <w:rFonts w:eastAsia="Times New Roman"/>
                <w:sz w:val="20"/>
                <w:szCs w:val="20"/>
              </w:rPr>
              <w:t>72</w:t>
            </w:r>
          </w:p>
        </w:tc>
      </w:tr>
      <w:tr w:rsidR="00BD58F5" w:rsidRPr="00686C50" w:rsidTr="008C77B1">
        <w:trPr>
          <w:trHeight w:val="420"/>
        </w:trPr>
        <w:tc>
          <w:tcPr>
            <w:tcW w:w="425" w:type="dxa"/>
          </w:tcPr>
          <w:p w:rsidR="00BD58F5" w:rsidRPr="00781D47" w:rsidRDefault="00BD58F5" w:rsidP="008C77B1">
            <w:pPr>
              <w:spacing w:after="0" w:line="240" w:lineRule="auto"/>
              <w:ind w:right="-1"/>
              <w:jc w:val="center"/>
              <w:rPr>
                <w:rFonts w:eastAsia="Times New Roman"/>
                <w:sz w:val="20"/>
                <w:szCs w:val="20"/>
              </w:rPr>
            </w:pPr>
            <w:r>
              <w:rPr>
                <w:rFonts w:eastAsia="Times New Roman"/>
                <w:sz w:val="20"/>
                <w:szCs w:val="20"/>
              </w:rPr>
              <w:t>4</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Сокращение доли неиспользуемого недвижимого имущества в общем к</w:t>
            </w:r>
            <w:r w:rsidRPr="00781D47">
              <w:rPr>
                <w:rFonts w:eastAsia="Times New Roman"/>
                <w:sz w:val="20"/>
                <w:szCs w:val="20"/>
              </w:rPr>
              <w:t>о</w:t>
            </w:r>
            <w:r w:rsidRPr="00781D47">
              <w:rPr>
                <w:rFonts w:eastAsia="Times New Roman"/>
                <w:sz w:val="20"/>
                <w:szCs w:val="20"/>
              </w:rPr>
              <w:t>личестве недвижимого имущества, находящегося в муниципальной со</w:t>
            </w:r>
            <w:r w:rsidRPr="00781D47">
              <w:rPr>
                <w:rFonts w:eastAsia="Times New Roman"/>
                <w:sz w:val="20"/>
                <w:szCs w:val="20"/>
              </w:rPr>
              <w:t>б</w:t>
            </w:r>
            <w:r w:rsidRPr="00781D47">
              <w:rPr>
                <w:rFonts w:eastAsia="Times New Roman"/>
                <w:sz w:val="20"/>
                <w:szCs w:val="20"/>
              </w:rPr>
              <w:t>ственности</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w:t>
            </w:r>
          </w:p>
        </w:tc>
        <w:tc>
          <w:tcPr>
            <w:tcW w:w="1559"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3,0</w:t>
            </w:r>
          </w:p>
        </w:tc>
        <w:tc>
          <w:tcPr>
            <w:tcW w:w="851"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2,0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2,0</w:t>
            </w:r>
          </w:p>
        </w:tc>
        <w:tc>
          <w:tcPr>
            <w:tcW w:w="851"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2,0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2,0</w:t>
            </w:r>
          </w:p>
        </w:tc>
      </w:tr>
      <w:tr w:rsidR="00BD58F5" w:rsidRPr="00686C50" w:rsidTr="008C77B1">
        <w:trPr>
          <w:trHeight w:val="479"/>
        </w:trPr>
        <w:tc>
          <w:tcPr>
            <w:tcW w:w="425" w:type="dxa"/>
          </w:tcPr>
          <w:p w:rsidR="00BD58F5" w:rsidRPr="00781D47" w:rsidRDefault="00BD58F5" w:rsidP="008C77B1">
            <w:pPr>
              <w:spacing w:after="0" w:line="240" w:lineRule="auto"/>
              <w:ind w:right="-1"/>
              <w:jc w:val="center"/>
              <w:rPr>
                <w:rFonts w:eastAsia="Times New Roman"/>
                <w:sz w:val="20"/>
                <w:szCs w:val="20"/>
              </w:rPr>
            </w:pPr>
            <w:r>
              <w:rPr>
                <w:rFonts w:eastAsia="Times New Roman"/>
                <w:sz w:val="20"/>
                <w:szCs w:val="20"/>
              </w:rPr>
              <w:t>5</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количества проведенных контрольных мероприятий по прове</w:t>
            </w:r>
            <w:r w:rsidRPr="00781D47">
              <w:rPr>
                <w:rFonts w:eastAsia="Times New Roman"/>
                <w:sz w:val="20"/>
                <w:szCs w:val="20"/>
              </w:rPr>
              <w:t>р</w:t>
            </w:r>
            <w:r w:rsidRPr="00781D47">
              <w:rPr>
                <w:rFonts w:eastAsia="Times New Roman"/>
                <w:sz w:val="20"/>
                <w:szCs w:val="20"/>
              </w:rPr>
              <w:t>ке использования и сохранности м</w:t>
            </w:r>
            <w:r w:rsidRPr="00781D47">
              <w:rPr>
                <w:rFonts w:eastAsia="Times New Roman"/>
                <w:sz w:val="20"/>
                <w:szCs w:val="20"/>
              </w:rPr>
              <w:t>у</w:t>
            </w:r>
            <w:r w:rsidRPr="00781D47">
              <w:rPr>
                <w:rFonts w:eastAsia="Times New Roman"/>
                <w:sz w:val="20"/>
                <w:szCs w:val="20"/>
              </w:rPr>
              <w:t>ниципального имущества</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ед.</w:t>
            </w:r>
          </w:p>
        </w:tc>
        <w:tc>
          <w:tcPr>
            <w:tcW w:w="1559"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24</w:t>
            </w:r>
          </w:p>
        </w:tc>
        <w:tc>
          <w:tcPr>
            <w:tcW w:w="851"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40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84</w:t>
            </w:r>
          </w:p>
        </w:tc>
        <w:tc>
          <w:tcPr>
            <w:tcW w:w="851"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96</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97</w:t>
            </w:r>
          </w:p>
        </w:tc>
      </w:tr>
      <w:tr w:rsidR="00BD58F5" w:rsidRPr="00686C50" w:rsidTr="008C77B1">
        <w:trPr>
          <w:trHeight w:val="627"/>
        </w:trPr>
        <w:tc>
          <w:tcPr>
            <w:tcW w:w="425" w:type="dxa"/>
          </w:tcPr>
          <w:p w:rsidR="00BD58F5" w:rsidRPr="00781D47" w:rsidRDefault="00BD58F5" w:rsidP="008C77B1">
            <w:pPr>
              <w:spacing w:after="0" w:line="240" w:lineRule="auto"/>
              <w:ind w:right="-1"/>
              <w:jc w:val="center"/>
              <w:rPr>
                <w:rFonts w:eastAsia="Times New Roman"/>
                <w:sz w:val="20"/>
                <w:szCs w:val="20"/>
              </w:rPr>
            </w:pPr>
            <w:r>
              <w:rPr>
                <w:rFonts w:eastAsia="Times New Roman"/>
                <w:sz w:val="20"/>
                <w:szCs w:val="20"/>
              </w:rPr>
              <w:t>6</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доли актуальной инфо</w:t>
            </w:r>
            <w:r w:rsidRPr="00781D47">
              <w:rPr>
                <w:rFonts w:eastAsia="Times New Roman"/>
                <w:sz w:val="20"/>
                <w:szCs w:val="20"/>
              </w:rPr>
              <w:t>р</w:t>
            </w:r>
            <w:r w:rsidRPr="00781D47">
              <w:rPr>
                <w:rFonts w:eastAsia="Times New Roman"/>
                <w:sz w:val="20"/>
                <w:szCs w:val="20"/>
              </w:rPr>
              <w:t>мации об объектах муниципальной собственности во вновь созданной автоматизированной информационной системе «Система автоматизирова</w:t>
            </w:r>
            <w:r w:rsidRPr="00781D47">
              <w:rPr>
                <w:rFonts w:eastAsia="Times New Roman"/>
                <w:sz w:val="20"/>
                <w:szCs w:val="20"/>
              </w:rPr>
              <w:t>н</w:t>
            </w:r>
            <w:r w:rsidRPr="00781D47">
              <w:rPr>
                <w:rFonts w:eastAsia="Times New Roman"/>
                <w:sz w:val="20"/>
                <w:szCs w:val="20"/>
              </w:rPr>
              <w:t>ного управления муниципальным имуществом» (наполнение информ</w:t>
            </w:r>
            <w:r w:rsidRPr="00781D47">
              <w:rPr>
                <w:rFonts w:eastAsia="Times New Roman"/>
                <w:sz w:val="20"/>
                <w:szCs w:val="20"/>
              </w:rPr>
              <w:t>а</w:t>
            </w:r>
            <w:r w:rsidRPr="00781D47">
              <w:rPr>
                <w:rFonts w:eastAsia="Times New Roman"/>
                <w:sz w:val="20"/>
                <w:szCs w:val="20"/>
              </w:rPr>
              <w:t xml:space="preserve">ционной системы </w:t>
            </w:r>
            <w:proofErr w:type="spellStart"/>
            <w:r w:rsidRPr="00781D47">
              <w:rPr>
                <w:rFonts w:eastAsia="Times New Roman"/>
                <w:sz w:val="20"/>
                <w:szCs w:val="20"/>
              </w:rPr>
              <w:t>контентом</w:t>
            </w:r>
            <w:proofErr w:type="spellEnd"/>
            <w:r w:rsidRPr="00781D47">
              <w:rPr>
                <w:rFonts w:eastAsia="Times New Roman"/>
                <w:sz w:val="20"/>
                <w:szCs w:val="20"/>
              </w:rPr>
              <w:t>)</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w:t>
            </w:r>
          </w:p>
        </w:tc>
        <w:tc>
          <w:tcPr>
            <w:tcW w:w="1559"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20</w:t>
            </w:r>
          </w:p>
        </w:tc>
        <w:tc>
          <w:tcPr>
            <w:tcW w:w="851"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94</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100</w:t>
            </w:r>
          </w:p>
        </w:tc>
        <w:tc>
          <w:tcPr>
            <w:tcW w:w="851"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60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60</w:t>
            </w:r>
          </w:p>
        </w:tc>
      </w:tr>
      <w:tr w:rsidR="00BD58F5" w:rsidRPr="00686C50" w:rsidTr="008C77B1">
        <w:trPr>
          <w:trHeight w:val="1002"/>
        </w:trPr>
        <w:tc>
          <w:tcPr>
            <w:tcW w:w="425"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7.</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количества сформирова</w:t>
            </w:r>
            <w:r w:rsidRPr="00781D47">
              <w:rPr>
                <w:rFonts w:eastAsia="Times New Roman"/>
                <w:sz w:val="20"/>
                <w:szCs w:val="20"/>
              </w:rPr>
              <w:t>н</w:t>
            </w:r>
            <w:r w:rsidRPr="00781D47">
              <w:rPr>
                <w:rFonts w:eastAsia="Times New Roman"/>
                <w:sz w:val="20"/>
                <w:szCs w:val="20"/>
              </w:rPr>
              <w:t>ных земельных участков и земельных участков, в отношении которых в</w:t>
            </w:r>
            <w:r w:rsidRPr="00781D47">
              <w:rPr>
                <w:rFonts w:eastAsia="Times New Roman"/>
                <w:sz w:val="20"/>
                <w:szCs w:val="20"/>
              </w:rPr>
              <w:t>ы</w:t>
            </w:r>
            <w:r w:rsidRPr="00781D47">
              <w:rPr>
                <w:rFonts w:eastAsia="Times New Roman"/>
                <w:sz w:val="20"/>
                <w:szCs w:val="20"/>
              </w:rPr>
              <w:t>полнены кадастровые работы</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ед.</w:t>
            </w:r>
          </w:p>
        </w:tc>
        <w:tc>
          <w:tcPr>
            <w:tcW w:w="1559"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620</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760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1</w:t>
            </w:r>
            <w:r w:rsidRPr="00781D47">
              <w:rPr>
                <w:sz w:val="20"/>
                <w:szCs w:val="20"/>
              </w:rPr>
              <w:t xml:space="preserve"> </w:t>
            </w:r>
            <w:r w:rsidRPr="00781D47">
              <w:rPr>
                <w:rFonts w:eastAsia="Times New Roman"/>
                <w:sz w:val="20"/>
                <w:szCs w:val="20"/>
              </w:rPr>
              <w:t>159</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1</w:t>
            </w:r>
            <w:r w:rsidRPr="00781D47">
              <w:rPr>
                <w:sz w:val="20"/>
                <w:szCs w:val="20"/>
              </w:rPr>
              <w:t xml:space="preserve"> </w:t>
            </w:r>
            <w:r w:rsidRPr="00781D47">
              <w:rPr>
                <w:rFonts w:eastAsia="Times New Roman"/>
                <w:sz w:val="20"/>
                <w:szCs w:val="20"/>
              </w:rPr>
              <w:t>231</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1</w:t>
            </w:r>
            <w:r w:rsidRPr="00781D47">
              <w:rPr>
                <w:sz w:val="20"/>
                <w:szCs w:val="20"/>
              </w:rPr>
              <w:t xml:space="preserve"> </w:t>
            </w:r>
            <w:r w:rsidRPr="00781D47">
              <w:rPr>
                <w:rFonts w:eastAsia="Times New Roman"/>
                <w:sz w:val="20"/>
                <w:szCs w:val="20"/>
              </w:rPr>
              <w:t>286</w:t>
            </w:r>
          </w:p>
        </w:tc>
      </w:tr>
      <w:tr w:rsidR="00BD58F5" w:rsidRPr="00686C50" w:rsidTr="008C77B1">
        <w:trPr>
          <w:trHeight w:val="278"/>
        </w:trPr>
        <w:tc>
          <w:tcPr>
            <w:tcW w:w="425"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8.</w:t>
            </w:r>
          </w:p>
        </w:tc>
        <w:tc>
          <w:tcPr>
            <w:tcW w:w="3545" w:type="dxa"/>
            <w:vAlign w:val="center"/>
          </w:tcPr>
          <w:p w:rsidR="00BD58F5" w:rsidRPr="00781D47" w:rsidRDefault="00BD58F5" w:rsidP="008C77B1">
            <w:pPr>
              <w:spacing w:after="0" w:line="240" w:lineRule="auto"/>
              <w:ind w:right="-1"/>
              <w:jc w:val="left"/>
              <w:rPr>
                <w:rFonts w:eastAsia="Times New Roman"/>
                <w:sz w:val="20"/>
                <w:szCs w:val="20"/>
              </w:rPr>
            </w:pPr>
            <w:r w:rsidRPr="00781D47">
              <w:rPr>
                <w:rFonts w:eastAsia="Times New Roman"/>
                <w:sz w:val="20"/>
                <w:szCs w:val="20"/>
              </w:rPr>
              <w:t>Увеличение площади сформирова</w:t>
            </w:r>
            <w:r w:rsidRPr="00781D47">
              <w:rPr>
                <w:rFonts w:eastAsia="Times New Roman"/>
                <w:sz w:val="20"/>
                <w:szCs w:val="20"/>
              </w:rPr>
              <w:t>н</w:t>
            </w:r>
            <w:r w:rsidRPr="00781D47">
              <w:rPr>
                <w:rFonts w:eastAsia="Times New Roman"/>
                <w:sz w:val="20"/>
                <w:szCs w:val="20"/>
              </w:rPr>
              <w:t>ных земельных участков и земельных участков, в отношении которых в</w:t>
            </w:r>
            <w:r w:rsidRPr="00781D47">
              <w:rPr>
                <w:rFonts w:eastAsia="Times New Roman"/>
                <w:sz w:val="20"/>
                <w:szCs w:val="20"/>
              </w:rPr>
              <w:t>ы</w:t>
            </w:r>
            <w:r w:rsidRPr="00781D47">
              <w:rPr>
                <w:rFonts w:eastAsia="Times New Roman"/>
                <w:sz w:val="20"/>
                <w:szCs w:val="20"/>
              </w:rPr>
              <w:t>полнены кадастровые работы, в том числе под жилищное строительство и реализацию инвестиционных прое</w:t>
            </w:r>
            <w:r w:rsidRPr="00781D47">
              <w:rPr>
                <w:rFonts w:eastAsia="Times New Roman"/>
                <w:sz w:val="20"/>
                <w:szCs w:val="20"/>
              </w:rPr>
              <w:t>к</w:t>
            </w:r>
            <w:r w:rsidRPr="00781D47">
              <w:rPr>
                <w:rFonts w:eastAsia="Times New Roman"/>
                <w:sz w:val="20"/>
                <w:szCs w:val="20"/>
              </w:rPr>
              <w:lastRenderedPageBreak/>
              <w:t>тов</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lastRenderedPageBreak/>
              <w:t>га</w:t>
            </w:r>
          </w:p>
        </w:tc>
        <w:tc>
          <w:tcPr>
            <w:tcW w:w="1559"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348</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380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445,8</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442</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452,1</w:t>
            </w:r>
          </w:p>
        </w:tc>
      </w:tr>
      <w:tr w:rsidR="00BD58F5" w:rsidRPr="00686C50" w:rsidTr="008C77B1">
        <w:trPr>
          <w:trHeight w:val="420"/>
        </w:trPr>
        <w:tc>
          <w:tcPr>
            <w:tcW w:w="425"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lastRenderedPageBreak/>
              <w:t>9.</w:t>
            </w:r>
          </w:p>
        </w:tc>
        <w:tc>
          <w:tcPr>
            <w:tcW w:w="3545" w:type="dxa"/>
            <w:vAlign w:val="center"/>
          </w:tcPr>
          <w:p w:rsidR="00BD58F5" w:rsidRPr="00781D47" w:rsidRDefault="00BD58F5" w:rsidP="008C77B1">
            <w:pPr>
              <w:autoSpaceDE w:val="0"/>
              <w:autoSpaceDN w:val="0"/>
              <w:adjustRightInd w:val="0"/>
              <w:spacing w:after="0" w:line="240" w:lineRule="auto"/>
              <w:ind w:right="-1"/>
              <w:jc w:val="left"/>
              <w:rPr>
                <w:rFonts w:eastAsia="Times New Roman"/>
                <w:sz w:val="20"/>
                <w:szCs w:val="20"/>
              </w:rPr>
            </w:pPr>
            <w:r w:rsidRPr="00781D47">
              <w:rPr>
                <w:rFonts w:eastAsia="Times New Roman"/>
                <w:sz w:val="20"/>
                <w:szCs w:val="20"/>
              </w:rPr>
              <w:t>Увеличение количества земельных участков, по которым принято реш</w:t>
            </w:r>
            <w:r w:rsidRPr="00781D47">
              <w:rPr>
                <w:rFonts w:eastAsia="Times New Roman"/>
                <w:sz w:val="20"/>
                <w:szCs w:val="20"/>
              </w:rPr>
              <w:t>е</w:t>
            </w:r>
            <w:r w:rsidRPr="00781D47">
              <w:rPr>
                <w:rFonts w:eastAsia="Times New Roman"/>
                <w:sz w:val="20"/>
                <w:szCs w:val="20"/>
              </w:rPr>
              <w:t>ние об оформлении прав граждан в упрощенном порядке</w:t>
            </w:r>
          </w:p>
        </w:tc>
        <w:tc>
          <w:tcPr>
            <w:tcW w:w="567"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ед.</w:t>
            </w:r>
          </w:p>
        </w:tc>
        <w:tc>
          <w:tcPr>
            <w:tcW w:w="1559"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2</w:t>
            </w:r>
          </w:p>
        </w:tc>
        <w:tc>
          <w:tcPr>
            <w:tcW w:w="851" w:type="dxa"/>
          </w:tcPr>
          <w:p w:rsidR="00BD58F5" w:rsidRPr="00781D47" w:rsidRDefault="00BD58F5" w:rsidP="008C77B1">
            <w:pPr>
              <w:spacing w:after="0" w:line="240" w:lineRule="auto"/>
              <w:ind w:right="-1"/>
              <w:jc w:val="center"/>
              <w:rPr>
                <w:rFonts w:eastAsia="Times New Roman"/>
                <w:sz w:val="20"/>
                <w:szCs w:val="20"/>
              </w:rPr>
            </w:pPr>
            <w:r w:rsidRPr="00781D47">
              <w:rPr>
                <w:rFonts w:eastAsia="Times New Roman"/>
                <w:sz w:val="20"/>
                <w:szCs w:val="20"/>
              </w:rPr>
              <w:t>10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10</w:t>
            </w:r>
          </w:p>
        </w:tc>
        <w:tc>
          <w:tcPr>
            <w:tcW w:w="851" w:type="dxa"/>
          </w:tcPr>
          <w:p w:rsidR="00BD58F5" w:rsidRPr="00781D47" w:rsidRDefault="00BD58F5" w:rsidP="008C77B1">
            <w:pPr>
              <w:spacing w:after="0" w:line="240" w:lineRule="auto"/>
              <w:ind w:left="180" w:right="-1"/>
              <w:jc w:val="center"/>
              <w:rPr>
                <w:rFonts w:eastAsia="Times New Roman"/>
                <w:sz w:val="20"/>
                <w:szCs w:val="20"/>
              </w:rPr>
            </w:pPr>
            <w:r w:rsidRPr="00781D47">
              <w:rPr>
                <w:rFonts w:eastAsia="Times New Roman"/>
                <w:sz w:val="20"/>
                <w:szCs w:val="20"/>
              </w:rPr>
              <w:t>10</w:t>
            </w:r>
          </w:p>
        </w:tc>
        <w:tc>
          <w:tcPr>
            <w:tcW w:w="850" w:type="dxa"/>
          </w:tcPr>
          <w:p w:rsidR="00BD58F5" w:rsidRPr="00781D47" w:rsidRDefault="00BD58F5" w:rsidP="008C77B1">
            <w:pPr>
              <w:spacing w:after="0"/>
              <w:ind w:right="-1"/>
              <w:jc w:val="center"/>
              <w:rPr>
                <w:rFonts w:eastAsia="Times New Roman"/>
                <w:sz w:val="20"/>
                <w:szCs w:val="20"/>
              </w:rPr>
            </w:pPr>
            <w:r w:rsidRPr="00781D47">
              <w:rPr>
                <w:rFonts w:eastAsia="Times New Roman"/>
                <w:sz w:val="20"/>
                <w:szCs w:val="20"/>
              </w:rPr>
              <w:t>10</w:t>
            </w:r>
          </w:p>
        </w:tc>
      </w:tr>
    </w:tbl>
    <w:p w:rsidR="00B27661" w:rsidRPr="00686C50" w:rsidRDefault="00B27661" w:rsidP="008C77B1">
      <w:pPr>
        <w:spacing w:after="0"/>
        <w:ind w:left="284" w:right="-1"/>
        <w:jc w:val="both"/>
        <w:rPr>
          <w:rFonts w:eastAsia="Times New Roman"/>
        </w:rPr>
      </w:pPr>
    </w:p>
    <w:p w:rsidR="00B27661" w:rsidRPr="00686C50" w:rsidRDefault="00B27661" w:rsidP="008C77B1">
      <w:pPr>
        <w:pStyle w:val="ConsPlusTitle"/>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На финансирование муниципальной программы в 2018 году пред</w:t>
      </w:r>
      <w:r w:rsidRPr="00686C50">
        <w:rPr>
          <w:rFonts w:ascii="Times New Roman" w:hAnsi="Times New Roman" w:cs="Times New Roman"/>
          <w:b w:val="0"/>
          <w:bCs w:val="0"/>
          <w:sz w:val="28"/>
          <w:szCs w:val="28"/>
        </w:rPr>
        <w:t>у</w:t>
      </w:r>
      <w:r w:rsidRPr="00686C50">
        <w:rPr>
          <w:rFonts w:ascii="Times New Roman" w:hAnsi="Times New Roman" w:cs="Times New Roman"/>
          <w:b w:val="0"/>
          <w:bCs w:val="0"/>
          <w:sz w:val="28"/>
          <w:szCs w:val="28"/>
        </w:rPr>
        <w:t>смотрены средства бюджета города Ханты-Мансийска в объеме 215 176,0 тыс. рублей.</w:t>
      </w:r>
    </w:p>
    <w:p w:rsidR="00B27661" w:rsidRDefault="00B27661" w:rsidP="008C77B1">
      <w:pPr>
        <w:pStyle w:val="ConsPlusTitle"/>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 xml:space="preserve">Исполнение </w:t>
      </w:r>
      <w:r w:rsidRPr="00686C50">
        <w:rPr>
          <w:rFonts w:ascii="Times New Roman" w:hAnsi="Times New Roman" w:cs="Times New Roman"/>
          <w:b w:val="0"/>
          <w:sz w:val="28"/>
          <w:szCs w:val="28"/>
        </w:rPr>
        <w:t>муниципальной программы</w:t>
      </w:r>
      <w:r w:rsidRPr="00686C50">
        <w:rPr>
          <w:rFonts w:ascii="Times New Roman" w:hAnsi="Times New Roman" w:cs="Times New Roman"/>
          <w:b w:val="0"/>
          <w:bCs w:val="0"/>
          <w:sz w:val="28"/>
          <w:szCs w:val="28"/>
        </w:rPr>
        <w:t xml:space="preserve"> на отчетную дату составляет 213 963,1 тыс. рублей или 99,4% от годового объема финансирования.</w:t>
      </w:r>
    </w:p>
    <w:p w:rsidR="00BD58F5" w:rsidRDefault="00BD58F5" w:rsidP="008C77B1">
      <w:pPr>
        <w:pStyle w:val="ConsPlusTitle"/>
        <w:spacing w:line="276" w:lineRule="auto"/>
        <w:ind w:right="-1" w:firstLine="708"/>
        <w:jc w:val="both"/>
        <w:rPr>
          <w:rFonts w:ascii="Times New Roman" w:hAnsi="Times New Roman" w:cs="Times New Roman"/>
          <w:b w:val="0"/>
          <w:bCs w:val="0"/>
          <w:sz w:val="28"/>
          <w:szCs w:val="28"/>
        </w:rPr>
      </w:pPr>
    </w:p>
    <w:p w:rsidR="00B27661" w:rsidRPr="00686C50" w:rsidRDefault="00B27661" w:rsidP="008C77B1">
      <w:pPr>
        <w:pStyle w:val="ae"/>
        <w:tabs>
          <w:tab w:val="left" w:pos="0"/>
        </w:tabs>
        <w:suppressAutoHyphens/>
        <w:spacing w:before="0" w:beforeAutospacing="0" w:after="0" w:afterAutospacing="0" w:line="276" w:lineRule="auto"/>
        <w:ind w:right="-1" w:firstLine="709"/>
      </w:pPr>
      <w:r w:rsidRPr="00686C50">
        <w:t>Рисунок 3.9.1.</w:t>
      </w:r>
    </w:p>
    <w:p w:rsidR="00B27661" w:rsidRPr="00BD58F5" w:rsidRDefault="00B27661" w:rsidP="008C77B1">
      <w:pPr>
        <w:pStyle w:val="ConsPlusTitle"/>
        <w:spacing w:line="276" w:lineRule="auto"/>
        <w:ind w:right="-1" w:firstLine="709"/>
        <w:jc w:val="center"/>
        <w:rPr>
          <w:rFonts w:ascii="Times New Roman" w:hAnsi="Times New Roman" w:cs="Times New Roman"/>
          <w:sz w:val="28"/>
          <w:szCs w:val="28"/>
        </w:rPr>
      </w:pPr>
      <w:r w:rsidRPr="00BD58F5">
        <w:rPr>
          <w:rFonts w:ascii="Times New Roman" w:hAnsi="Times New Roman" w:cs="Times New Roman"/>
          <w:bCs w:val="0"/>
          <w:sz w:val="28"/>
          <w:szCs w:val="28"/>
        </w:rPr>
        <w:t xml:space="preserve">Объёмы ассигнований на реализацию муниципальной программы </w:t>
      </w:r>
      <w:r w:rsidRPr="00BD58F5">
        <w:rPr>
          <w:rFonts w:ascii="Times New Roman" w:eastAsia="Arial Unicode MS" w:hAnsi="Times New Roman" w:cs="Times New Roman"/>
          <w:sz w:val="28"/>
          <w:szCs w:val="28"/>
        </w:rPr>
        <w:t>«Основные направления развития в области управления и распоряж</w:t>
      </w:r>
      <w:r w:rsidRPr="00BD58F5">
        <w:rPr>
          <w:rFonts w:ascii="Times New Roman" w:eastAsia="Arial Unicode MS" w:hAnsi="Times New Roman" w:cs="Times New Roman"/>
          <w:sz w:val="28"/>
          <w:szCs w:val="28"/>
        </w:rPr>
        <w:t>е</w:t>
      </w:r>
      <w:r w:rsidRPr="00BD58F5">
        <w:rPr>
          <w:rFonts w:ascii="Times New Roman" w:eastAsia="Arial Unicode MS" w:hAnsi="Times New Roman" w:cs="Times New Roman"/>
          <w:sz w:val="28"/>
          <w:szCs w:val="28"/>
        </w:rPr>
        <w:t>ния муниципальной собственностью города Ханты-Мансийска»</w:t>
      </w:r>
      <w:r w:rsidRPr="00BD58F5">
        <w:rPr>
          <w:rFonts w:ascii="Times New Roman" w:hAnsi="Times New Roman" w:cs="Times New Roman"/>
          <w:sz w:val="28"/>
          <w:szCs w:val="28"/>
        </w:rPr>
        <w:t>, тыс. рублей.</w:t>
      </w:r>
    </w:p>
    <w:p w:rsidR="00B27661" w:rsidRDefault="00B27661" w:rsidP="008C77B1">
      <w:pPr>
        <w:pStyle w:val="ConsPlusTitle"/>
        <w:spacing w:line="276" w:lineRule="auto"/>
        <w:ind w:right="-1"/>
        <w:jc w:val="center"/>
        <w:rPr>
          <w:rFonts w:ascii="Times New Roman" w:hAnsi="Times New Roman" w:cs="Times New Roman"/>
          <w:bCs w:val="0"/>
          <w:sz w:val="28"/>
          <w:szCs w:val="28"/>
        </w:rPr>
      </w:pPr>
      <w:r w:rsidRPr="000405C9">
        <w:rPr>
          <w:rFonts w:ascii="Times New Roman" w:hAnsi="Times New Roman" w:cs="Times New Roman"/>
          <w:bCs w:val="0"/>
          <w:noProof/>
          <w:sz w:val="28"/>
          <w:szCs w:val="28"/>
        </w:rPr>
        <w:drawing>
          <wp:inline distT="0" distB="0" distL="0" distR="0">
            <wp:extent cx="5860111" cy="1836752"/>
            <wp:effectExtent l="0" t="0" r="0" b="0"/>
            <wp:docPr id="3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7661" w:rsidRPr="0071070F" w:rsidRDefault="00B27661" w:rsidP="008C77B1">
      <w:pPr>
        <w:pStyle w:val="ae"/>
        <w:tabs>
          <w:tab w:val="left" w:pos="0"/>
        </w:tabs>
        <w:suppressAutoHyphens/>
        <w:spacing w:before="0" w:beforeAutospacing="0" w:after="0" w:afterAutospacing="0" w:line="276" w:lineRule="auto"/>
        <w:ind w:right="-1" w:firstLine="709"/>
        <w:jc w:val="both"/>
        <w:rPr>
          <w:sz w:val="28"/>
          <w:szCs w:val="28"/>
        </w:rPr>
      </w:pPr>
      <w:r w:rsidRPr="0071070F">
        <w:rPr>
          <w:sz w:val="28"/>
          <w:szCs w:val="28"/>
        </w:rPr>
        <w:t>Объемы бюджетных ассигнований распределены следующим образом:</w:t>
      </w:r>
    </w:p>
    <w:p w:rsidR="00B27661" w:rsidRDefault="00B27661" w:rsidP="008C77B1">
      <w:pPr>
        <w:spacing w:after="0"/>
        <w:ind w:right="-1"/>
        <w:rPr>
          <w:sz w:val="24"/>
          <w:szCs w:val="24"/>
        </w:rPr>
      </w:pPr>
    </w:p>
    <w:p w:rsidR="008C77B1" w:rsidRDefault="008C77B1" w:rsidP="008C77B1">
      <w:pPr>
        <w:spacing w:after="0"/>
        <w:ind w:right="-1"/>
        <w:rPr>
          <w:sz w:val="24"/>
          <w:szCs w:val="24"/>
        </w:rPr>
      </w:pPr>
    </w:p>
    <w:p w:rsidR="008C77B1" w:rsidRDefault="008C77B1" w:rsidP="008C77B1">
      <w:pPr>
        <w:spacing w:after="0"/>
        <w:ind w:right="-1"/>
        <w:rPr>
          <w:sz w:val="24"/>
          <w:szCs w:val="24"/>
        </w:rPr>
      </w:pPr>
    </w:p>
    <w:p w:rsidR="008C77B1" w:rsidRDefault="008C77B1" w:rsidP="008C77B1">
      <w:pPr>
        <w:spacing w:after="0"/>
        <w:ind w:right="-1"/>
        <w:rPr>
          <w:sz w:val="24"/>
          <w:szCs w:val="24"/>
        </w:rPr>
      </w:pPr>
    </w:p>
    <w:p w:rsidR="008C77B1" w:rsidRDefault="008C77B1" w:rsidP="008C77B1">
      <w:pPr>
        <w:spacing w:after="0"/>
        <w:ind w:right="-1"/>
        <w:rPr>
          <w:sz w:val="24"/>
          <w:szCs w:val="24"/>
        </w:rPr>
      </w:pPr>
    </w:p>
    <w:p w:rsidR="008C77B1" w:rsidRDefault="008C77B1" w:rsidP="008C77B1">
      <w:pPr>
        <w:spacing w:after="0"/>
        <w:ind w:right="-1"/>
        <w:rPr>
          <w:sz w:val="24"/>
          <w:szCs w:val="24"/>
        </w:rPr>
      </w:pPr>
    </w:p>
    <w:p w:rsidR="008C77B1" w:rsidRDefault="008C77B1" w:rsidP="008C77B1">
      <w:pPr>
        <w:spacing w:after="0"/>
        <w:ind w:right="-1"/>
        <w:rPr>
          <w:sz w:val="24"/>
          <w:szCs w:val="24"/>
        </w:rPr>
      </w:pPr>
    </w:p>
    <w:p w:rsidR="00CD6D42" w:rsidRDefault="00CD6D42" w:rsidP="008C77B1">
      <w:pPr>
        <w:spacing w:after="0"/>
        <w:ind w:right="-1"/>
        <w:rPr>
          <w:sz w:val="24"/>
          <w:szCs w:val="24"/>
        </w:rPr>
      </w:pPr>
    </w:p>
    <w:p w:rsidR="008C77B1" w:rsidRDefault="008C77B1" w:rsidP="008C77B1">
      <w:pPr>
        <w:spacing w:after="0"/>
        <w:ind w:right="-1"/>
        <w:rPr>
          <w:sz w:val="24"/>
          <w:szCs w:val="24"/>
        </w:rPr>
      </w:pPr>
    </w:p>
    <w:p w:rsidR="008C77B1" w:rsidRDefault="008C77B1" w:rsidP="008C77B1">
      <w:pPr>
        <w:spacing w:after="0"/>
        <w:ind w:right="-1"/>
        <w:rPr>
          <w:sz w:val="24"/>
          <w:szCs w:val="24"/>
        </w:rPr>
      </w:pPr>
    </w:p>
    <w:p w:rsidR="00B27661" w:rsidRPr="0071070F" w:rsidRDefault="00B27661" w:rsidP="008C77B1">
      <w:pPr>
        <w:spacing w:after="0"/>
        <w:ind w:right="-1"/>
        <w:rPr>
          <w:sz w:val="24"/>
          <w:szCs w:val="24"/>
        </w:rPr>
      </w:pPr>
      <w:r w:rsidRPr="0071070F">
        <w:rPr>
          <w:sz w:val="24"/>
          <w:szCs w:val="24"/>
        </w:rPr>
        <w:lastRenderedPageBreak/>
        <w:t>Таблица 3.9.2.</w:t>
      </w:r>
    </w:p>
    <w:p w:rsidR="00B27661" w:rsidRPr="00BD58F5" w:rsidRDefault="00B27661" w:rsidP="008C77B1">
      <w:pPr>
        <w:tabs>
          <w:tab w:val="left" w:pos="459"/>
        </w:tabs>
        <w:suppressAutoHyphens/>
        <w:spacing w:after="0"/>
        <w:ind w:right="-1"/>
        <w:jc w:val="center"/>
        <w:rPr>
          <w:rFonts w:eastAsia="Arial Unicode MS"/>
          <w:b/>
          <w:sz w:val="28"/>
          <w:szCs w:val="28"/>
        </w:rPr>
      </w:pPr>
      <w:r w:rsidRPr="00BD58F5">
        <w:rPr>
          <w:b/>
          <w:sz w:val="28"/>
          <w:szCs w:val="28"/>
        </w:rPr>
        <w:t xml:space="preserve">Объем бюджетных ассигнований за 2018 год по основному исполнителю и соисполнителям муниципальной программы </w:t>
      </w:r>
      <w:r w:rsidRPr="00BD58F5">
        <w:rPr>
          <w:rFonts w:eastAsia="Arial Unicode MS"/>
          <w:b/>
          <w:sz w:val="28"/>
          <w:szCs w:val="28"/>
        </w:rPr>
        <w:t>«Основные направления развития в области управления и распоряжения муниципальной собственностью города Хан</w:t>
      </w:r>
      <w:r w:rsidR="00BD58F5">
        <w:rPr>
          <w:rFonts w:eastAsia="Arial Unicode MS"/>
          <w:b/>
          <w:sz w:val="28"/>
          <w:szCs w:val="28"/>
        </w:rPr>
        <w:t>ты-Мансийска на 2016-2020 годы»</w:t>
      </w:r>
    </w:p>
    <w:p w:rsidR="00B27661" w:rsidRPr="00686C50" w:rsidRDefault="00B27661" w:rsidP="008C77B1">
      <w:pPr>
        <w:pStyle w:val="ae"/>
        <w:tabs>
          <w:tab w:val="left" w:pos="459"/>
        </w:tabs>
        <w:suppressAutoHyphens/>
        <w:spacing w:before="0" w:beforeAutospacing="0" w:after="0" w:afterAutospacing="0" w:line="276" w:lineRule="auto"/>
        <w:ind w:right="-1"/>
        <w:rPr>
          <w:sz w:val="22"/>
          <w:szCs w:val="22"/>
        </w:rPr>
      </w:pPr>
    </w:p>
    <w:p w:rsidR="00B27661" w:rsidRPr="00686C50" w:rsidRDefault="00B27661" w:rsidP="008C77B1">
      <w:pPr>
        <w:pStyle w:val="ae"/>
        <w:tabs>
          <w:tab w:val="left" w:pos="459"/>
        </w:tabs>
        <w:suppressAutoHyphens/>
        <w:spacing w:before="0" w:beforeAutospacing="0" w:after="0" w:afterAutospacing="0" w:line="276" w:lineRule="auto"/>
        <w:ind w:right="-1"/>
      </w:pPr>
      <w:r w:rsidRPr="00686C50">
        <w:rPr>
          <w:sz w:val="22"/>
          <w:szCs w:val="22"/>
        </w:rPr>
        <w:t xml:space="preserve"> </w:t>
      </w:r>
      <w:r w:rsidR="00BD58F5">
        <w:t>тыс. рублей</w:t>
      </w:r>
    </w:p>
    <w:tbl>
      <w:tblPr>
        <w:tblW w:w="9214" w:type="dxa"/>
        <w:tblInd w:w="108" w:type="dxa"/>
        <w:tblLayout w:type="fixed"/>
        <w:tblLook w:val="04A0"/>
      </w:tblPr>
      <w:tblGrid>
        <w:gridCol w:w="567"/>
        <w:gridCol w:w="2363"/>
        <w:gridCol w:w="1440"/>
        <w:gridCol w:w="1721"/>
        <w:gridCol w:w="1679"/>
        <w:gridCol w:w="1444"/>
      </w:tblGrid>
      <w:tr w:rsidR="00B27661" w:rsidRPr="00686C50" w:rsidTr="008C77B1">
        <w:trPr>
          <w:trHeight w:val="300"/>
        </w:trPr>
        <w:tc>
          <w:tcPr>
            <w:tcW w:w="567" w:type="dxa"/>
            <w:vMerge w:val="restart"/>
            <w:tcBorders>
              <w:top w:val="single" w:sz="4" w:space="0" w:color="auto"/>
              <w:left w:val="single" w:sz="4" w:space="0" w:color="auto"/>
              <w:right w:val="single" w:sz="4" w:space="0" w:color="auto"/>
            </w:tcBorders>
            <w:vAlign w:val="center"/>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 xml:space="preserve">№ </w:t>
            </w:r>
            <w:proofErr w:type="spellStart"/>
            <w:proofErr w:type="gramStart"/>
            <w:r w:rsidRPr="00686C50">
              <w:rPr>
                <w:rFonts w:eastAsia="Times New Roman"/>
                <w:sz w:val="20"/>
                <w:szCs w:val="20"/>
              </w:rPr>
              <w:t>п</w:t>
            </w:r>
            <w:proofErr w:type="spellEnd"/>
            <w:proofErr w:type="gramEnd"/>
            <w:r w:rsidRPr="00686C50">
              <w:rPr>
                <w:rFonts w:eastAsia="Times New Roman"/>
                <w:sz w:val="20"/>
                <w:szCs w:val="20"/>
              </w:rPr>
              <w:t>/</w:t>
            </w:r>
            <w:proofErr w:type="spellStart"/>
            <w:r w:rsidRPr="00686C50">
              <w:rPr>
                <w:rFonts w:eastAsia="Times New Roman"/>
                <w:sz w:val="20"/>
                <w:szCs w:val="20"/>
              </w:rPr>
              <w:t>п</w:t>
            </w:r>
            <w:proofErr w:type="spellEnd"/>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Наименование основн</w:t>
            </w:r>
            <w:r w:rsidRPr="00686C50">
              <w:rPr>
                <w:rFonts w:eastAsia="Times New Roman"/>
                <w:sz w:val="20"/>
                <w:szCs w:val="20"/>
              </w:rPr>
              <w:t>о</w:t>
            </w:r>
            <w:r w:rsidRPr="00686C50">
              <w:rPr>
                <w:rFonts w:eastAsia="Times New Roman"/>
                <w:sz w:val="20"/>
                <w:szCs w:val="20"/>
              </w:rPr>
              <w:t>го исполнителя, сои</w:t>
            </w:r>
            <w:r w:rsidRPr="00686C50">
              <w:rPr>
                <w:rFonts w:eastAsia="Times New Roman"/>
                <w:sz w:val="20"/>
                <w:szCs w:val="20"/>
              </w:rPr>
              <w:t>с</w:t>
            </w:r>
            <w:r w:rsidRPr="00686C50">
              <w:rPr>
                <w:rFonts w:eastAsia="Times New Roman"/>
                <w:sz w:val="20"/>
                <w:szCs w:val="20"/>
              </w:rPr>
              <w:t>полнителя муниципал</w:t>
            </w:r>
            <w:r w:rsidRPr="00686C50">
              <w:rPr>
                <w:rFonts w:eastAsia="Times New Roman"/>
                <w:sz w:val="20"/>
                <w:szCs w:val="20"/>
              </w:rPr>
              <w:t>ь</w:t>
            </w:r>
            <w:r w:rsidRPr="00686C50">
              <w:rPr>
                <w:rFonts w:eastAsia="Times New Roman"/>
                <w:sz w:val="20"/>
                <w:szCs w:val="20"/>
              </w:rPr>
              <w:t>ной программы</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2017 год (о</w:t>
            </w:r>
            <w:r w:rsidRPr="00686C50">
              <w:rPr>
                <w:rFonts w:eastAsia="Times New Roman"/>
                <w:sz w:val="20"/>
                <w:szCs w:val="20"/>
              </w:rPr>
              <w:t>т</w:t>
            </w:r>
            <w:r w:rsidRPr="00686C50">
              <w:rPr>
                <w:rFonts w:eastAsia="Times New Roman"/>
                <w:sz w:val="20"/>
                <w:szCs w:val="20"/>
              </w:rPr>
              <w:t>чет)</w:t>
            </w:r>
          </w:p>
        </w:tc>
        <w:tc>
          <w:tcPr>
            <w:tcW w:w="4844" w:type="dxa"/>
            <w:gridSpan w:val="3"/>
            <w:tcBorders>
              <w:top w:val="single" w:sz="4" w:space="0" w:color="auto"/>
              <w:left w:val="nil"/>
              <w:bottom w:val="single" w:sz="4" w:space="0" w:color="auto"/>
              <w:right w:val="single" w:sz="4" w:space="0" w:color="auto"/>
            </w:tcBorders>
            <w:shd w:val="clear" w:color="auto" w:fill="auto"/>
            <w:noWrap/>
            <w:vAlign w:val="center"/>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 xml:space="preserve">2018 год </w:t>
            </w:r>
          </w:p>
        </w:tc>
      </w:tr>
      <w:tr w:rsidR="00B27661" w:rsidRPr="00686C50" w:rsidTr="008C77B1">
        <w:trPr>
          <w:trHeight w:val="900"/>
        </w:trPr>
        <w:tc>
          <w:tcPr>
            <w:tcW w:w="567" w:type="dxa"/>
            <w:vMerge/>
            <w:tcBorders>
              <w:left w:val="single" w:sz="4" w:space="0" w:color="auto"/>
              <w:bottom w:val="single" w:sz="4" w:space="0" w:color="auto"/>
              <w:right w:val="single" w:sz="4" w:space="0" w:color="auto"/>
            </w:tcBorders>
          </w:tcPr>
          <w:p w:rsidR="00B27661" w:rsidRPr="00686C50" w:rsidRDefault="00B27661" w:rsidP="008C77B1">
            <w:pPr>
              <w:spacing w:after="0" w:line="240" w:lineRule="auto"/>
              <w:ind w:right="-1"/>
              <w:rPr>
                <w:rFonts w:eastAsia="Times New Roman"/>
                <w:sz w:val="20"/>
                <w:szCs w:val="20"/>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B27661" w:rsidRPr="00686C50" w:rsidRDefault="00B27661" w:rsidP="008C77B1">
            <w:pPr>
              <w:spacing w:after="0" w:line="240" w:lineRule="auto"/>
              <w:ind w:right="-1"/>
              <w:rPr>
                <w:rFonts w:eastAsia="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27661" w:rsidRPr="00686C50" w:rsidRDefault="00B27661" w:rsidP="008C77B1">
            <w:pPr>
              <w:spacing w:after="0" w:line="240" w:lineRule="auto"/>
              <w:ind w:right="-1"/>
              <w:rPr>
                <w:rFonts w:eastAsia="Times New Roman"/>
                <w:sz w:val="20"/>
                <w:szCs w:val="20"/>
              </w:rPr>
            </w:pPr>
          </w:p>
        </w:tc>
        <w:tc>
          <w:tcPr>
            <w:tcW w:w="1721" w:type="dxa"/>
            <w:tcBorders>
              <w:top w:val="nil"/>
              <w:left w:val="nil"/>
              <w:bottom w:val="single" w:sz="4" w:space="0" w:color="auto"/>
              <w:right w:val="single" w:sz="4" w:space="0" w:color="auto"/>
            </w:tcBorders>
            <w:shd w:val="clear" w:color="auto" w:fill="auto"/>
            <w:vAlign w:val="center"/>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Уточненный план</w:t>
            </w:r>
          </w:p>
        </w:tc>
        <w:tc>
          <w:tcPr>
            <w:tcW w:w="1679" w:type="dxa"/>
            <w:tcBorders>
              <w:top w:val="nil"/>
              <w:left w:val="nil"/>
              <w:bottom w:val="single" w:sz="4" w:space="0" w:color="auto"/>
              <w:right w:val="single" w:sz="4" w:space="0" w:color="auto"/>
            </w:tcBorders>
            <w:shd w:val="clear" w:color="auto" w:fill="auto"/>
            <w:vAlign w:val="center"/>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Исполнение</w:t>
            </w:r>
          </w:p>
        </w:tc>
        <w:tc>
          <w:tcPr>
            <w:tcW w:w="1444" w:type="dxa"/>
            <w:tcBorders>
              <w:top w:val="nil"/>
              <w:left w:val="nil"/>
              <w:bottom w:val="single" w:sz="4" w:space="0" w:color="auto"/>
              <w:right w:val="single" w:sz="4" w:space="0" w:color="auto"/>
            </w:tcBorders>
            <w:shd w:val="clear" w:color="auto" w:fill="auto"/>
            <w:vAlign w:val="center"/>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 исполнения</w:t>
            </w:r>
          </w:p>
        </w:tc>
      </w:tr>
      <w:tr w:rsidR="00B27661" w:rsidRPr="00686C50" w:rsidTr="008C77B1">
        <w:trPr>
          <w:trHeight w:val="300"/>
        </w:trPr>
        <w:tc>
          <w:tcPr>
            <w:tcW w:w="567" w:type="dxa"/>
            <w:tcBorders>
              <w:top w:val="nil"/>
              <w:left w:val="single" w:sz="4" w:space="0" w:color="auto"/>
              <w:bottom w:val="single" w:sz="4" w:space="0" w:color="auto"/>
              <w:right w:val="single" w:sz="4" w:space="0" w:color="auto"/>
            </w:tcBorders>
          </w:tcPr>
          <w:p w:rsidR="00B27661" w:rsidRPr="00686C50" w:rsidRDefault="00B27661" w:rsidP="008C77B1">
            <w:pPr>
              <w:spacing w:after="0" w:line="240" w:lineRule="auto"/>
              <w:ind w:right="-1"/>
              <w:rPr>
                <w:rFonts w:eastAsia="Times New Roman"/>
                <w:sz w:val="20"/>
                <w:szCs w:val="20"/>
              </w:rPr>
            </w:pPr>
          </w:p>
        </w:tc>
        <w:tc>
          <w:tcPr>
            <w:tcW w:w="2363" w:type="dxa"/>
            <w:tcBorders>
              <w:top w:val="nil"/>
              <w:left w:val="single" w:sz="4" w:space="0" w:color="auto"/>
              <w:bottom w:val="single" w:sz="4" w:space="0" w:color="auto"/>
              <w:right w:val="single" w:sz="4" w:space="0" w:color="auto"/>
            </w:tcBorders>
            <w:shd w:val="clear" w:color="auto" w:fill="auto"/>
            <w:vAlign w:val="bottom"/>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Всего по муниципал</w:t>
            </w:r>
            <w:r w:rsidRPr="00686C50">
              <w:rPr>
                <w:rFonts w:eastAsia="Times New Roman"/>
                <w:sz w:val="20"/>
                <w:szCs w:val="20"/>
              </w:rPr>
              <w:t>ь</w:t>
            </w:r>
            <w:r w:rsidRPr="00686C50">
              <w:rPr>
                <w:rFonts w:eastAsia="Times New Roman"/>
                <w:sz w:val="20"/>
                <w:szCs w:val="20"/>
              </w:rPr>
              <w:t>ной программе, в том числе:</w:t>
            </w:r>
          </w:p>
        </w:tc>
        <w:tc>
          <w:tcPr>
            <w:tcW w:w="1440" w:type="dxa"/>
            <w:tcBorders>
              <w:top w:val="nil"/>
              <w:left w:val="nil"/>
              <w:bottom w:val="single" w:sz="4" w:space="0" w:color="auto"/>
              <w:right w:val="single" w:sz="4" w:space="0" w:color="auto"/>
            </w:tcBorders>
            <w:shd w:val="clear" w:color="auto" w:fill="auto"/>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154 253,5</w:t>
            </w:r>
          </w:p>
        </w:tc>
        <w:tc>
          <w:tcPr>
            <w:tcW w:w="1721" w:type="dxa"/>
            <w:tcBorders>
              <w:top w:val="nil"/>
              <w:left w:val="nil"/>
              <w:bottom w:val="single" w:sz="4" w:space="0" w:color="auto"/>
              <w:right w:val="single" w:sz="4" w:space="0" w:color="auto"/>
            </w:tcBorders>
            <w:shd w:val="clear" w:color="auto" w:fill="auto"/>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215 176,0</w:t>
            </w:r>
          </w:p>
        </w:tc>
        <w:tc>
          <w:tcPr>
            <w:tcW w:w="1679" w:type="dxa"/>
            <w:tcBorders>
              <w:top w:val="nil"/>
              <w:left w:val="nil"/>
              <w:bottom w:val="single" w:sz="4" w:space="0" w:color="auto"/>
              <w:right w:val="single" w:sz="4" w:space="0" w:color="auto"/>
            </w:tcBorders>
            <w:shd w:val="clear" w:color="auto" w:fill="auto"/>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213 963,1</w:t>
            </w:r>
          </w:p>
        </w:tc>
        <w:tc>
          <w:tcPr>
            <w:tcW w:w="1444" w:type="dxa"/>
            <w:tcBorders>
              <w:top w:val="nil"/>
              <w:left w:val="nil"/>
              <w:bottom w:val="single" w:sz="4" w:space="0" w:color="auto"/>
              <w:right w:val="single" w:sz="4" w:space="0" w:color="auto"/>
            </w:tcBorders>
            <w:shd w:val="clear" w:color="auto" w:fill="auto"/>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99,4</w:t>
            </w:r>
            <w:r w:rsidRPr="00686C50">
              <w:rPr>
                <w:sz w:val="20"/>
                <w:szCs w:val="20"/>
              </w:rPr>
              <w:t>%</w:t>
            </w:r>
          </w:p>
        </w:tc>
      </w:tr>
      <w:tr w:rsidR="00B27661" w:rsidRPr="00686C50" w:rsidTr="008C77B1">
        <w:trPr>
          <w:trHeight w:val="568"/>
        </w:trPr>
        <w:tc>
          <w:tcPr>
            <w:tcW w:w="567" w:type="dxa"/>
            <w:tcBorders>
              <w:top w:val="nil"/>
              <w:left w:val="single" w:sz="4" w:space="0" w:color="auto"/>
              <w:bottom w:val="single" w:sz="4" w:space="0" w:color="auto"/>
              <w:right w:val="single" w:sz="4" w:space="0" w:color="auto"/>
            </w:tcBorders>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1</w:t>
            </w:r>
          </w:p>
        </w:tc>
        <w:tc>
          <w:tcPr>
            <w:tcW w:w="2363" w:type="dxa"/>
            <w:tcBorders>
              <w:top w:val="nil"/>
              <w:left w:val="single" w:sz="4" w:space="0" w:color="auto"/>
              <w:bottom w:val="single" w:sz="4" w:space="0" w:color="auto"/>
              <w:right w:val="single" w:sz="4" w:space="0" w:color="auto"/>
            </w:tcBorders>
            <w:shd w:val="clear" w:color="auto" w:fill="auto"/>
            <w:vAlign w:val="center"/>
          </w:tcPr>
          <w:p w:rsidR="00B27661" w:rsidRPr="00686C50" w:rsidRDefault="00B27661" w:rsidP="008C77B1">
            <w:pPr>
              <w:spacing w:after="0" w:line="240" w:lineRule="auto"/>
              <w:ind w:right="-1"/>
              <w:jc w:val="left"/>
              <w:rPr>
                <w:rFonts w:eastAsia="Times New Roman"/>
                <w:bCs/>
                <w:sz w:val="20"/>
                <w:szCs w:val="20"/>
              </w:rPr>
            </w:pPr>
            <w:r w:rsidRPr="00686C50">
              <w:rPr>
                <w:rFonts w:eastAsia="Times New Roman"/>
                <w:bCs/>
                <w:sz w:val="20"/>
                <w:szCs w:val="20"/>
              </w:rPr>
              <w:t>Департамент муниц</w:t>
            </w:r>
            <w:r w:rsidRPr="00686C50">
              <w:rPr>
                <w:rFonts w:eastAsia="Times New Roman"/>
                <w:bCs/>
                <w:sz w:val="20"/>
                <w:szCs w:val="20"/>
              </w:rPr>
              <w:t>и</w:t>
            </w:r>
            <w:r w:rsidRPr="00686C50">
              <w:rPr>
                <w:rFonts w:eastAsia="Times New Roman"/>
                <w:bCs/>
                <w:sz w:val="20"/>
                <w:szCs w:val="20"/>
              </w:rPr>
              <w:t>пальной собственности Администрации города Ханты-Мансийска</w:t>
            </w:r>
          </w:p>
        </w:tc>
        <w:tc>
          <w:tcPr>
            <w:tcW w:w="1440"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bCs/>
                <w:sz w:val="20"/>
                <w:szCs w:val="20"/>
              </w:rPr>
            </w:pPr>
            <w:r w:rsidRPr="00686C50">
              <w:rPr>
                <w:rFonts w:eastAsia="Times New Roman"/>
                <w:bCs/>
                <w:sz w:val="20"/>
                <w:szCs w:val="20"/>
              </w:rPr>
              <w:t>100 256,0</w:t>
            </w:r>
          </w:p>
        </w:tc>
        <w:tc>
          <w:tcPr>
            <w:tcW w:w="1721"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146 393,1</w:t>
            </w:r>
          </w:p>
        </w:tc>
        <w:tc>
          <w:tcPr>
            <w:tcW w:w="1679"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146 072,5</w:t>
            </w:r>
          </w:p>
        </w:tc>
        <w:tc>
          <w:tcPr>
            <w:tcW w:w="1444"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99,8</w:t>
            </w:r>
            <w:r w:rsidRPr="00686C50">
              <w:rPr>
                <w:sz w:val="20"/>
                <w:szCs w:val="20"/>
              </w:rPr>
              <w:t>%</w:t>
            </w:r>
          </w:p>
        </w:tc>
      </w:tr>
      <w:tr w:rsidR="00B27661" w:rsidRPr="00686C50" w:rsidTr="008C77B1">
        <w:trPr>
          <w:trHeight w:val="568"/>
        </w:trPr>
        <w:tc>
          <w:tcPr>
            <w:tcW w:w="567" w:type="dxa"/>
            <w:tcBorders>
              <w:top w:val="nil"/>
              <w:left w:val="single" w:sz="4" w:space="0" w:color="auto"/>
              <w:bottom w:val="single" w:sz="4" w:space="0" w:color="auto"/>
              <w:right w:val="single" w:sz="4" w:space="0" w:color="auto"/>
            </w:tcBorders>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w:t>
            </w:r>
          </w:p>
        </w:tc>
        <w:tc>
          <w:tcPr>
            <w:tcW w:w="2363" w:type="dxa"/>
            <w:tcBorders>
              <w:top w:val="nil"/>
              <w:left w:val="single" w:sz="4" w:space="0" w:color="auto"/>
              <w:bottom w:val="single" w:sz="4" w:space="0" w:color="auto"/>
              <w:right w:val="single" w:sz="4" w:space="0" w:color="auto"/>
            </w:tcBorders>
            <w:shd w:val="clear" w:color="auto" w:fill="auto"/>
            <w:vAlign w:val="center"/>
          </w:tcPr>
          <w:p w:rsidR="00B27661" w:rsidRPr="00686C50" w:rsidRDefault="00B27661" w:rsidP="008C77B1">
            <w:pPr>
              <w:spacing w:after="0" w:line="240" w:lineRule="auto"/>
              <w:ind w:right="-1"/>
              <w:jc w:val="left"/>
              <w:rPr>
                <w:rFonts w:eastAsia="Times New Roman"/>
                <w:bCs/>
                <w:sz w:val="20"/>
                <w:szCs w:val="20"/>
              </w:rPr>
            </w:pPr>
            <w:r w:rsidRPr="00686C50">
              <w:rPr>
                <w:rFonts w:eastAsia="Times New Roman"/>
                <w:bCs/>
                <w:sz w:val="20"/>
                <w:szCs w:val="20"/>
              </w:rPr>
              <w:t>МКУ «Дирекция по с</w:t>
            </w:r>
            <w:r w:rsidRPr="00686C50">
              <w:rPr>
                <w:rFonts w:eastAsia="Times New Roman"/>
                <w:bCs/>
                <w:sz w:val="20"/>
                <w:szCs w:val="20"/>
              </w:rPr>
              <w:t>о</w:t>
            </w:r>
            <w:r w:rsidRPr="00686C50">
              <w:rPr>
                <w:rFonts w:eastAsia="Times New Roman"/>
                <w:bCs/>
                <w:sz w:val="20"/>
                <w:szCs w:val="20"/>
              </w:rPr>
              <w:t>держанию имущества казны»</w:t>
            </w:r>
          </w:p>
        </w:tc>
        <w:tc>
          <w:tcPr>
            <w:tcW w:w="1440"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bCs/>
                <w:sz w:val="20"/>
                <w:szCs w:val="20"/>
              </w:rPr>
            </w:pPr>
            <w:r w:rsidRPr="00686C50">
              <w:rPr>
                <w:rFonts w:eastAsia="Times New Roman"/>
                <w:bCs/>
                <w:sz w:val="20"/>
                <w:szCs w:val="20"/>
              </w:rPr>
              <w:t>53 997,5</w:t>
            </w:r>
          </w:p>
        </w:tc>
        <w:tc>
          <w:tcPr>
            <w:tcW w:w="1721"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68 782,9</w:t>
            </w:r>
          </w:p>
        </w:tc>
        <w:tc>
          <w:tcPr>
            <w:tcW w:w="1679"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67 890,6</w:t>
            </w:r>
          </w:p>
        </w:tc>
        <w:tc>
          <w:tcPr>
            <w:tcW w:w="1444" w:type="dxa"/>
            <w:tcBorders>
              <w:top w:val="nil"/>
              <w:left w:val="nil"/>
              <w:bottom w:val="single" w:sz="4" w:space="0" w:color="auto"/>
              <w:right w:val="single" w:sz="4" w:space="0" w:color="auto"/>
            </w:tcBorders>
            <w:shd w:val="clear" w:color="auto" w:fill="auto"/>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98,7</w:t>
            </w:r>
            <w:r w:rsidRPr="00686C50">
              <w:rPr>
                <w:sz w:val="20"/>
                <w:szCs w:val="20"/>
              </w:rPr>
              <w:t>%</w:t>
            </w:r>
          </w:p>
        </w:tc>
      </w:tr>
    </w:tbl>
    <w:p w:rsidR="00B27661" w:rsidRDefault="00B27661" w:rsidP="008C77B1">
      <w:pPr>
        <w:pStyle w:val="ConsPlusTitle"/>
        <w:spacing w:line="276" w:lineRule="auto"/>
        <w:ind w:right="-1" w:firstLine="708"/>
        <w:jc w:val="both"/>
        <w:rPr>
          <w:rFonts w:ascii="Times New Roman" w:hAnsi="Times New Roman" w:cs="Times New Roman"/>
          <w:b w:val="0"/>
          <w:bCs w:val="0"/>
        </w:rPr>
      </w:pPr>
    </w:p>
    <w:p w:rsidR="008C77B1" w:rsidRDefault="008C77B1" w:rsidP="008C77B1">
      <w:pPr>
        <w:pStyle w:val="ConsPlusTitle"/>
        <w:spacing w:line="276" w:lineRule="auto"/>
        <w:ind w:right="-1" w:firstLine="708"/>
        <w:jc w:val="both"/>
        <w:rPr>
          <w:rFonts w:ascii="Times New Roman" w:hAnsi="Times New Roman" w:cs="Times New Roman"/>
          <w:b w:val="0"/>
          <w:bCs w:val="0"/>
        </w:rPr>
      </w:pPr>
    </w:p>
    <w:p w:rsidR="00B27661" w:rsidRPr="00686C50" w:rsidRDefault="00B27661" w:rsidP="008C77B1">
      <w:pPr>
        <w:pStyle w:val="ConsPlusTitle"/>
        <w:spacing w:after="240" w:line="276" w:lineRule="auto"/>
        <w:ind w:right="-1" w:firstLine="708"/>
        <w:jc w:val="right"/>
        <w:rPr>
          <w:rFonts w:ascii="Times New Roman" w:hAnsi="Times New Roman" w:cs="Times New Roman"/>
          <w:b w:val="0"/>
          <w:bCs w:val="0"/>
          <w:sz w:val="24"/>
          <w:szCs w:val="24"/>
        </w:rPr>
      </w:pPr>
      <w:r w:rsidRPr="00686C50">
        <w:rPr>
          <w:rFonts w:ascii="Times New Roman" w:hAnsi="Times New Roman" w:cs="Times New Roman"/>
          <w:b w:val="0"/>
          <w:bCs w:val="0"/>
          <w:sz w:val="24"/>
          <w:szCs w:val="24"/>
        </w:rPr>
        <w:t>Рисунок 3.9.2.</w:t>
      </w:r>
    </w:p>
    <w:p w:rsidR="00B27661" w:rsidRPr="00BD58F5" w:rsidRDefault="00B27661" w:rsidP="008C77B1">
      <w:pPr>
        <w:tabs>
          <w:tab w:val="left" w:pos="459"/>
        </w:tabs>
        <w:suppressAutoHyphens/>
        <w:spacing w:after="0"/>
        <w:ind w:right="-1"/>
        <w:jc w:val="center"/>
        <w:rPr>
          <w:rFonts w:eastAsia="Arial Unicode MS"/>
          <w:b/>
          <w:sz w:val="28"/>
          <w:szCs w:val="28"/>
        </w:rPr>
      </w:pPr>
      <w:r w:rsidRPr="00BD58F5">
        <w:rPr>
          <w:b/>
          <w:sz w:val="28"/>
          <w:szCs w:val="28"/>
        </w:rPr>
        <w:t xml:space="preserve">Структура расходов муниципальной программы </w:t>
      </w:r>
      <w:r w:rsidRPr="00BD58F5">
        <w:rPr>
          <w:rFonts w:eastAsia="Arial Unicode MS"/>
          <w:b/>
          <w:sz w:val="28"/>
          <w:szCs w:val="28"/>
        </w:rPr>
        <w:t>«Основные направления развития в области управления и распоряжения муниципальной собственностью города Ханты-Мансийска», тыс. рублей</w:t>
      </w:r>
    </w:p>
    <w:p w:rsidR="00B27661" w:rsidRPr="00367DFB" w:rsidRDefault="00B27661" w:rsidP="008C77B1">
      <w:pPr>
        <w:tabs>
          <w:tab w:val="left" w:pos="459"/>
        </w:tabs>
        <w:suppressAutoHyphens/>
        <w:spacing w:after="0"/>
        <w:ind w:right="-1"/>
        <w:jc w:val="center"/>
        <w:rPr>
          <w:rFonts w:eastAsia="Arial Unicode MS"/>
          <w:b/>
          <w:sz w:val="28"/>
          <w:szCs w:val="28"/>
        </w:rPr>
      </w:pPr>
      <w:r w:rsidRPr="0095275D">
        <w:rPr>
          <w:rFonts w:eastAsia="Arial Unicode MS"/>
          <w:b/>
          <w:noProof/>
          <w:sz w:val="28"/>
          <w:szCs w:val="28"/>
        </w:rPr>
        <w:drawing>
          <wp:inline distT="0" distB="0" distL="0" distR="0">
            <wp:extent cx="5629524" cy="3864334"/>
            <wp:effectExtent l="0" t="0" r="0" b="0"/>
            <wp:docPr id="3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7661" w:rsidRPr="0061449E" w:rsidRDefault="00B27661" w:rsidP="008C77B1">
      <w:pPr>
        <w:ind w:right="-1"/>
        <w:rPr>
          <w:sz w:val="24"/>
          <w:szCs w:val="24"/>
        </w:rPr>
      </w:pPr>
      <w:r w:rsidRPr="0061449E">
        <w:rPr>
          <w:sz w:val="24"/>
          <w:szCs w:val="24"/>
        </w:rPr>
        <w:lastRenderedPageBreak/>
        <w:t>Таблица 3.9.3.</w:t>
      </w:r>
    </w:p>
    <w:p w:rsidR="00BD58F5" w:rsidRDefault="00B27661" w:rsidP="008C77B1">
      <w:pPr>
        <w:tabs>
          <w:tab w:val="left" w:pos="459"/>
        </w:tabs>
        <w:suppressAutoHyphens/>
        <w:spacing w:after="0"/>
        <w:ind w:right="-1"/>
        <w:jc w:val="center"/>
        <w:rPr>
          <w:rFonts w:eastAsia="Arial Unicode MS"/>
          <w:b/>
          <w:sz w:val="28"/>
          <w:szCs w:val="28"/>
        </w:rPr>
      </w:pPr>
      <w:r w:rsidRPr="00BD58F5">
        <w:rPr>
          <w:b/>
          <w:sz w:val="28"/>
          <w:szCs w:val="28"/>
        </w:rPr>
        <w:t xml:space="preserve">Структура расходов муниципальной программы </w:t>
      </w:r>
      <w:r w:rsidRPr="00BD58F5">
        <w:rPr>
          <w:rFonts w:eastAsia="Arial Unicode MS"/>
          <w:b/>
          <w:sz w:val="28"/>
          <w:szCs w:val="28"/>
        </w:rPr>
        <w:t>«Основные направления развития в области управления и распоряжения муниципальной собственностью города Ханты-Ман</w:t>
      </w:r>
      <w:r w:rsidR="00BD58F5">
        <w:rPr>
          <w:rFonts w:eastAsia="Arial Unicode MS"/>
          <w:b/>
          <w:sz w:val="28"/>
          <w:szCs w:val="28"/>
        </w:rPr>
        <w:t xml:space="preserve">сийска на 2016-2020 годы» </w:t>
      </w:r>
    </w:p>
    <w:p w:rsidR="00B27661" w:rsidRPr="00686C50" w:rsidRDefault="00B27661" w:rsidP="008C77B1">
      <w:pPr>
        <w:tabs>
          <w:tab w:val="left" w:pos="459"/>
        </w:tabs>
        <w:suppressAutoHyphens/>
        <w:spacing w:after="0"/>
        <w:ind w:right="-1"/>
      </w:pPr>
      <w:r w:rsidRPr="00686C50">
        <w:t xml:space="preserve"> (тыс. рублей) </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467"/>
        <w:gridCol w:w="1540"/>
        <w:gridCol w:w="1387"/>
        <w:gridCol w:w="1550"/>
      </w:tblGrid>
      <w:tr w:rsidR="00B27661" w:rsidRPr="00686C50" w:rsidTr="00B27661">
        <w:trPr>
          <w:trHeight w:val="300"/>
          <w:tblHeader/>
        </w:trPr>
        <w:tc>
          <w:tcPr>
            <w:tcW w:w="3402" w:type="dxa"/>
            <w:vMerge w:val="restart"/>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Наименование муниципальной пр</w:t>
            </w:r>
            <w:r w:rsidRPr="00686C50">
              <w:rPr>
                <w:rFonts w:eastAsia="Times New Roman"/>
                <w:sz w:val="20"/>
                <w:szCs w:val="20"/>
              </w:rPr>
              <w:t>о</w:t>
            </w:r>
            <w:r w:rsidRPr="00686C50">
              <w:rPr>
                <w:rFonts w:eastAsia="Times New Roman"/>
                <w:sz w:val="20"/>
                <w:szCs w:val="20"/>
              </w:rPr>
              <w:t>граммы, подпрограммы муниц</w:t>
            </w:r>
            <w:r w:rsidRPr="00686C50">
              <w:rPr>
                <w:rFonts w:eastAsia="Times New Roman"/>
                <w:sz w:val="20"/>
                <w:szCs w:val="20"/>
              </w:rPr>
              <w:t>и</w:t>
            </w:r>
            <w:r w:rsidRPr="00686C50">
              <w:rPr>
                <w:rFonts w:eastAsia="Times New Roman"/>
                <w:sz w:val="20"/>
                <w:szCs w:val="20"/>
              </w:rPr>
              <w:t>пальной программы, мероприятия муниципальной программы</w:t>
            </w:r>
          </w:p>
        </w:tc>
        <w:tc>
          <w:tcPr>
            <w:tcW w:w="1467" w:type="dxa"/>
            <w:vMerge w:val="restart"/>
            <w:noWrap/>
            <w:hideMark/>
          </w:tcPr>
          <w:p w:rsidR="00B27661" w:rsidRPr="00686C50" w:rsidRDefault="00B27661" w:rsidP="008C77B1">
            <w:pPr>
              <w:spacing w:after="0" w:line="240" w:lineRule="auto"/>
              <w:ind w:right="-1"/>
              <w:jc w:val="center"/>
              <w:rPr>
                <w:rFonts w:eastAsia="Times New Roman"/>
                <w:sz w:val="20"/>
                <w:szCs w:val="20"/>
              </w:rPr>
            </w:pPr>
          </w:p>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2017 год (о</w:t>
            </w:r>
            <w:r w:rsidRPr="00686C50">
              <w:rPr>
                <w:rFonts w:eastAsia="Times New Roman"/>
                <w:sz w:val="20"/>
                <w:szCs w:val="20"/>
              </w:rPr>
              <w:t>т</w:t>
            </w:r>
            <w:r w:rsidRPr="00686C50">
              <w:rPr>
                <w:rFonts w:eastAsia="Times New Roman"/>
                <w:sz w:val="20"/>
                <w:szCs w:val="20"/>
              </w:rPr>
              <w:t>чет)</w:t>
            </w:r>
          </w:p>
        </w:tc>
        <w:tc>
          <w:tcPr>
            <w:tcW w:w="4477" w:type="dxa"/>
            <w:gridSpan w:val="3"/>
            <w:noWrap/>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 xml:space="preserve">2018 год </w:t>
            </w:r>
          </w:p>
        </w:tc>
      </w:tr>
      <w:tr w:rsidR="00B27661" w:rsidRPr="00686C50" w:rsidTr="00B27661">
        <w:trPr>
          <w:trHeight w:val="714"/>
          <w:tblHeader/>
        </w:trPr>
        <w:tc>
          <w:tcPr>
            <w:tcW w:w="3402" w:type="dxa"/>
            <w:vMerge/>
            <w:hideMark/>
          </w:tcPr>
          <w:p w:rsidR="00B27661" w:rsidRPr="00686C50" w:rsidRDefault="00B27661" w:rsidP="008C77B1">
            <w:pPr>
              <w:spacing w:after="0" w:line="240" w:lineRule="auto"/>
              <w:ind w:right="-1"/>
              <w:rPr>
                <w:rFonts w:eastAsia="Times New Roman"/>
                <w:sz w:val="20"/>
                <w:szCs w:val="20"/>
              </w:rPr>
            </w:pPr>
          </w:p>
        </w:tc>
        <w:tc>
          <w:tcPr>
            <w:tcW w:w="1467" w:type="dxa"/>
            <w:vMerge/>
            <w:hideMark/>
          </w:tcPr>
          <w:p w:rsidR="00B27661" w:rsidRPr="00686C50" w:rsidRDefault="00B27661" w:rsidP="008C77B1">
            <w:pPr>
              <w:spacing w:after="0" w:line="240" w:lineRule="auto"/>
              <w:ind w:right="-1"/>
              <w:rPr>
                <w:rFonts w:eastAsia="Times New Roman"/>
                <w:sz w:val="20"/>
                <w:szCs w:val="20"/>
              </w:rPr>
            </w:pPr>
          </w:p>
        </w:tc>
        <w:tc>
          <w:tcPr>
            <w:tcW w:w="1540" w:type="dxa"/>
            <w:hideMark/>
          </w:tcPr>
          <w:p w:rsidR="00B27661" w:rsidRPr="00686C50" w:rsidRDefault="00B27661" w:rsidP="008C77B1">
            <w:pPr>
              <w:spacing w:after="0" w:line="240" w:lineRule="auto"/>
              <w:ind w:right="-1"/>
              <w:jc w:val="center"/>
              <w:rPr>
                <w:rFonts w:eastAsia="Times New Roman"/>
                <w:sz w:val="20"/>
                <w:szCs w:val="20"/>
              </w:rPr>
            </w:pPr>
          </w:p>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Уточненный план</w:t>
            </w:r>
          </w:p>
        </w:tc>
        <w:tc>
          <w:tcPr>
            <w:tcW w:w="1387" w:type="dxa"/>
            <w:hideMark/>
          </w:tcPr>
          <w:p w:rsidR="00B27661" w:rsidRPr="00686C50" w:rsidRDefault="00B27661" w:rsidP="008C77B1">
            <w:pPr>
              <w:spacing w:after="0" w:line="240" w:lineRule="auto"/>
              <w:ind w:right="-1"/>
              <w:jc w:val="center"/>
              <w:rPr>
                <w:rFonts w:eastAsia="Times New Roman"/>
                <w:sz w:val="20"/>
                <w:szCs w:val="20"/>
              </w:rPr>
            </w:pPr>
          </w:p>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Исполнение</w:t>
            </w:r>
          </w:p>
        </w:tc>
        <w:tc>
          <w:tcPr>
            <w:tcW w:w="1550" w:type="dxa"/>
            <w:hideMark/>
          </w:tcPr>
          <w:p w:rsidR="00B27661" w:rsidRPr="00686C50" w:rsidRDefault="00B27661" w:rsidP="008C77B1">
            <w:pPr>
              <w:spacing w:after="0" w:line="240" w:lineRule="auto"/>
              <w:ind w:right="-1"/>
              <w:jc w:val="center"/>
              <w:rPr>
                <w:rFonts w:eastAsia="Times New Roman"/>
                <w:sz w:val="20"/>
                <w:szCs w:val="20"/>
              </w:rPr>
            </w:pPr>
          </w:p>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 исполнения</w:t>
            </w:r>
          </w:p>
        </w:tc>
      </w:tr>
      <w:tr w:rsidR="00B27661" w:rsidRPr="00686C50" w:rsidTr="00B27661">
        <w:trPr>
          <w:trHeight w:val="300"/>
        </w:trPr>
        <w:tc>
          <w:tcPr>
            <w:tcW w:w="3402" w:type="dxa"/>
            <w:hideMark/>
          </w:tcPr>
          <w:p w:rsidR="00B27661" w:rsidRPr="00686C50" w:rsidRDefault="00B27661" w:rsidP="008C77B1">
            <w:pPr>
              <w:spacing w:after="0" w:line="240" w:lineRule="auto"/>
              <w:ind w:right="-1"/>
              <w:jc w:val="left"/>
              <w:rPr>
                <w:rFonts w:eastAsia="Times New Roman"/>
                <w:bCs/>
                <w:sz w:val="20"/>
                <w:szCs w:val="20"/>
              </w:rPr>
            </w:pPr>
            <w:r w:rsidRPr="00686C50">
              <w:rPr>
                <w:rFonts w:eastAsia="Times New Roman"/>
                <w:bCs/>
                <w:sz w:val="20"/>
                <w:szCs w:val="20"/>
              </w:rPr>
              <w:t>Всего по муниципальной программе, в том числе:</w:t>
            </w:r>
          </w:p>
        </w:tc>
        <w:tc>
          <w:tcPr>
            <w:tcW w:w="1467" w:type="dxa"/>
            <w:hideMark/>
          </w:tcPr>
          <w:p w:rsidR="00B27661" w:rsidRPr="00686C50" w:rsidRDefault="00B27661" w:rsidP="008C77B1">
            <w:pPr>
              <w:spacing w:after="0" w:line="240" w:lineRule="auto"/>
              <w:ind w:right="-1"/>
              <w:jc w:val="center"/>
              <w:rPr>
                <w:rFonts w:eastAsia="Times New Roman"/>
                <w:bCs/>
                <w:sz w:val="20"/>
                <w:szCs w:val="20"/>
                <w:highlight w:val="yellow"/>
              </w:rPr>
            </w:pPr>
            <w:r w:rsidRPr="00686C50">
              <w:rPr>
                <w:rFonts w:eastAsia="Times New Roman"/>
                <w:sz w:val="20"/>
                <w:szCs w:val="20"/>
              </w:rPr>
              <w:t>154 253,5</w:t>
            </w:r>
          </w:p>
        </w:tc>
        <w:tc>
          <w:tcPr>
            <w:tcW w:w="154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215 176,0</w:t>
            </w:r>
          </w:p>
        </w:tc>
        <w:tc>
          <w:tcPr>
            <w:tcW w:w="1387"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213 963,1</w:t>
            </w:r>
          </w:p>
        </w:tc>
        <w:tc>
          <w:tcPr>
            <w:tcW w:w="155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99,4</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467" w:type="dxa"/>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40" w:type="dxa"/>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387" w:type="dxa"/>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50" w:type="dxa"/>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0</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467" w:type="dxa"/>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40" w:type="dxa"/>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387" w:type="dxa"/>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50" w:type="dxa"/>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0</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467" w:type="dxa"/>
            <w:hideMark/>
          </w:tcPr>
          <w:p w:rsidR="00B27661" w:rsidRPr="00686C50" w:rsidRDefault="00B27661" w:rsidP="008C77B1">
            <w:pPr>
              <w:spacing w:after="0" w:line="240" w:lineRule="auto"/>
              <w:ind w:right="-1"/>
              <w:jc w:val="center"/>
              <w:rPr>
                <w:rFonts w:eastAsia="Times New Roman"/>
                <w:bCs/>
                <w:sz w:val="20"/>
                <w:szCs w:val="20"/>
              </w:rPr>
            </w:pPr>
            <w:r w:rsidRPr="00686C50">
              <w:rPr>
                <w:rFonts w:eastAsia="Times New Roman"/>
                <w:sz w:val="20"/>
                <w:szCs w:val="20"/>
              </w:rPr>
              <w:t>154 253,5</w:t>
            </w:r>
          </w:p>
        </w:tc>
        <w:tc>
          <w:tcPr>
            <w:tcW w:w="154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215 176,0</w:t>
            </w:r>
          </w:p>
        </w:tc>
        <w:tc>
          <w:tcPr>
            <w:tcW w:w="1387"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213 963,1</w:t>
            </w:r>
          </w:p>
        </w:tc>
        <w:tc>
          <w:tcPr>
            <w:tcW w:w="155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99,4</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Основное мероприятие «Организ</w:t>
            </w:r>
            <w:r w:rsidRPr="00686C50">
              <w:rPr>
                <w:rFonts w:eastAsia="Times New Roman"/>
                <w:sz w:val="20"/>
                <w:szCs w:val="20"/>
              </w:rPr>
              <w:t>а</w:t>
            </w:r>
            <w:r w:rsidRPr="00686C50">
              <w:rPr>
                <w:rFonts w:eastAsia="Times New Roman"/>
                <w:sz w:val="20"/>
                <w:szCs w:val="20"/>
              </w:rPr>
              <w:t>ция обеспечения формирования с</w:t>
            </w:r>
            <w:r w:rsidRPr="00686C50">
              <w:rPr>
                <w:rFonts w:eastAsia="Times New Roman"/>
                <w:sz w:val="20"/>
                <w:szCs w:val="20"/>
              </w:rPr>
              <w:t>о</w:t>
            </w:r>
            <w:r w:rsidRPr="00686C50">
              <w:rPr>
                <w:rFonts w:eastAsia="Times New Roman"/>
                <w:sz w:val="20"/>
                <w:szCs w:val="20"/>
              </w:rPr>
              <w:t>става и структуры муниципального имущества, предназначенного для решения вопросов местного знач</w:t>
            </w:r>
            <w:r w:rsidRPr="00686C50">
              <w:rPr>
                <w:rFonts w:eastAsia="Times New Roman"/>
                <w:sz w:val="20"/>
                <w:szCs w:val="20"/>
              </w:rPr>
              <w:t>е</w:t>
            </w:r>
            <w:r w:rsidRPr="00686C50">
              <w:rPr>
                <w:rFonts w:eastAsia="Times New Roman"/>
                <w:sz w:val="20"/>
                <w:szCs w:val="20"/>
              </w:rPr>
              <w:t xml:space="preserve">ния, совершенствования системы его учета и обеспечения </w:t>
            </w:r>
            <w:proofErr w:type="gramStart"/>
            <w:r w:rsidRPr="00686C50">
              <w:rPr>
                <w:rFonts w:eastAsia="Times New Roman"/>
                <w:sz w:val="20"/>
                <w:szCs w:val="20"/>
              </w:rPr>
              <w:t>контроля за</w:t>
            </w:r>
            <w:proofErr w:type="gramEnd"/>
            <w:r w:rsidRPr="00686C50">
              <w:rPr>
                <w:rFonts w:eastAsia="Times New Roman"/>
                <w:sz w:val="20"/>
                <w:szCs w:val="20"/>
              </w:rPr>
              <w:t xml:space="preserve"> его сохранностью», всего, в том числе:</w:t>
            </w:r>
          </w:p>
        </w:tc>
        <w:tc>
          <w:tcPr>
            <w:tcW w:w="1467"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52 570,5</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113 570,5</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113 374,8</w:t>
            </w:r>
          </w:p>
        </w:tc>
        <w:tc>
          <w:tcPr>
            <w:tcW w:w="155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99,8</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46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5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0</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46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5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0</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467"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52 570,5</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113 570,5</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113 374,8</w:t>
            </w:r>
          </w:p>
        </w:tc>
        <w:tc>
          <w:tcPr>
            <w:tcW w:w="155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99,8</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Основное мероприятие «Организ</w:t>
            </w:r>
            <w:r w:rsidRPr="00686C50">
              <w:rPr>
                <w:rFonts w:eastAsia="Times New Roman"/>
                <w:sz w:val="20"/>
                <w:szCs w:val="20"/>
              </w:rPr>
              <w:t>а</w:t>
            </w:r>
            <w:r w:rsidRPr="00686C50">
              <w:rPr>
                <w:rFonts w:eastAsia="Times New Roman"/>
                <w:sz w:val="20"/>
                <w:szCs w:val="20"/>
              </w:rPr>
              <w:t>ция обеспечения деятельности Д</w:t>
            </w:r>
            <w:r w:rsidRPr="00686C50">
              <w:rPr>
                <w:rFonts w:eastAsia="Times New Roman"/>
                <w:sz w:val="20"/>
                <w:szCs w:val="20"/>
              </w:rPr>
              <w:t>е</w:t>
            </w:r>
            <w:r w:rsidRPr="00686C50">
              <w:rPr>
                <w:rFonts w:eastAsia="Times New Roman"/>
                <w:sz w:val="20"/>
                <w:szCs w:val="20"/>
              </w:rPr>
              <w:t>партамента муниципальной собс</w:t>
            </w:r>
            <w:r w:rsidRPr="00686C50">
              <w:rPr>
                <w:rFonts w:eastAsia="Times New Roman"/>
                <w:sz w:val="20"/>
                <w:szCs w:val="20"/>
              </w:rPr>
              <w:t>т</w:t>
            </w:r>
            <w:r w:rsidRPr="00686C50">
              <w:rPr>
                <w:rFonts w:eastAsia="Times New Roman"/>
                <w:sz w:val="20"/>
                <w:szCs w:val="20"/>
              </w:rPr>
              <w:t>венности и МКУ «Дирекция по с</w:t>
            </w:r>
            <w:r w:rsidRPr="00686C50">
              <w:rPr>
                <w:rFonts w:eastAsia="Times New Roman"/>
                <w:sz w:val="20"/>
                <w:szCs w:val="20"/>
              </w:rPr>
              <w:t>о</w:t>
            </w:r>
            <w:r w:rsidRPr="00686C50">
              <w:rPr>
                <w:rFonts w:eastAsia="Times New Roman"/>
                <w:sz w:val="20"/>
                <w:szCs w:val="20"/>
              </w:rPr>
              <w:t>держанию имущества казны», всего, в том числе:</w:t>
            </w:r>
          </w:p>
        </w:tc>
        <w:tc>
          <w:tcPr>
            <w:tcW w:w="1467"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101 683,0</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101 605,5</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100 588,3</w:t>
            </w:r>
          </w:p>
        </w:tc>
        <w:tc>
          <w:tcPr>
            <w:tcW w:w="155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99</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46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5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0</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46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0,0</w:t>
            </w:r>
          </w:p>
        </w:tc>
        <w:tc>
          <w:tcPr>
            <w:tcW w:w="1550"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0</w:t>
            </w:r>
            <w:r w:rsidRPr="00686C50">
              <w:rPr>
                <w:sz w:val="20"/>
                <w:szCs w:val="20"/>
              </w:rPr>
              <w:t>%</w:t>
            </w:r>
          </w:p>
        </w:tc>
      </w:tr>
      <w:tr w:rsidR="00B27661" w:rsidRPr="00686C50" w:rsidTr="00B27661">
        <w:trPr>
          <w:trHeight w:val="300"/>
        </w:trPr>
        <w:tc>
          <w:tcPr>
            <w:tcW w:w="3402" w:type="dxa"/>
            <w:vAlign w:val="center"/>
            <w:hideMark/>
          </w:tcPr>
          <w:p w:rsidR="00B27661" w:rsidRPr="00686C50" w:rsidRDefault="00B27661" w:rsidP="008C77B1">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467" w:type="dxa"/>
            <w:hideMark/>
          </w:tcPr>
          <w:p w:rsidR="00B27661" w:rsidRPr="00686C50" w:rsidRDefault="00B27661" w:rsidP="008C77B1">
            <w:pPr>
              <w:spacing w:after="0" w:line="240" w:lineRule="auto"/>
              <w:ind w:right="-1"/>
              <w:jc w:val="center"/>
              <w:rPr>
                <w:rFonts w:eastAsia="Times New Roman"/>
                <w:sz w:val="20"/>
                <w:szCs w:val="20"/>
              </w:rPr>
            </w:pPr>
            <w:r w:rsidRPr="00686C50">
              <w:rPr>
                <w:rFonts w:eastAsia="Times New Roman"/>
                <w:sz w:val="20"/>
                <w:szCs w:val="20"/>
              </w:rPr>
              <w:t>101 683,0</w:t>
            </w:r>
          </w:p>
        </w:tc>
        <w:tc>
          <w:tcPr>
            <w:tcW w:w="154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101 605,5</w:t>
            </w:r>
          </w:p>
        </w:tc>
        <w:tc>
          <w:tcPr>
            <w:tcW w:w="1387"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100 588,3</w:t>
            </w:r>
          </w:p>
        </w:tc>
        <w:tc>
          <w:tcPr>
            <w:tcW w:w="1550" w:type="dxa"/>
            <w:hideMark/>
          </w:tcPr>
          <w:p w:rsidR="00B27661" w:rsidRPr="00686C50" w:rsidRDefault="00B27661" w:rsidP="008C77B1">
            <w:pPr>
              <w:spacing w:after="0"/>
              <w:ind w:right="-1"/>
              <w:jc w:val="center"/>
              <w:rPr>
                <w:rFonts w:eastAsia="Times New Roman"/>
                <w:sz w:val="20"/>
                <w:szCs w:val="20"/>
              </w:rPr>
            </w:pPr>
            <w:r w:rsidRPr="00686C50">
              <w:rPr>
                <w:rFonts w:eastAsia="Times New Roman"/>
                <w:sz w:val="20"/>
                <w:szCs w:val="20"/>
              </w:rPr>
              <w:t>99</w:t>
            </w:r>
            <w:r w:rsidRPr="00686C50">
              <w:rPr>
                <w:sz w:val="20"/>
                <w:szCs w:val="20"/>
              </w:rPr>
              <w:t>%</w:t>
            </w:r>
          </w:p>
        </w:tc>
      </w:tr>
    </w:tbl>
    <w:p w:rsidR="00B27661" w:rsidRPr="00686C50" w:rsidRDefault="00B27661" w:rsidP="008C77B1">
      <w:pPr>
        <w:pStyle w:val="af"/>
        <w:spacing w:after="0"/>
        <w:ind w:left="0" w:right="-1" w:firstLine="709"/>
        <w:jc w:val="left"/>
      </w:pPr>
    </w:p>
    <w:p w:rsidR="00B27661" w:rsidRPr="00686C50" w:rsidRDefault="00B27661" w:rsidP="008C77B1">
      <w:pPr>
        <w:pStyle w:val="af"/>
        <w:spacing w:after="0"/>
        <w:ind w:left="0" w:right="-1" w:firstLine="709"/>
        <w:jc w:val="both"/>
        <w:rPr>
          <w:sz w:val="28"/>
          <w:szCs w:val="28"/>
        </w:rPr>
      </w:pPr>
      <w:r w:rsidRPr="00686C50">
        <w:t xml:space="preserve"> </w:t>
      </w:r>
      <w:proofErr w:type="gramStart"/>
      <w:r w:rsidRPr="00686C50">
        <w:rPr>
          <w:sz w:val="28"/>
          <w:szCs w:val="28"/>
        </w:rPr>
        <w:t>Объем средств бюджета города, направленный на реализацию мер</w:t>
      </w:r>
      <w:r w:rsidRPr="00686C50">
        <w:rPr>
          <w:sz w:val="28"/>
          <w:szCs w:val="28"/>
        </w:rPr>
        <w:t>о</w:t>
      </w:r>
      <w:r w:rsidRPr="00686C50">
        <w:rPr>
          <w:sz w:val="28"/>
          <w:szCs w:val="28"/>
        </w:rPr>
        <w:t>приятий  муниципальной программы «Основные направления развития в о</w:t>
      </w:r>
      <w:r w:rsidRPr="00686C50">
        <w:rPr>
          <w:sz w:val="28"/>
          <w:szCs w:val="28"/>
        </w:rPr>
        <w:t>б</w:t>
      </w:r>
      <w:r w:rsidRPr="00686C50">
        <w:rPr>
          <w:sz w:val="28"/>
          <w:szCs w:val="28"/>
        </w:rPr>
        <w:t>ласти управления и распоряжения муниципальной собственностью города Ханты-Мансийска на 2016-2020 годы» по фактическому исполнению за 2018 год по сравнению с фактическим исполнением за 2017 год увеличился на 59 709,6 тыс. рублей или 38,7 %, что связанно с увеличением расходов на изъятие объектов в муниципальную собственность, охрану муниципального</w:t>
      </w:r>
      <w:proofErr w:type="gramEnd"/>
      <w:r w:rsidRPr="00686C50">
        <w:rPr>
          <w:sz w:val="28"/>
          <w:szCs w:val="28"/>
        </w:rPr>
        <w:t xml:space="preserve"> имущества, межевание границ земельных участков, исполнение судебных а</w:t>
      </w:r>
      <w:r w:rsidRPr="00686C50">
        <w:rPr>
          <w:sz w:val="28"/>
          <w:szCs w:val="28"/>
        </w:rPr>
        <w:t>к</w:t>
      </w:r>
      <w:r w:rsidRPr="00686C50">
        <w:rPr>
          <w:sz w:val="28"/>
          <w:szCs w:val="28"/>
        </w:rPr>
        <w:t>тов.</w:t>
      </w:r>
    </w:p>
    <w:p w:rsidR="00B27661" w:rsidRPr="00686C50" w:rsidRDefault="00B27661" w:rsidP="008C77B1">
      <w:pPr>
        <w:pStyle w:val="af"/>
        <w:spacing w:after="0"/>
        <w:ind w:left="0" w:right="-1" w:firstLine="709"/>
        <w:jc w:val="both"/>
        <w:rPr>
          <w:sz w:val="28"/>
          <w:szCs w:val="28"/>
        </w:rPr>
      </w:pPr>
      <w:r w:rsidRPr="00686C50">
        <w:rPr>
          <w:sz w:val="28"/>
          <w:szCs w:val="28"/>
        </w:rPr>
        <w:t>На реализацию основного мероприятия «</w:t>
      </w:r>
      <w:r w:rsidRPr="00686C50">
        <w:rPr>
          <w:bCs/>
          <w:sz w:val="28"/>
          <w:szCs w:val="28"/>
        </w:rPr>
        <w:t>Организация обеспечения формирования состава и структуры муниципального имущества, предназн</w:t>
      </w:r>
      <w:r w:rsidRPr="00686C50">
        <w:rPr>
          <w:bCs/>
          <w:sz w:val="28"/>
          <w:szCs w:val="28"/>
        </w:rPr>
        <w:t>а</w:t>
      </w:r>
      <w:r w:rsidRPr="00686C50">
        <w:rPr>
          <w:bCs/>
          <w:sz w:val="28"/>
          <w:szCs w:val="28"/>
        </w:rPr>
        <w:lastRenderedPageBreak/>
        <w:t>ченного для решения вопросов местного значения, совершенствования си</w:t>
      </w:r>
      <w:r w:rsidRPr="00686C50">
        <w:rPr>
          <w:bCs/>
          <w:sz w:val="28"/>
          <w:szCs w:val="28"/>
        </w:rPr>
        <w:t>с</w:t>
      </w:r>
      <w:r w:rsidRPr="00686C50">
        <w:rPr>
          <w:bCs/>
          <w:sz w:val="28"/>
          <w:szCs w:val="28"/>
        </w:rPr>
        <w:t xml:space="preserve">темы его учета и обеспечения </w:t>
      </w:r>
      <w:proofErr w:type="gramStart"/>
      <w:r w:rsidRPr="00686C50">
        <w:rPr>
          <w:bCs/>
          <w:sz w:val="28"/>
          <w:szCs w:val="28"/>
        </w:rPr>
        <w:t>контроля за</w:t>
      </w:r>
      <w:proofErr w:type="gramEnd"/>
      <w:r w:rsidRPr="00686C50">
        <w:rPr>
          <w:bCs/>
          <w:sz w:val="28"/>
          <w:szCs w:val="28"/>
        </w:rPr>
        <w:t xml:space="preserve"> его сохранностью»</w:t>
      </w:r>
      <w:r w:rsidRPr="00686C50">
        <w:rPr>
          <w:sz w:val="28"/>
          <w:szCs w:val="28"/>
        </w:rPr>
        <w:t xml:space="preserve"> в 2018 году н</w:t>
      </w:r>
      <w:r w:rsidRPr="00686C50">
        <w:rPr>
          <w:sz w:val="28"/>
          <w:szCs w:val="28"/>
        </w:rPr>
        <w:t>а</w:t>
      </w:r>
      <w:r w:rsidRPr="00686C50">
        <w:rPr>
          <w:sz w:val="28"/>
          <w:szCs w:val="28"/>
        </w:rPr>
        <w:t xml:space="preserve">правлено 113 374,8 тыс. рублей, в том числе: </w:t>
      </w:r>
    </w:p>
    <w:p w:rsidR="00B27661" w:rsidRPr="00686C50" w:rsidRDefault="00B27661" w:rsidP="008C77B1">
      <w:pPr>
        <w:pStyle w:val="af"/>
        <w:spacing w:after="0"/>
        <w:ind w:left="0" w:right="-1" w:firstLine="709"/>
        <w:jc w:val="both"/>
        <w:rPr>
          <w:sz w:val="28"/>
          <w:szCs w:val="28"/>
        </w:rPr>
      </w:pPr>
      <w:proofErr w:type="gramStart"/>
      <w:r w:rsidRPr="00686C50">
        <w:rPr>
          <w:sz w:val="28"/>
          <w:szCs w:val="28"/>
        </w:rPr>
        <w:t>- 67 770,5 тыс. рублей на изъятие земельных участков, объектов недв</w:t>
      </w:r>
      <w:r w:rsidRPr="00686C50">
        <w:rPr>
          <w:sz w:val="28"/>
          <w:szCs w:val="28"/>
        </w:rPr>
        <w:t>и</w:t>
      </w:r>
      <w:r w:rsidRPr="00686C50">
        <w:rPr>
          <w:sz w:val="28"/>
          <w:szCs w:val="28"/>
        </w:rPr>
        <w:t xml:space="preserve">жимости, в том числе по адресам: ул. Сирина, д. 56 кв. 5, ул. Ключевая, д. 10 кв. 2, </w:t>
      </w:r>
      <w:proofErr w:type="spellStart"/>
      <w:r w:rsidRPr="00686C50">
        <w:rPr>
          <w:sz w:val="28"/>
          <w:szCs w:val="28"/>
        </w:rPr>
        <w:t>кл</w:t>
      </w:r>
      <w:proofErr w:type="spellEnd"/>
      <w:r w:rsidRPr="00686C50">
        <w:rPr>
          <w:sz w:val="28"/>
          <w:szCs w:val="28"/>
        </w:rPr>
        <w:t>.</w:t>
      </w:r>
      <w:proofErr w:type="gramEnd"/>
      <w:r w:rsidRPr="00686C50">
        <w:rPr>
          <w:sz w:val="28"/>
          <w:szCs w:val="28"/>
        </w:rPr>
        <w:t xml:space="preserve"> </w:t>
      </w:r>
      <w:proofErr w:type="gramStart"/>
      <w:r w:rsidRPr="00686C50">
        <w:rPr>
          <w:sz w:val="28"/>
          <w:szCs w:val="28"/>
        </w:rPr>
        <w:t>Комсомольская, д. 77 кв. 1, Коминтерна, д. 21 кв. 5, ул. Бориса Л</w:t>
      </w:r>
      <w:r w:rsidRPr="00686C50">
        <w:rPr>
          <w:sz w:val="28"/>
          <w:szCs w:val="28"/>
        </w:rPr>
        <w:t>о</w:t>
      </w:r>
      <w:r w:rsidRPr="00686C50">
        <w:rPr>
          <w:sz w:val="28"/>
          <w:szCs w:val="28"/>
        </w:rPr>
        <w:t xml:space="preserve">сева, д.15 кв. 3, ул. Сирина, д. 56 кв. 3, ул. Гагарина, д. 139 кв. 6, ГСК </w:t>
      </w:r>
      <w:proofErr w:type="spellStart"/>
      <w:r w:rsidRPr="00686C50">
        <w:rPr>
          <w:sz w:val="28"/>
          <w:szCs w:val="28"/>
        </w:rPr>
        <w:t>Объ</w:t>
      </w:r>
      <w:proofErr w:type="spellEnd"/>
      <w:r w:rsidRPr="00686C50">
        <w:rPr>
          <w:sz w:val="28"/>
          <w:szCs w:val="28"/>
        </w:rPr>
        <w:t xml:space="preserve"> ряд 7 бокс 40, ГСК </w:t>
      </w:r>
      <w:proofErr w:type="spellStart"/>
      <w:r w:rsidRPr="00686C50">
        <w:rPr>
          <w:sz w:val="28"/>
          <w:szCs w:val="28"/>
        </w:rPr>
        <w:t>Объ</w:t>
      </w:r>
      <w:proofErr w:type="spellEnd"/>
      <w:r w:rsidRPr="00686C50">
        <w:rPr>
          <w:sz w:val="28"/>
          <w:szCs w:val="28"/>
        </w:rPr>
        <w:t xml:space="preserve"> ряд 9 бокс 43, ул. Менделеева, д. 11 кв. 5, ГСК </w:t>
      </w:r>
      <w:proofErr w:type="spellStart"/>
      <w:r w:rsidRPr="00686C50">
        <w:rPr>
          <w:sz w:val="28"/>
          <w:szCs w:val="28"/>
        </w:rPr>
        <w:t>Объ</w:t>
      </w:r>
      <w:proofErr w:type="spellEnd"/>
      <w:r w:rsidRPr="00686C50">
        <w:rPr>
          <w:sz w:val="28"/>
          <w:szCs w:val="28"/>
        </w:rPr>
        <w:t xml:space="preserve"> ряд 6 бокс 37, ул. Свердлова, д. 5 кв. 6, ул</w:t>
      </w:r>
      <w:proofErr w:type="gramEnd"/>
      <w:r w:rsidRPr="00686C50">
        <w:rPr>
          <w:sz w:val="28"/>
          <w:szCs w:val="28"/>
        </w:rPr>
        <w:t xml:space="preserve">. </w:t>
      </w:r>
      <w:proofErr w:type="gramStart"/>
      <w:r w:rsidRPr="00686C50">
        <w:rPr>
          <w:sz w:val="28"/>
          <w:szCs w:val="28"/>
        </w:rPr>
        <w:t>Гагарина, д. 122 кв. 9, ул. Гагар</w:t>
      </w:r>
      <w:r w:rsidRPr="00686C50">
        <w:rPr>
          <w:sz w:val="28"/>
          <w:szCs w:val="28"/>
        </w:rPr>
        <w:t>и</w:t>
      </w:r>
      <w:r w:rsidRPr="00686C50">
        <w:rPr>
          <w:sz w:val="28"/>
          <w:szCs w:val="28"/>
        </w:rPr>
        <w:t>на, д. 137 кв. 8,  ул. Гагарина, д. 133 кв. 1, ул. Заречная, д.10 кв.4, ул. Гагар</w:t>
      </w:r>
      <w:r w:rsidRPr="00686C50">
        <w:rPr>
          <w:sz w:val="28"/>
          <w:szCs w:val="28"/>
        </w:rPr>
        <w:t>и</w:t>
      </w:r>
      <w:r w:rsidRPr="00686C50">
        <w:rPr>
          <w:sz w:val="28"/>
          <w:szCs w:val="28"/>
        </w:rPr>
        <w:t>на, д. 194 кв. 6, ул. Гагарина, д. 194 кв. 18, Коминтерна, д. 19 кв. 6, ул. Луг</w:t>
      </w:r>
      <w:r w:rsidRPr="00686C50">
        <w:rPr>
          <w:sz w:val="28"/>
          <w:szCs w:val="28"/>
        </w:rPr>
        <w:t>о</w:t>
      </w:r>
      <w:r w:rsidRPr="00686C50">
        <w:rPr>
          <w:sz w:val="28"/>
          <w:szCs w:val="28"/>
        </w:rPr>
        <w:t>вая д. 11 кв.4 ком. 6, ул. Гагарина, д. 209 кв. 7, ул. Никифорова, д. 4 кв. 1</w:t>
      </w:r>
      <w:proofErr w:type="gramEnd"/>
      <w:r w:rsidRPr="00686C50">
        <w:rPr>
          <w:sz w:val="28"/>
          <w:szCs w:val="28"/>
        </w:rPr>
        <w:t xml:space="preserve">,  </w:t>
      </w:r>
      <w:proofErr w:type="gramStart"/>
      <w:r w:rsidRPr="00686C50">
        <w:rPr>
          <w:sz w:val="28"/>
          <w:szCs w:val="28"/>
        </w:rPr>
        <w:t>ул. Гагарина, д. 202 кв. 4, ул. Промышленная, д. 6, ул. Свердлова, д. 5 кв. 8, ул. Гагарина, д. 198, ул. Ключевая, д. 12, ул. Луговая, д. 13 кв.1 ком. 8, Коми</w:t>
      </w:r>
      <w:r w:rsidRPr="00686C50">
        <w:rPr>
          <w:sz w:val="28"/>
          <w:szCs w:val="28"/>
        </w:rPr>
        <w:t>н</w:t>
      </w:r>
      <w:r w:rsidRPr="00686C50">
        <w:rPr>
          <w:sz w:val="28"/>
          <w:szCs w:val="28"/>
        </w:rPr>
        <w:t>терна, д. 19 кв. 3, ул. Чехова, д. 74 кв. 5, ул. Менделеева, д. 11 кв. 9, ул. Ос</w:t>
      </w:r>
      <w:r w:rsidRPr="00686C50">
        <w:rPr>
          <w:sz w:val="28"/>
          <w:szCs w:val="28"/>
        </w:rPr>
        <w:t>т</w:t>
      </w:r>
      <w:r w:rsidRPr="00686C50">
        <w:rPr>
          <w:sz w:val="28"/>
          <w:szCs w:val="28"/>
        </w:rPr>
        <w:t>ровского, д.5 кв.3;</w:t>
      </w:r>
      <w:proofErr w:type="gramEnd"/>
    </w:p>
    <w:p w:rsidR="00B27661" w:rsidRPr="00686C50" w:rsidRDefault="00B27661" w:rsidP="008C77B1">
      <w:pPr>
        <w:pStyle w:val="af"/>
        <w:spacing w:after="0"/>
        <w:ind w:left="0" w:right="-1" w:firstLine="709"/>
        <w:jc w:val="both"/>
        <w:rPr>
          <w:sz w:val="28"/>
          <w:szCs w:val="28"/>
        </w:rPr>
      </w:pPr>
      <w:r w:rsidRPr="00686C50">
        <w:rPr>
          <w:sz w:val="28"/>
          <w:szCs w:val="28"/>
        </w:rPr>
        <w:t>- 2 077,9 тыс. рублей на межевание границ земельных участков;</w:t>
      </w:r>
    </w:p>
    <w:p w:rsidR="00B27661" w:rsidRPr="00686C50" w:rsidRDefault="00B27661" w:rsidP="008C77B1">
      <w:pPr>
        <w:pStyle w:val="af"/>
        <w:spacing w:after="0"/>
        <w:ind w:left="0" w:right="-1" w:firstLine="709"/>
        <w:jc w:val="both"/>
        <w:rPr>
          <w:sz w:val="28"/>
          <w:szCs w:val="28"/>
        </w:rPr>
      </w:pPr>
      <w:r w:rsidRPr="00686C50">
        <w:rPr>
          <w:sz w:val="28"/>
          <w:szCs w:val="28"/>
        </w:rPr>
        <w:t>- на содержание жилых помещений, не обремененных правами третьих лиц в том числе: содержание общего имущества, коммунальные платежи п</w:t>
      </w:r>
      <w:r w:rsidRPr="00686C50">
        <w:rPr>
          <w:sz w:val="28"/>
          <w:szCs w:val="28"/>
        </w:rPr>
        <w:t>е</w:t>
      </w:r>
      <w:r w:rsidRPr="00686C50">
        <w:rPr>
          <w:sz w:val="28"/>
          <w:szCs w:val="28"/>
        </w:rPr>
        <w:t xml:space="preserve">речислено управляющим компаниям: </w:t>
      </w:r>
      <w:proofErr w:type="gramStart"/>
      <w:r w:rsidRPr="00686C50">
        <w:rPr>
          <w:sz w:val="28"/>
          <w:szCs w:val="28"/>
        </w:rPr>
        <w:t xml:space="preserve">МП «ЖКУ», ООО «Чистый Дом», ООО «Новый город», ООО «Иртыш плюс», МП «ГЭС», ОАО «УТС» в сумме 15 543,4 тыс. рублей; </w:t>
      </w:r>
      <w:proofErr w:type="gramEnd"/>
    </w:p>
    <w:p w:rsidR="00B27661" w:rsidRPr="00686C50" w:rsidRDefault="00B27661" w:rsidP="008C77B1">
      <w:pPr>
        <w:pStyle w:val="af"/>
        <w:spacing w:after="0"/>
        <w:ind w:left="0" w:right="-1" w:firstLine="709"/>
        <w:jc w:val="both"/>
        <w:rPr>
          <w:sz w:val="28"/>
          <w:szCs w:val="28"/>
        </w:rPr>
      </w:pPr>
      <w:r w:rsidRPr="00686C50">
        <w:rPr>
          <w:sz w:val="28"/>
          <w:szCs w:val="28"/>
        </w:rPr>
        <w:t>- на возмещение арендаторам муниципального имущества затрат по с</w:t>
      </w:r>
      <w:r w:rsidRPr="00686C50">
        <w:rPr>
          <w:sz w:val="28"/>
          <w:szCs w:val="28"/>
        </w:rPr>
        <w:t>о</w:t>
      </w:r>
      <w:r w:rsidRPr="00686C50">
        <w:rPr>
          <w:sz w:val="28"/>
          <w:szCs w:val="28"/>
        </w:rPr>
        <w:t>держанию и эксплуатации инженерных систем, конструктивных элементов зданий, находящихся в муниципальной собственности, и прилегающих те</w:t>
      </w:r>
      <w:r w:rsidRPr="00686C50">
        <w:rPr>
          <w:sz w:val="28"/>
          <w:szCs w:val="28"/>
        </w:rPr>
        <w:t>р</w:t>
      </w:r>
      <w:r w:rsidRPr="00686C50">
        <w:rPr>
          <w:sz w:val="28"/>
          <w:szCs w:val="28"/>
        </w:rPr>
        <w:t>риторий (возмещение арендаторам муниципального имущества расходов за неотделимые улучшения арендованного муниципального имущества) -          10 118,8 тыс. рублей;</w:t>
      </w:r>
    </w:p>
    <w:p w:rsidR="00B27661" w:rsidRPr="00686C50" w:rsidRDefault="00B27661" w:rsidP="008C77B1">
      <w:pPr>
        <w:pStyle w:val="af"/>
        <w:spacing w:after="0"/>
        <w:ind w:left="0" w:right="-1" w:firstLine="709"/>
        <w:jc w:val="both"/>
        <w:rPr>
          <w:sz w:val="28"/>
          <w:szCs w:val="28"/>
        </w:rPr>
      </w:pPr>
      <w:r w:rsidRPr="00686C50">
        <w:rPr>
          <w:sz w:val="28"/>
          <w:szCs w:val="28"/>
        </w:rPr>
        <w:t>- 3 154,4 тыс. рублей на инженерное и техническое обследование ж</w:t>
      </w:r>
      <w:r w:rsidRPr="00686C50">
        <w:rPr>
          <w:sz w:val="28"/>
          <w:szCs w:val="28"/>
        </w:rPr>
        <w:t>и</w:t>
      </w:r>
      <w:r w:rsidRPr="00686C50">
        <w:rPr>
          <w:sz w:val="28"/>
          <w:szCs w:val="28"/>
        </w:rPr>
        <w:t>лых домов, зданий и сооружений в целях признания их аварийными и подл</w:t>
      </w:r>
      <w:r w:rsidRPr="00686C50">
        <w:rPr>
          <w:sz w:val="28"/>
          <w:szCs w:val="28"/>
        </w:rPr>
        <w:t>е</w:t>
      </w:r>
      <w:r w:rsidRPr="00686C50">
        <w:rPr>
          <w:sz w:val="28"/>
          <w:szCs w:val="28"/>
        </w:rPr>
        <w:t>жащими сносу, на экспертизу приобретаемых в муниципальную собстве</w:t>
      </w:r>
      <w:r w:rsidRPr="00686C50">
        <w:rPr>
          <w:sz w:val="28"/>
          <w:szCs w:val="28"/>
        </w:rPr>
        <w:t>н</w:t>
      </w:r>
      <w:r w:rsidRPr="00686C50">
        <w:rPr>
          <w:sz w:val="28"/>
          <w:szCs w:val="28"/>
        </w:rPr>
        <w:t>ность жилых помещений;</w:t>
      </w:r>
    </w:p>
    <w:p w:rsidR="00B27661" w:rsidRPr="00686C50" w:rsidRDefault="00B27661" w:rsidP="008C77B1">
      <w:pPr>
        <w:pStyle w:val="af"/>
        <w:spacing w:after="0"/>
        <w:ind w:left="0" w:right="-1" w:firstLine="709"/>
        <w:jc w:val="both"/>
        <w:rPr>
          <w:sz w:val="28"/>
          <w:szCs w:val="28"/>
        </w:rPr>
      </w:pPr>
      <w:r w:rsidRPr="00686C50">
        <w:rPr>
          <w:sz w:val="28"/>
          <w:szCs w:val="28"/>
        </w:rPr>
        <w:t>- 2 748,0 тыс. рублей на оценку рыночной стоимости объектов жилых помещений для расселения аварийного жилищного фонда, объектов муниц</w:t>
      </w:r>
      <w:r w:rsidRPr="00686C50">
        <w:rPr>
          <w:sz w:val="28"/>
          <w:szCs w:val="28"/>
        </w:rPr>
        <w:t>и</w:t>
      </w:r>
      <w:r w:rsidRPr="00686C50">
        <w:rPr>
          <w:sz w:val="28"/>
          <w:szCs w:val="28"/>
        </w:rPr>
        <w:t>пального имущества подлежащего приватизации, земельных участков по</w:t>
      </w:r>
      <w:r w:rsidRPr="00686C50">
        <w:rPr>
          <w:sz w:val="28"/>
          <w:szCs w:val="28"/>
        </w:rPr>
        <w:t>д</w:t>
      </w:r>
      <w:r w:rsidRPr="00686C50">
        <w:rPr>
          <w:sz w:val="28"/>
          <w:szCs w:val="28"/>
        </w:rPr>
        <w:t>лежащих изъятию для муниципальных нужд;</w:t>
      </w:r>
    </w:p>
    <w:p w:rsidR="00B27661" w:rsidRPr="00686C50" w:rsidRDefault="00B27661" w:rsidP="008C77B1">
      <w:pPr>
        <w:pStyle w:val="af"/>
        <w:spacing w:after="0"/>
        <w:ind w:left="0" w:right="-1" w:firstLine="709"/>
        <w:jc w:val="both"/>
        <w:rPr>
          <w:sz w:val="28"/>
          <w:szCs w:val="28"/>
        </w:rPr>
      </w:pPr>
      <w:r w:rsidRPr="00686C50">
        <w:rPr>
          <w:sz w:val="28"/>
          <w:szCs w:val="28"/>
        </w:rPr>
        <w:t>- 1 427,6 тыс. рублей на охрану 3 объектов муниципальной собственн</w:t>
      </w:r>
      <w:r w:rsidRPr="00686C50">
        <w:rPr>
          <w:sz w:val="28"/>
          <w:szCs w:val="28"/>
        </w:rPr>
        <w:t>о</w:t>
      </w:r>
      <w:r w:rsidRPr="00686C50">
        <w:rPr>
          <w:sz w:val="28"/>
          <w:szCs w:val="28"/>
        </w:rPr>
        <w:t>сти;</w:t>
      </w:r>
    </w:p>
    <w:p w:rsidR="00B27661" w:rsidRPr="00686C50" w:rsidRDefault="00B27661" w:rsidP="008C77B1">
      <w:pPr>
        <w:pStyle w:val="af"/>
        <w:spacing w:after="0"/>
        <w:ind w:left="0" w:right="-1" w:firstLine="709"/>
        <w:jc w:val="both"/>
        <w:rPr>
          <w:sz w:val="28"/>
          <w:szCs w:val="28"/>
        </w:rPr>
      </w:pPr>
      <w:r w:rsidRPr="00686C50">
        <w:rPr>
          <w:sz w:val="28"/>
          <w:szCs w:val="28"/>
        </w:rPr>
        <w:t>- 164,7 тыс. рублей оплата транспортного налога;</w:t>
      </w:r>
    </w:p>
    <w:p w:rsidR="00B27661" w:rsidRPr="00686C50" w:rsidRDefault="00B27661" w:rsidP="008C77B1">
      <w:pPr>
        <w:pStyle w:val="af"/>
        <w:spacing w:after="0"/>
        <w:ind w:left="0" w:right="-1" w:firstLine="709"/>
        <w:jc w:val="both"/>
        <w:rPr>
          <w:sz w:val="28"/>
          <w:szCs w:val="28"/>
        </w:rPr>
      </w:pPr>
      <w:r w:rsidRPr="00686C50">
        <w:rPr>
          <w:sz w:val="28"/>
          <w:szCs w:val="28"/>
        </w:rPr>
        <w:lastRenderedPageBreak/>
        <w:t xml:space="preserve">- 9 289,8 тыс. рублей перечисление средств по исполнительным листам; </w:t>
      </w:r>
    </w:p>
    <w:p w:rsidR="00B27661" w:rsidRPr="00686C50" w:rsidRDefault="00B27661" w:rsidP="008C77B1">
      <w:pPr>
        <w:pStyle w:val="af"/>
        <w:spacing w:after="0"/>
        <w:ind w:left="0" w:right="-1" w:firstLine="709"/>
        <w:jc w:val="both"/>
        <w:rPr>
          <w:sz w:val="28"/>
          <w:szCs w:val="28"/>
        </w:rPr>
      </w:pPr>
      <w:r w:rsidRPr="00686C50">
        <w:rPr>
          <w:sz w:val="28"/>
          <w:szCs w:val="28"/>
        </w:rPr>
        <w:t>- 1 079,7 тыс. рублей на техническую инвентаризацию (паспортизацию) и на прочие расходы, связанные с содержанием и сохранением муниципал</w:t>
      </w:r>
      <w:r w:rsidRPr="00686C50">
        <w:rPr>
          <w:sz w:val="28"/>
          <w:szCs w:val="28"/>
        </w:rPr>
        <w:t>ь</w:t>
      </w:r>
      <w:r w:rsidRPr="00686C50">
        <w:rPr>
          <w:sz w:val="28"/>
          <w:szCs w:val="28"/>
        </w:rPr>
        <w:t xml:space="preserve">ного имущества, межеванием границ земельных участков. </w:t>
      </w:r>
    </w:p>
    <w:p w:rsidR="00B27661" w:rsidRPr="00686C50" w:rsidRDefault="00B27661" w:rsidP="008C77B1">
      <w:pPr>
        <w:spacing w:after="0"/>
        <w:ind w:right="-1" w:firstLine="709"/>
        <w:jc w:val="both"/>
        <w:rPr>
          <w:sz w:val="28"/>
          <w:szCs w:val="28"/>
        </w:rPr>
      </w:pPr>
      <w:r w:rsidRPr="00686C50">
        <w:rPr>
          <w:sz w:val="28"/>
          <w:szCs w:val="28"/>
        </w:rPr>
        <w:t>На реализацию основного мероприятия «</w:t>
      </w:r>
      <w:r w:rsidRPr="00686C50">
        <w:rPr>
          <w:bCs/>
          <w:sz w:val="28"/>
          <w:szCs w:val="28"/>
        </w:rPr>
        <w:t>Организация обеспечения деятельности Департамента муниципальной собственности и МКУ «Дире</w:t>
      </w:r>
      <w:r w:rsidRPr="00686C50">
        <w:rPr>
          <w:bCs/>
          <w:sz w:val="28"/>
          <w:szCs w:val="28"/>
        </w:rPr>
        <w:t>к</w:t>
      </w:r>
      <w:r w:rsidRPr="00686C50">
        <w:rPr>
          <w:bCs/>
          <w:sz w:val="28"/>
          <w:szCs w:val="28"/>
        </w:rPr>
        <w:t>ция по содержанию имущества казны»</w:t>
      </w:r>
      <w:r w:rsidRPr="00686C50">
        <w:rPr>
          <w:sz w:val="28"/>
          <w:szCs w:val="28"/>
        </w:rPr>
        <w:t xml:space="preserve"> направлено 100 588,3 тыс. рублей, в том числе:</w:t>
      </w:r>
    </w:p>
    <w:p w:rsidR="00B27661" w:rsidRPr="00686C50" w:rsidRDefault="00B27661" w:rsidP="008C77B1">
      <w:pPr>
        <w:spacing w:after="0"/>
        <w:ind w:right="-1" w:firstLine="709"/>
        <w:jc w:val="both"/>
        <w:rPr>
          <w:sz w:val="28"/>
          <w:szCs w:val="28"/>
        </w:rPr>
      </w:pPr>
      <w:r w:rsidRPr="00686C50">
        <w:rPr>
          <w:sz w:val="28"/>
          <w:szCs w:val="28"/>
        </w:rPr>
        <w:t>- на содержание Департамента муниципальной собственности – 59 629,4 тыс. рублей. По состоянию на 01.01.2019 года штатная численность составляет 36 ед., фактическая 32 ед., среднесписочная численность 36 чел</w:t>
      </w:r>
      <w:r w:rsidRPr="00686C50">
        <w:rPr>
          <w:sz w:val="28"/>
          <w:szCs w:val="28"/>
        </w:rPr>
        <w:t>о</w:t>
      </w:r>
      <w:r w:rsidRPr="00686C50">
        <w:rPr>
          <w:sz w:val="28"/>
          <w:szCs w:val="28"/>
        </w:rPr>
        <w:t xml:space="preserve">век. </w:t>
      </w:r>
    </w:p>
    <w:p w:rsidR="00B27661" w:rsidRPr="00686C50" w:rsidRDefault="00B27661" w:rsidP="008C77B1">
      <w:pPr>
        <w:spacing w:after="0"/>
        <w:ind w:right="-1" w:firstLine="709"/>
        <w:jc w:val="both"/>
        <w:rPr>
          <w:rFonts w:eastAsia="Times New Roman"/>
          <w:sz w:val="28"/>
          <w:szCs w:val="28"/>
        </w:rPr>
      </w:pPr>
      <w:r w:rsidRPr="00686C50">
        <w:rPr>
          <w:sz w:val="28"/>
          <w:szCs w:val="28"/>
        </w:rPr>
        <w:t xml:space="preserve">- на содержание </w:t>
      </w:r>
      <w:r w:rsidRPr="00686C50">
        <w:rPr>
          <w:bCs/>
          <w:sz w:val="28"/>
          <w:szCs w:val="28"/>
        </w:rPr>
        <w:t xml:space="preserve">МКУ «Дирекция по содержанию имущества казны» - 40 958,9 тыс. рублей. </w:t>
      </w:r>
      <w:r w:rsidRPr="00686C50">
        <w:rPr>
          <w:rFonts w:eastAsia="Times New Roman"/>
          <w:sz w:val="28"/>
          <w:szCs w:val="28"/>
        </w:rPr>
        <w:t xml:space="preserve"> </w:t>
      </w:r>
      <w:r w:rsidRPr="00686C50">
        <w:rPr>
          <w:sz w:val="28"/>
          <w:szCs w:val="28"/>
        </w:rPr>
        <w:t>По состоянию на 01.01.2018 года штатная численность составляет 23 ед., фактическая 23 ед., среднесписочная численность 26 чел</w:t>
      </w:r>
      <w:r w:rsidRPr="00686C50">
        <w:rPr>
          <w:sz w:val="28"/>
          <w:szCs w:val="28"/>
        </w:rPr>
        <w:t>о</w:t>
      </w:r>
      <w:r w:rsidRPr="00686C50">
        <w:rPr>
          <w:sz w:val="28"/>
          <w:szCs w:val="28"/>
        </w:rPr>
        <w:t>век.</w:t>
      </w:r>
    </w:p>
    <w:p w:rsidR="00B27661" w:rsidRPr="00686C50" w:rsidRDefault="00B27661" w:rsidP="008C77B1">
      <w:pPr>
        <w:spacing w:after="0"/>
        <w:ind w:right="-1" w:firstLine="709"/>
        <w:jc w:val="both"/>
      </w:pPr>
      <w:r w:rsidRPr="00686C50">
        <w:rPr>
          <w:rFonts w:eastAsia="Times New Roman"/>
          <w:sz w:val="28"/>
          <w:szCs w:val="28"/>
        </w:rPr>
        <w:t>Фактическое выполнение 2018 года по отношению к поставленному плану за отчетный год составляет 99</w:t>
      </w:r>
      <w:r>
        <w:rPr>
          <w:rFonts w:eastAsia="Times New Roman"/>
          <w:sz w:val="28"/>
          <w:szCs w:val="28"/>
        </w:rPr>
        <w:t>,4</w:t>
      </w:r>
      <w:r w:rsidRPr="00686C50">
        <w:rPr>
          <w:rFonts w:eastAsia="Times New Roman"/>
          <w:sz w:val="28"/>
          <w:szCs w:val="28"/>
        </w:rPr>
        <w:t xml:space="preserve"> %. </w:t>
      </w: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BD58F5" w:rsidRDefault="00BD58F5" w:rsidP="00AB1BF4">
      <w:pPr>
        <w:ind w:right="424"/>
      </w:pPr>
    </w:p>
    <w:p w:rsidR="00B27661" w:rsidRDefault="00B27661" w:rsidP="00AB1BF4">
      <w:pPr>
        <w:ind w:right="424"/>
      </w:pPr>
    </w:p>
    <w:p w:rsidR="00B27661" w:rsidRDefault="00B27661" w:rsidP="00AB1BF4">
      <w:pPr>
        <w:ind w:right="424"/>
      </w:pPr>
    </w:p>
    <w:p w:rsidR="00B27661" w:rsidRDefault="00B27661" w:rsidP="00AB1BF4">
      <w:pPr>
        <w:ind w:right="424"/>
      </w:pPr>
    </w:p>
    <w:p w:rsidR="00C81749" w:rsidRDefault="00C81749" w:rsidP="00AB1BF4">
      <w:pPr>
        <w:ind w:right="424"/>
      </w:pPr>
    </w:p>
    <w:p w:rsidR="00B27661" w:rsidRPr="00B27661" w:rsidRDefault="00B27661" w:rsidP="00AB1BF4">
      <w:pPr>
        <w:ind w:right="424"/>
      </w:pPr>
    </w:p>
    <w:sectPr w:rsidR="00B27661" w:rsidRPr="00B27661"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50" w:rsidRDefault="00043F50" w:rsidP="00FF5332">
      <w:pPr>
        <w:spacing w:after="0" w:line="240" w:lineRule="auto"/>
      </w:pPr>
      <w:r>
        <w:separator/>
      </w:r>
    </w:p>
  </w:endnote>
  <w:endnote w:type="continuationSeparator" w:id="0">
    <w:p w:rsidR="00043F50" w:rsidRDefault="00043F50"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50" w:rsidRDefault="00043F50" w:rsidP="00FF5332">
      <w:pPr>
        <w:spacing w:after="0" w:line="240" w:lineRule="auto"/>
      </w:pPr>
      <w:r>
        <w:separator/>
      </w:r>
    </w:p>
  </w:footnote>
  <w:footnote w:type="continuationSeparator" w:id="0">
    <w:p w:rsidR="00043F50" w:rsidRDefault="00043F50"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571C3A">
    <w:pPr>
      <w:pStyle w:val="af1"/>
    </w:pPr>
    <w:r>
      <w:fldChar w:fldCharType="begin"/>
    </w:r>
    <w:r w:rsidR="00EF231F">
      <w:instrText xml:space="preserve"> PAGE   \* MERGEFORMAT </w:instrText>
    </w:r>
    <w:r>
      <w:fldChar w:fldCharType="separate"/>
    </w:r>
    <w:r w:rsidR="00CD6D42">
      <w:rPr>
        <w:noProof/>
      </w:rPr>
      <w:t>6</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3F50"/>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90E"/>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91D"/>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E71A4"/>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215D"/>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1C3A"/>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0CA"/>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6374"/>
    <w:rsid w:val="007E7D7B"/>
    <w:rsid w:val="007F1F34"/>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7B1"/>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A7"/>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FD"/>
    <w:rsid w:val="00A64CE5"/>
    <w:rsid w:val="00A65AA0"/>
    <w:rsid w:val="00A667BE"/>
    <w:rsid w:val="00A6722B"/>
    <w:rsid w:val="00A70AC2"/>
    <w:rsid w:val="00A714FA"/>
    <w:rsid w:val="00A715B1"/>
    <w:rsid w:val="00A735EE"/>
    <w:rsid w:val="00A742C4"/>
    <w:rsid w:val="00A762DD"/>
    <w:rsid w:val="00A77D54"/>
    <w:rsid w:val="00A8000D"/>
    <w:rsid w:val="00A820DB"/>
    <w:rsid w:val="00A842C3"/>
    <w:rsid w:val="00A85AFB"/>
    <w:rsid w:val="00A869D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5CA9"/>
    <w:rsid w:val="00C1621C"/>
    <w:rsid w:val="00C1670E"/>
    <w:rsid w:val="00C16F28"/>
    <w:rsid w:val="00C21030"/>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6D42"/>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D797B"/>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346834040721355E-2"/>
          <c:y val="0.10062899726241586"/>
          <c:w val="0.95710535777724048"/>
          <c:h val="0.52898696180983518"/>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'управление собственностью 2018'!$B$4:$D$4</c:f>
              <c:strCache>
                <c:ptCount val="3"/>
                <c:pt idx="0">
                  <c:v>2017 год (исполнено)</c:v>
                </c:pt>
                <c:pt idx="1">
                  <c:v>2018 год (плановые назначения)</c:v>
                </c:pt>
                <c:pt idx="2">
                  <c:v>2018 (исполнено)</c:v>
                </c:pt>
              </c:strCache>
            </c:strRef>
          </c:cat>
          <c:val>
            <c:numRef>
              <c:f>'управление собственностью 2018'!$B$5:$D$5</c:f>
              <c:numCache>
                <c:formatCode>#,##0.0</c:formatCode>
                <c:ptCount val="3"/>
                <c:pt idx="0">
                  <c:v>154253.5</c:v>
                </c:pt>
                <c:pt idx="1">
                  <c:v>215176</c:v>
                </c:pt>
                <c:pt idx="2">
                  <c:v>213963.1</c:v>
                </c:pt>
              </c:numCache>
            </c:numRef>
          </c:val>
        </c:ser>
        <c:gapWidth val="219"/>
        <c:overlap val="-27"/>
        <c:axId val="105184640"/>
        <c:axId val="105809792"/>
      </c:barChart>
      <c:catAx>
        <c:axId val="105184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05809792"/>
        <c:crosses val="autoZero"/>
        <c:auto val="1"/>
        <c:lblAlgn val="ctr"/>
        <c:lblOffset val="100"/>
      </c:catAx>
      <c:valAx>
        <c:axId val="105809792"/>
        <c:scaling>
          <c:orientation val="minMax"/>
        </c:scaling>
        <c:delete val="1"/>
        <c:axPos val="l"/>
        <c:numFmt formatCode="#,##0.0" sourceLinked="1"/>
        <c:majorTickMark val="none"/>
        <c:tickLblPos val="none"/>
        <c:crossAx val="1051846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'управление собственностью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'управление собственностью 2018'!$A$2:$A$3</c:f>
              <c:strCache>
                <c:ptCount val="2"/>
                <c:pt idx="0">
                  <c:v>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c:v>
                </c:pt>
                <c:pt idx="1">
                  <c:v>Организация обеспечения деятельности Департамента муниципальной собственности и МКУ "Дирекция по содержанию имущества казны"</c:v>
                </c:pt>
              </c:strCache>
            </c:strRef>
          </c:cat>
          <c:val>
            <c:numRef>
              <c:f>'управление собственностью 2018'!$B$2:$B$3</c:f>
              <c:numCache>
                <c:formatCode>#,##0.0</c:formatCode>
                <c:ptCount val="2"/>
                <c:pt idx="0">
                  <c:v>52570.5</c:v>
                </c:pt>
                <c:pt idx="1">
                  <c:v>101683</c:v>
                </c:pt>
              </c:numCache>
            </c:numRef>
          </c:val>
        </c:ser>
        <c:ser>
          <c:idx val="1"/>
          <c:order val="1"/>
          <c:tx>
            <c:strRef>
              <c:f>'управление собственностью 2018'!$C$1</c:f>
              <c:strCache>
                <c:ptCount val="1"/>
                <c:pt idx="0">
                  <c:v>2018 год (плановые назначения)</c:v>
                </c:pt>
              </c:strCache>
            </c:strRef>
          </c:tx>
          <c:spPr>
            <a:solidFill>
              <a:schemeClr val="accent2"/>
            </a:solidFill>
            <a:ln>
              <a:noFill/>
            </a:ln>
            <a:effectLst/>
          </c:spPr>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30" baseline="0">
                      <a:solidFill>
                        <a:schemeClr val="tx1">
                          <a:lumMod val="75000"/>
                          <a:lumOff val="25000"/>
                        </a:schemeClr>
                      </a:solidFill>
                      <a:latin typeface="Times New Roman" pitchFamily="18" charset="0"/>
                      <a:ea typeface="+mn-ea"/>
                      <a:cs typeface="Times New Roman" pitchFamily="18" charset="0"/>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'управление собственностью 2018'!$A$2:$A$3</c:f>
              <c:strCache>
                <c:ptCount val="2"/>
                <c:pt idx="0">
                  <c:v>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c:v>
                </c:pt>
                <c:pt idx="1">
                  <c:v>Организация обеспечения деятельности Департамента муниципальной собственности и МКУ "Дирекция по содержанию имущества казны"</c:v>
                </c:pt>
              </c:strCache>
            </c:strRef>
          </c:cat>
          <c:val>
            <c:numRef>
              <c:f>'управление собственностью 2018'!$C$2:$C$3</c:f>
              <c:numCache>
                <c:formatCode>#,##0.0</c:formatCode>
                <c:ptCount val="2"/>
                <c:pt idx="0">
                  <c:v>113570.5</c:v>
                </c:pt>
                <c:pt idx="1">
                  <c:v>101605.5</c:v>
                </c:pt>
              </c:numCache>
            </c:numRef>
          </c:val>
        </c:ser>
        <c:ser>
          <c:idx val="2"/>
          <c:order val="2"/>
          <c:tx>
            <c:strRef>
              <c:f>'управление собственностью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'управление собственностью 2018'!$A$2:$A$3</c:f>
              <c:strCache>
                <c:ptCount val="2"/>
                <c:pt idx="0">
                  <c:v>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c:v>
                </c:pt>
                <c:pt idx="1">
                  <c:v>Организация обеспечения деятельности Департамента муниципальной собственности и МКУ "Дирекция по содержанию имущества казны"</c:v>
                </c:pt>
              </c:strCache>
            </c:strRef>
          </c:cat>
          <c:val>
            <c:numRef>
              <c:f>'управление собственностью 2018'!$D$2:$D$3</c:f>
              <c:numCache>
                <c:formatCode>#,##0.0</c:formatCode>
                <c:ptCount val="2"/>
                <c:pt idx="0">
                  <c:v>113374.8</c:v>
                </c:pt>
                <c:pt idx="1">
                  <c:v>100588.3</c:v>
                </c:pt>
              </c:numCache>
            </c:numRef>
          </c:val>
        </c:ser>
        <c:gapWidth val="182"/>
        <c:axId val="116759168"/>
        <c:axId val="117059968"/>
      </c:barChart>
      <c:catAx>
        <c:axId val="1167591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7059968"/>
        <c:crosses val="autoZero"/>
        <c:auto val="1"/>
        <c:lblAlgn val="ctr"/>
        <c:lblOffset val="100"/>
      </c:catAx>
      <c:valAx>
        <c:axId val="117059968"/>
        <c:scaling>
          <c:orientation val="minMax"/>
        </c:scaling>
        <c:delete val="1"/>
        <c:axPos val="b"/>
        <c:numFmt formatCode="#,##0.0" sourceLinked="1"/>
        <c:majorTickMark val="none"/>
        <c:tickLblPos val="none"/>
        <c:crossAx val="11675916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BBDF6-C6F8-47BE-A293-91D7FEB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1377</Words>
  <Characters>9035</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56</cp:revision>
  <cp:lastPrinted>2019-03-21T05:20:00Z</cp:lastPrinted>
  <dcterms:created xsi:type="dcterms:W3CDTF">2019-03-18T04:43:00Z</dcterms:created>
  <dcterms:modified xsi:type="dcterms:W3CDTF">2019-03-22T05:18:00Z</dcterms:modified>
</cp:coreProperties>
</file>