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Pr="00DF309F" w:rsidRDefault="00152283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04.12.2017</w:t>
      </w:r>
      <w:r w:rsidRPr="00DF309F">
        <w:rPr>
          <w:rFonts w:ascii="Times New Roman" w:hAnsi="Times New Roman"/>
          <w:sz w:val="24"/>
          <w:szCs w:val="24"/>
        </w:rPr>
        <w:t xml:space="preserve"> №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12-нп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F309F">
        <w:rPr>
          <w:sz w:val="24"/>
          <w:szCs w:val="24"/>
        </w:rPr>
        <w:t xml:space="preserve"> 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22.03.2018 № 5-нп</w:t>
      </w:r>
      <w:r w:rsidR="00DF309F">
        <w:rPr>
          <w:rFonts w:ascii="Times New Roman" w:hAnsi="Times New Roman"/>
          <w:color w:val="000000" w:themeColor="text1"/>
          <w:sz w:val="24"/>
          <w:szCs w:val="24"/>
        </w:rPr>
        <w:t>; 13.08.2018 № 13-нп</w:t>
      </w:r>
      <w:r w:rsidR="00C93824">
        <w:rPr>
          <w:rFonts w:ascii="Times New Roman" w:hAnsi="Times New Roman"/>
          <w:color w:val="000000" w:themeColor="text1"/>
          <w:sz w:val="24"/>
          <w:szCs w:val="24"/>
        </w:rPr>
        <w:t>; 10.07.2019 № 14-нп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883281" w:rsidRPr="00C93824">
        <w:rPr>
          <w:rFonts w:ascii="Times New Roman" w:hAnsi="Times New Roman"/>
          <w:sz w:val="28"/>
          <w:szCs w:val="28"/>
        </w:rPr>
        <w:t>«О</w:t>
      </w:r>
      <w:proofErr w:type="gramEnd"/>
      <w:r w:rsidR="00883281" w:rsidRPr="00C93824"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2012 года № 265-п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FC7D2B">
      <w:pPr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" w:name="sub_1000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</w:r>
      <w:bookmarkEnd w:id="1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Pr="006636E9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приказу</w:t>
        </w:r>
      </w:hyperlink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 Департамента труда и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занятости населения Ханты-Мансийского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автономного округа – Югры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от 27 апреля 2015 г. № 6-нп</w:t>
      </w:r>
    </w:p>
    <w:p w:rsidR="00C93824" w:rsidRPr="006636E9" w:rsidRDefault="00C93824" w:rsidP="00C93824">
      <w:pPr>
        <w:jc w:val="center"/>
        <w:rPr>
          <w:rFonts w:ascii="Times New Roman" w:hAnsi="Times New Roman"/>
          <w:sz w:val="28"/>
          <w:szCs w:val="28"/>
        </w:rPr>
      </w:pP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– Югры (далее соответственно –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– государственная услуга) по запросу заявителя либо его уполномоченного представителя, в пределах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установленных нормативными правовыми актами Российской Федерации полномочий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заключенные между работниками и работодателями – индивидуальными предпринимателями, или юридическими лицами, независимо от формы собственности, ведомственной принадлежности, зарегистрированными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соответствующего муниципального образования (коллективные договоры, заключенные в филиале, представительстве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или ином обособленном структурном подразделении, по месту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нахождения обособленного подразделения организации на территории соответствующего муниципального образования) а также соглашения, заключенные на территориальном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соответствующем муниципальном образовании.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заявитель).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(gosuslugi.ru) (далее – Единый портал),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государственной услуги осуществляется:</w:t>
      </w:r>
      <w:proofErr w:type="gramEnd"/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6636E9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6636E9">
        <w:rPr>
          <w:rFonts w:ascii="Times New Roman" w:hAnsi="Times New Roman"/>
          <w:sz w:val="28"/>
          <w:szCs w:val="28"/>
        </w:rPr>
        <w:br/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 (или) отказа в предоставлении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услугу предоставляет орган местного самоуправления муниципального образования, на территории которого: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работодатели –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(расположено) обособленное структурное подразделение организации (филиал, представительство или иное обособленное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организации), заключившее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 территориальное соглашение.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обеспечивает структурное подразделение органа местного самоуправления.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  <w:proofErr w:type="gramEnd"/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момента регистрации запроса о предоставлении государственной услуги в органе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 согласно приложению 1 к настоящему Административному регламенту.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запросе, возлагается на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Форма запроса доступна в электронном виде на Едином портале, официальном сайте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C93824" w:rsidRPr="006636E9" w:rsidRDefault="00C93824" w:rsidP="00C938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</w:t>
      </w:r>
      <w:hyperlink r:id="rId10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заявителя в соответствии с Федеральным </w:t>
      </w:r>
      <w:hyperlink r:id="rId11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представление документа, удостоверяющего личность, не требуется.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Специалисту органа местного самоуправления запрещается: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. Заявитель вправе представить указанные документы и информацию по собственной инициативе;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6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</w:t>
      </w:r>
      <w:proofErr w:type="gramEnd"/>
      <w:r w:rsidRPr="006636E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(или) отказа в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необходимых для предоставления государственной услуги в соответствии с пунктами 17,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установленным пунктом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платы, взимаемой за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предоставление государственной услуги не взимается.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запрос заявителя о предоставлении государственной услуги, поступивший в орган местного самоуправления посредством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почтовой связи, регистрируется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запросов заявителей осуществляет специалист органа местного самоуправления, предоставляющий государственную услугу,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журнале 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партнерства, или коллективных договоров (далее – Журнал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соглашений) (приложения 2, 3 к настоящему Административному регламенту).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коллективных договоров или соглашений может осуществляться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запросов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заявителя (представителя заявителя) и их регистрация осуществляется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здании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специалиста, ведущего прием заявителя (представителя заявителя), обратившегося за получение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Специалисты, осуществляющие прием заявителей (представителей заявителя), обратившихся за получение государственной услуги, обеспечиваются личными нагрудными идентификационными карточками (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Кабинеты приема заявителей (представителей заявителя), обратившихся за получение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возле здания, в котором располагаются помещения для предоставления государственной услуги, стоянки (остановки) автотранспортных средств, выделяется не менее 10% мест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входа в помещения и выхода из них.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указанием этажа, дублированными шрифтом Брайля;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самостоятельного передвижения по территории, на которой расположено здание</w:t>
      </w:r>
      <w:r w:rsidRPr="006636E9">
        <w:rPr>
          <w:rFonts w:eastAsia="Times New Roman"/>
          <w:lang w:eastAsia="ru-RU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оказание необходимой помощи инвалидам, связанной с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допуск в здание (помещение) и на прилегающую территорию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а также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стенах оборудуются стенды с информацией о правилах предоставления государственной услуги.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государственной услуги: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размещенн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 xml:space="preserve">ой на 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портал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636E9">
        <w:rPr>
          <w:rFonts w:ascii="Times New Roman" w:hAnsi="Times New Roman"/>
          <w:sz w:val="28"/>
          <w:szCs w:val="28"/>
        </w:rPr>
        <w:t xml:space="preserve"> на Портале органов местного самоуправления и официальных сайтах органов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, в том числе с возможностью их копирования и заполнения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качества государственной услуги: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осуществленных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) ими в ходе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 в МФЦ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подачи запроса о предоставлении государственной услуги в МФЦ по принципу «одного окна».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информирование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прием запроса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выдача уведомления о регистрации (об отказе регистрации) коллективного договора, соглашения.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МФЦ обеспечена предварительная запись для получения государственной услуги.</w:t>
      </w:r>
      <w:r w:rsidRPr="006636E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размещение на Едином портале,</w:t>
      </w:r>
      <w:r w:rsidRPr="006636E9"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</w:t>
      </w:r>
      <w:r w:rsidRPr="006636E9">
        <w:rPr>
          <w:rFonts w:ascii="Times New Roman" w:hAnsi="Times New Roman"/>
          <w:sz w:val="28"/>
          <w:szCs w:val="28"/>
        </w:rPr>
        <w:t xml:space="preserve"> форм запроса, обеспечение доступа для копирования и заполнения в электронном виде;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C93824" w:rsidRPr="006636E9" w:rsidRDefault="00C93824" w:rsidP="00C93824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запросов заявителей;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принятия: наличие запроса о предоставлении государственной услуги и прилагаемых к нему документов.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определена пунктом 25 настоящего Административного регламента,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запросов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4 - 6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17, 18 настоящего Административного регламента, и отсутствии оснований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коллективный договор, соглашение) подписывает соответствующее уведомление.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подписанное руководителем органа местного самоуправления либо уполномоченным на то лицом,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оказывающий государственную услугу: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Журнал регистрации коллективных договоров или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Максимальный срок выполнения административного действия не должен превышать 4 часов;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штампа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Способ выдачи результатов производится в соответствии с указанием в запросе: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через МФЦ -</w:t>
      </w:r>
      <w:r w:rsidRPr="006636E9">
        <w:rPr>
          <w:rFonts w:ascii="Times New Roman" w:hAnsi="Times New Roman"/>
          <w:sz w:val="28"/>
          <w:szCs w:val="28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 местного самоуправления </w:t>
      </w:r>
      <w:r w:rsidRPr="006636E9">
        <w:rPr>
          <w:rFonts w:ascii="Times New Roman" w:hAnsi="Times New Roman"/>
          <w:sz w:val="28"/>
          <w:szCs w:val="28"/>
        </w:rPr>
        <w:t>обеспечивает передачу зарегистрированных документов в МФЦ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том числе порядок и формы контроля полноты и качества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по обращению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Проверки по жалобе заявителя осуществляются в порядке, предусмотренном разделом V настоящего Административного регламента.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автономного округа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которых предоставляется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 исключением требований, установленных к помещениям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 органа местного самоуправления, ответственные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округа,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</w:t>
      </w:r>
      <w:r w:rsidRPr="006636E9">
        <w:rPr>
          <w:rFonts w:ascii="Times New Roman" w:hAnsi="Times New Roman"/>
          <w:b/>
          <w:bCs/>
          <w:sz w:val="28"/>
          <w:szCs w:val="28"/>
        </w:rPr>
        <w:t xml:space="preserve"> многофункционального </w:t>
      </w:r>
      <w:proofErr w:type="gramStart"/>
      <w:r w:rsidRPr="006636E9">
        <w:rPr>
          <w:rFonts w:ascii="Times New Roman" w:hAnsi="Times New Roman"/>
          <w:b/>
          <w:bCs/>
          <w:sz w:val="28"/>
          <w:szCs w:val="28"/>
        </w:rPr>
        <w:t>центра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должностных лиц, муниципальных служащих, работников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Югры,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C93824" w:rsidRPr="006636E9" w:rsidRDefault="00C93824" w:rsidP="00C93824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C93824" w:rsidRPr="006636E9" w:rsidRDefault="00C93824" w:rsidP="00C93824">
      <w:pPr>
        <w:rPr>
          <w:rFonts w:ascii="Times New Roman" w:hAnsi="Times New Roman"/>
          <w:color w:val="000000"/>
          <w:sz w:val="20"/>
          <w:szCs w:val="20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социального партнерства)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C93824" w:rsidRPr="006636E9" w:rsidRDefault="00C93824" w:rsidP="00C93824">
      <w:pPr>
        <w:jc w:val="right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C93824" w:rsidRPr="006636E9" w:rsidTr="00C93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trike/>
          <w:sz w:val="24"/>
          <w:szCs w:val="24"/>
        </w:rPr>
      </w:pPr>
      <w:r w:rsidRPr="006636E9">
        <w:rPr>
          <w:rFonts w:ascii="Times New Roman" w:eastAsia="Times New Roman" w:hAnsi="Times New Roman"/>
          <w:strike/>
          <w:sz w:val="24"/>
          <w:szCs w:val="24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(дополнительных соглашений к коллективному договору)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C93824" w:rsidRPr="006636E9" w:rsidTr="00C938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rPr>
          <w:rFonts w:eastAsia="Times New Roman"/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</w:t>
      </w:r>
    </w:p>
    <w:p w:rsidR="00C93824" w:rsidRPr="006636E9" w:rsidRDefault="00C93824" w:rsidP="00C93824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6636E9">
                <w:rPr>
                  <w:rStyle w:val="a6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6636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об отказе в регистрации коллективного договора, соглашения 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C93824" w:rsidRPr="006636E9" w:rsidRDefault="00C93824" w:rsidP="00C93824">
      <w:pPr>
        <w:ind w:firstLine="698"/>
        <w:jc w:val="right"/>
        <w:rPr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hAnsi="Times New Roman"/>
          <w:sz w:val="24"/>
          <w:szCs w:val="24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numPr>
          <w:ilvl w:val="0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93824" w:rsidRPr="006636E9" w:rsidRDefault="00C93824" w:rsidP="00C93824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соглашений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headerReference w:type="defaul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23" w:rsidRDefault="00517D23" w:rsidP="00485672">
      <w:r>
        <w:separator/>
      </w:r>
    </w:p>
  </w:endnote>
  <w:endnote w:type="continuationSeparator" w:id="0">
    <w:p w:rsidR="00517D23" w:rsidRDefault="00517D23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23" w:rsidRDefault="00517D23" w:rsidP="00485672">
      <w:r>
        <w:separator/>
      </w:r>
    </w:p>
  </w:footnote>
  <w:footnote w:type="continuationSeparator" w:id="0">
    <w:p w:rsidR="00517D23" w:rsidRDefault="00517D23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EndPr/>
    <w:sdtContent>
      <w:p w:rsidR="00C93824" w:rsidRDefault="00C938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C0" w:rsidRPr="00C833C0">
          <w:rPr>
            <w:noProof/>
            <w:lang w:val="ru-RU"/>
          </w:rPr>
          <w:t>30</w:t>
        </w:r>
        <w:r>
          <w:fldChar w:fldCharType="end"/>
        </w:r>
      </w:p>
    </w:sdtContent>
  </w:sdt>
  <w:p w:rsidR="00C93824" w:rsidRPr="00A92893" w:rsidRDefault="00C93824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72F29"/>
    <w:multiLevelType w:val="hybridMultilevel"/>
    <w:tmpl w:val="F088286C"/>
    <w:lvl w:ilvl="0" w:tplc="AACE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E1754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B69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1EB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0EAF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01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3CF4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E7FF5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371B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66CE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287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4EE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5B76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0B82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747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722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17D23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39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053B"/>
    <w:rsid w:val="005F204B"/>
    <w:rsid w:val="005F4887"/>
    <w:rsid w:val="005F5200"/>
    <w:rsid w:val="005F559F"/>
    <w:rsid w:val="005F5C7D"/>
    <w:rsid w:val="005F5C91"/>
    <w:rsid w:val="005F627E"/>
    <w:rsid w:val="005F6F78"/>
    <w:rsid w:val="006003CC"/>
    <w:rsid w:val="006015B2"/>
    <w:rsid w:val="006025F1"/>
    <w:rsid w:val="00602B0A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B49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281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07F80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3BFA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2D52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2C0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39EC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1E59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6C4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378D1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987"/>
    <w:rsid w:val="00B82D9E"/>
    <w:rsid w:val="00B831FB"/>
    <w:rsid w:val="00B839A0"/>
    <w:rsid w:val="00B841B0"/>
    <w:rsid w:val="00B86006"/>
    <w:rsid w:val="00B870AB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A7F8F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5408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18D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47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1C10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903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3C0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24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4267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65A1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557F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415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1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6BA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1EE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64E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ACE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00A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2B08"/>
    <w:rsid w:val="00E63402"/>
    <w:rsid w:val="00E63677"/>
    <w:rsid w:val="00E643D0"/>
    <w:rsid w:val="00E6510C"/>
    <w:rsid w:val="00E6599E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1C56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47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3B4186E4C940322E0ADB1A76AAF50C3E22767B9D5D283B2C0D0786776El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2B8C-44C2-458B-841D-2262589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60084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PleshkovV</cp:lastModifiedBy>
  <cp:revision>2</cp:revision>
  <cp:lastPrinted>2018-03-19T12:05:00Z</cp:lastPrinted>
  <dcterms:created xsi:type="dcterms:W3CDTF">2019-08-01T04:17:00Z</dcterms:created>
  <dcterms:modified xsi:type="dcterms:W3CDTF">2019-08-01T04:17:00Z</dcterms:modified>
</cp:coreProperties>
</file>