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A11277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AE181D" w:rsidRDefault="003323E7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12 декабря </w:t>
      </w:r>
      <w:r w:rsidR="00DD0A22">
        <w:rPr>
          <w:b/>
          <w:iCs/>
          <w:color w:val="000000"/>
          <w:sz w:val="28"/>
          <w:szCs w:val="28"/>
        </w:rPr>
        <w:t>2017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</w:t>
      </w:r>
      <w:r w:rsidR="00DD0A22">
        <w:rPr>
          <w:iCs/>
          <w:color w:val="000000"/>
          <w:sz w:val="28"/>
          <w:szCs w:val="28"/>
        </w:rPr>
        <w:t xml:space="preserve">                                       </w:t>
      </w:r>
      <w:r w:rsidR="00AE181D" w:rsidRPr="00A11277">
        <w:rPr>
          <w:iCs/>
          <w:color w:val="000000"/>
          <w:sz w:val="28"/>
          <w:szCs w:val="28"/>
        </w:rPr>
        <w:t xml:space="preserve">  </w:t>
      </w:r>
      <w:r>
        <w:rPr>
          <w:b/>
          <w:iCs/>
          <w:color w:val="000000"/>
          <w:sz w:val="28"/>
          <w:szCs w:val="28"/>
        </w:rPr>
        <w:t>№ 20</w:t>
      </w:r>
    </w:p>
    <w:p w:rsidR="007D13B5" w:rsidRPr="00A11277" w:rsidRDefault="007D13B5" w:rsidP="00AE181D">
      <w:pPr>
        <w:rPr>
          <w:b/>
          <w:iCs/>
          <w:color w:val="000000"/>
          <w:sz w:val="28"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409"/>
        <w:gridCol w:w="6656"/>
      </w:tblGrid>
      <w:tr w:rsidR="00855151" w:rsidTr="00475CC7">
        <w:trPr>
          <w:trHeight w:val="195"/>
        </w:trPr>
        <w:tc>
          <w:tcPr>
            <w:tcW w:w="709" w:type="dxa"/>
            <w:hideMark/>
          </w:tcPr>
          <w:p w:rsidR="00855151" w:rsidRDefault="00855151" w:rsidP="00475CC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855151" w:rsidRDefault="00855151" w:rsidP="00475CC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2"/>
            <w:hideMark/>
          </w:tcPr>
          <w:p w:rsidR="00855151" w:rsidRPr="0077022F" w:rsidRDefault="00855151" w:rsidP="0085515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3323E7">
              <w:rPr>
                <w:b/>
                <w:bCs/>
                <w:iCs/>
                <w:sz w:val="28"/>
                <w:szCs w:val="28"/>
              </w:rPr>
              <w:t>О</w:t>
            </w:r>
            <w:r>
              <w:rPr>
                <w:b/>
                <w:bCs/>
                <w:iCs/>
                <w:sz w:val="28"/>
                <w:szCs w:val="28"/>
              </w:rPr>
              <w:t>б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обращении  депутата </w:t>
            </w:r>
            <w:r w:rsidR="001F3084">
              <w:rPr>
                <w:b/>
                <w:bCs/>
                <w:iCs/>
                <w:sz w:val="28"/>
                <w:szCs w:val="28"/>
              </w:rPr>
              <w:t>Харькова Е</w:t>
            </w:r>
            <w:r>
              <w:rPr>
                <w:b/>
                <w:bCs/>
                <w:iCs/>
                <w:sz w:val="28"/>
                <w:szCs w:val="28"/>
              </w:rPr>
              <w:t xml:space="preserve">.А.  об обеспечении безопасности жителей домов по улице Югорской (дом № 6 и другие) в связи с нахождением жилых домов в непосредственной близости от работающей радиолокационной станции войсковой части. </w:t>
            </w:r>
          </w:p>
        </w:tc>
      </w:tr>
      <w:tr w:rsidR="00855151" w:rsidTr="007D13B5">
        <w:trPr>
          <w:trHeight w:val="795"/>
        </w:trPr>
        <w:tc>
          <w:tcPr>
            <w:tcW w:w="1135" w:type="dxa"/>
            <w:gridSpan w:val="2"/>
          </w:tcPr>
          <w:p w:rsidR="00855151" w:rsidRDefault="00855151" w:rsidP="00475CC7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  <w:hideMark/>
          </w:tcPr>
          <w:p w:rsidR="00855151" w:rsidRDefault="00855151" w:rsidP="00475CC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7D13B5" w:rsidRDefault="007D13B5" w:rsidP="00475CC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D13B5" w:rsidRDefault="007D13B5" w:rsidP="00475CC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Приглашенные:</w:t>
            </w:r>
          </w:p>
        </w:tc>
        <w:tc>
          <w:tcPr>
            <w:tcW w:w="6656" w:type="dxa"/>
            <w:hideMark/>
          </w:tcPr>
          <w:p w:rsidR="007D13B5" w:rsidRDefault="00A64485" w:rsidP="00475CC7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Харьков</w:t>
            </w:r>
            <w:r w:rsidR="00855151">
              <w:rPr>
                <w:b/>
                <w:sz w:val="28"/>
                <w:szCs w:val="28"/>
                <w:lang w:eastAsia="en-US"/>
              </w:rPr>
              <w:t xml:space="preserve"> Евгений Александрович – </w:t>
            </w:r>
            <w:r w:rsidR="00855151" w:rsidRPr="00855151">
              <w:rPr>
                <w:sz w:val="28"/>
                <w:szCs w:val="28"/>
                <w:lang w:eastAsia="en-US"/>
              </w:rPr>
              <w:t>депутат Думы города Ханты-Мансийска 6 созыва</w:t>
            </w:r>
          </w:p>
          <w:p w:rsidR="007D13B5" w:rsidRDefault="007D13B5" w:rsidP="007D13B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D13B5">
              <w:rPr>
                <w:b/>
                <w:sz w:val="28"/>
                <w:szCs w:val="28"/>
                <w:lang w:eastAsia="en-US"/>
              </w:rPr>
              <w:t>Соловьёва Майя Геннадьевна</w:t>
            </w:r>
            <w:r>
              <w:rPr>
                <w:sz w:val="28"/>
                <w:szCs w:val="28"/>
                <w:lang w:eastAsia="en-US"/>
              </w:rPr>
              <w:t xml:space="preserve"> - р</w:t>
            </w:r>
            <w:r w:rsidRPr="007D13B5">
              <w:rPr>
                <w:sz w:val="28"/>
                <w:szCs w:val="28"/>
                <w:lang w:eastAsia="en-US"/>
              </w:rPr>
              <w:t xml:space="preserve">уководитель Управления Федеральной службы по надзору в сфере защиты прав потребителей и благополучия человека по Ханты-Мансийскому автономному округу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7D13B5">
              <w:rPr>
                <w:sz w:val="28"/>
                <w:szCs w:val="28"/>
                <w:lang w:eastAsia="en-US"/>
              </w:rPr>
              <w:t xml:space="preserve"> Югре</w:t>
            </w:r>
            <w:r w:rsidR="00D248FA">
              <w:rPr>
                <w:sz w:val="28"/>
                <w:szCs w:val="28"/>
                <w:lang w:eastAsia="en-US"/>
              </w:rPr>
              <w:t>,</w:t>
            </w:r>
          </w:p>
          <w:p w:rsidR="00D248FA" w:rsidRPr="00D248FA" w:rsidRDefault="00D248FA" w:rsidP="00D248F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D248FA">
              <w:rPr>
                <w:b/>
                <w:sz w:val="28"/>
                <w:szCs w:val="28"/>
                <w:lang w:eastAsia="en-US"/>
              </w:rPr>
              <w:t xml:space="preserve">Павлов </w:t>
            </w:r>
            <w:r w:rsidRPr="00D248FA">
              <w:rPr>
                <w:b/>
                <w:sz w:val="28"/>
                <w:szCs w:val="28"/>
                <w:lang w:eastAsia="en-US"/>
              </w:rPr>
              <w:t>Михаил Александрович</w:t>
            </w:r>
            <w:r>
              <w:rPr>
                <w:sz w:val="28"/>
                <w:szCs w:val="28"/>
                <w:lang w:eastAsia="en-US"/>
              </w:rPr>
              <w:t xml:space="preserve"> -</w:t>
            </w:r>
            <w:r w:rsidRPr="00D248FA">
              <w:rPr>
                <w:bCs/>
                <w:sz w:val="28"/>
                <w:szCs w:val="28"/>
                <w:lang w:eastAsia="en-US"/>
              </w:rPr>
              <w:t xml:space="preserve"> межрайонный прокурор Ханты-Мансийской межрайонной прокуратуры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  <w:p w:rsidR="00D248FA" w:rsidRDefault="00D248FA" w:rsidP="00D248F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248FA">
              <w:rPr>
                <w:b/>
                <w:sz w:val="28"/>
                <w:szCs w:val="28"/>
                <w:lang w:eastAsia="en-US"/>
              </w:rPr>
              <w:t>Шаламов Андрей Владимирович</w:t>
            </w:r>
            <w:r>
              <w:rPr>
                <w:sz w:val="28"/>
                <w:szCs w:val="28"/>
                <w:lang w:eastAsia="en-US"/>
              </w:rPr>
              <w:t xml:space="preserve"> - и</w:t>
            </w:r>
            <w:r w:rsidRPr="00D248FA">
              <w:rPr>
                <w:sz w:val="28"/>
                <w:szCs w:val="28"/>
                <w:lang w:eastAsia="en-US"/>
              </w:rPr>
              <w:t>сполнительный директор Окружного фонда развития жилищного строительства "Жилище"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166187" w:rsidRPr="00166187" w:rsidRDefault="00166187" w:rsidP="00D248F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66187">
              <w:rPr>
                <w:b/>
                <w:sz w:val="28"/>
                <w:szCs w:val="28"/>
                <w:lang w:eastAsia="en-US"/>
              </w:rPr>
              <w:t>Суслов Сергей Васильевич –</w:t>
            </w:r>
            <w:r w:rsidRPr="00166187">
              <w:rPr>
                <w:sz w:val="28"/>
                <w:szCs w:val="28"/>
                <w:lang w:eastAsia="en-US"/>
              </w:rPr>
              <w:t xml:space="preserve"> временно </w:t>
            </w:r>
            <w:r>
              <w:rPr>
                <w:sz w:val="28"/>
                <w:szCs w:val="28"/>
                <w:lang w:eastAsia="en-US"/>
              </w:rPr>
              <w:t xml:space="preserve">исполняющий обязанности военного комиссара </w:t>
            </w:r>
            <w:r w:rsidR="00A64485">
              <w:rPr>
                <w:sz w:val="28"/>
                <w:szCs w:val="28"/>
                <w:lang w:eastAsia="en-US"/>
              </w:rPr>
              <w:t>Федерального казенного учреждения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«Военный комиссариат ХМАО-Югры»,</w:t>
            </w:r>
          </w:p>
          <w:p w:rsidR="00D248FA" w:rsidRDefault="00D248FA" w:rsidP="00D248F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248FA">
              <w:rPr>
                <w:b/>
                <w:sz w:val="28"/>
                <w:szCs w:val="28"/>
                <w:lang w:eastAsia="en-US"/>
              </w:rPr>
              <w:t xml:space="preserve">Романенко Юлия Александровна </w:t>
            </w:r>
            <w:r w:rsidRPr="00D248FA">
              <w:rPr>
                <w:sz w:val="28"/>
                <w:szCs w:val="28"/>
                <w:lang w:eastAsia="en-US"/>
              </w:rPr>
              <w:t>– директор  Департамента градостроительства и архитектуры Администрации города   Ханты-Мансийска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855151" w:rsidRDefault="00D248FA" w:rsidP="00D248F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248FA">
              <w:rPr>
                <w:b/>
                <w:sz w:val="28"/>
                <w:szCs w:val="28"/>
                <w:lang w:eastAsia="en-US"/>
              </w:rPr>
              <w:t>Корчевская Елена Александровна</w:t>
            </w:r>
            <w:r>
              <w:rPr>
                <w:sz w:val="28"/>
                <w:szCs w:val="28"/>
                <w:lang w:eastAsia="en-US"/>
              </w:rPr>
              <w:t xml:space="preserve"> - директор </w:t>
            </w:r>
            <w:r w:rsidR="00A64485">
              <w:rPr>
                <w:sz w:val="28"/>
                <w:szCs w:val="28"/>
                <w:lang w:eastAsia="en-US"/>
              </w:rPr>
              <w:lastRenderedPageBreak/>
              <w:t>Д</w:t>
            </w:r>
            <w:r>
              <w:rPr>
                <w:sz w:val="28"/>
                <w:szCs w:val="28"/>
                <w:lang w:eastAsia="en-US"/>
              </w:rPr>
              <w:t xml:space="preserve">епартамента муниципальной собственности </w:t>
            </w:r>
            <w:r w:rsidR="00A64485">
              <w:rPr>
                <w:sz w:val="28"/>
                <w:szCs w:val="28"/>
                <w:lang w:eastAsia="en-US"/>
              </w:rPr>
              <w:t>Администрации города Ханты-Мансийска</w:t>
            </w:r>
            <w:proofErr w:type="gramStart"/>
            <w:r w:rsidR="00855151" w:rsidRPr="003323E7">
              <w:rPr>
                <w:sz w:val="28"/>
                <w:szCs w:val="28"/>
                <w:lang w:eastAsia="en-US"/>
              </w:rPr>
              <w:tab/>
              <w:t>-</w:t>
            </w:r>
            <w:proofErr w:type="gramEnd"/>
            <w:r w:rsidR="00855151" w:rsidRPr="003323E7">
              <w:rPr>
                <w:sz w:val="28"/>
                <w:szCs w:val="28"/>
                <w:lang w:eastAsia="en-US"/>
              </w:rPr>
              <w:t>директор Департамента управления финансами Администрации города Ханты-Мансийска,</w:t>
            </w:r>
          </w:p>
        </w:tc>
      </w:tr>
    </w:tbl>
    <w:p w:rsidR="00CB0BD9" w:rsidRDefault="00CB0BD9" w:rsidP="00AE181D">
      <w:pPr>
        <w:rPr>
          <w:b/>
          <w:iCs/>
          <w:color w:val="000000"/>
          <w:sz w:val="28"/>
          <w:szCs w:val="28"/>
        </w:rPr>
      </w:pP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409"/>
        <w:gridCol w:w="6656"/>
      </w:tblGrid>
      <w:tr w:rsidR="00AE181D" w:rsidTr="00AE181D">
        <w:trPr>
          <w:trHeight w:val="195"/>
        </w:trPr>
        <w:tc>
          <w:tcPr>
            <w:tcW w:w="709" w:type="dxa"/>
            <w:hideMark/>
          </w:tcPr>
          <w:p w:rsidR="00AE181D" w:rsidRDefault="00AE181D" w:rsidP="0085515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AE181D" w:rsidRDefault="0085515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2"/>
            <w:hideMark/>
          </w:tcPr>
          <w:p w:rsidR="00AE181D" w:rsidRPr="0077022F" w:rsidRDefault="003323E7" w:rsidP="003323E7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3323E7">
              <w:rPr>
                <w:b/>
                <w:bCs/>
                <w:iCs/>
                <w:sz w:val="28"/>
                <w:szCs w:val="28"/>
              </w:rPr>
              <w:t>О</w:t>
            </w:r>
            <w:r>
              <w:rPr>
                <w:b/>
                <w:bCs/>
                <w:iCs/>
                <w:sz w:val="28"/>
                <w:szCs w:val="28"/>
              </w:rPr>
              <w:t xml:space="preserve"> бюджете города Ханты-Мансийска </w:t>
            </w:r>
            <w:r w:rsidRPr="003323E7">
              <w:rPr>
                <w:b/>
                <w:bCs/>
                <w:iCs/>
                <w:sz w:val="28"/>
                <w:szCs w:val="28"/>
              </w:rPr>
              <w:t>на</w:t>
            </w:r>
            <w:r>
              <w:rPr>
                <w:b/>
                <w:bCs/>
                <w:iCs/>
                <w:sz w:val="28"/>
                <w:szCs w:val="28"/>
              </w:rPr>
              <w:t xml:space="preserve"> 2018 год и плановый период </w:t>
            </w:r>
            <w:r w:rsidRPr="003323E7">
              <w:rPr>
                <w:b/>
                <w:bCs/>
                <w:iCs/>
                <w:sz w:val="28"/>
                <w:szCs w:val="28"/>
              </w:rPr>
              <w:t>2019 и 2020 годов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AE181D" w:rsidTr="00855151">
        <w:trPr>
          <w:trHeight w:val="795"/>
        </w:trPr>
        <w:tc>
          <w:tcPr>
            <w:tcW w:w="1135" w:type="dxa"/>
            <w:gridSpan w:val="2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  <w:hideMark/>
          </w:tcPr>
          <w:p w:rsidR="00AE181D" w:rsidRDefault="0085515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855151" w:rsidRDefault="0085515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855151" w:rsidRDefault="0085515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855151" w:rsidRDefault="00A6448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Приглашенные</w:t>
            </w:r>
          </w:p>
        </w:tc>
        <w:tc>
          <w:tcPr>
            <w:tcW w:w="6656" w:type="dxa"/>
            <w:hideMark/>
          </w:tcPr>
          <w:p w:rsidR="00855151" w:rsidRDefault="003323E7" w:rsidP="003323E7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55151">
              <w:rPr>
                <w:b/>
                <w:sz w:val="28"/>
                <w:szCs w:val="28"/>
                <w:lang w:eastAsia="en-US"/>
              </w:rPr>
              <w:t>Граф Олеся Ильинична</w:t>
            </w:r>
            <w:r>
              <w:rPr>
                <w:sz w:val="28"/>
                <w:szCs w:val="28"/>
                <w:lang w:eastAsia="en-US"/>
              </w:rPr>
              <w:t xml:space="preserve"> -</w:t>
            </w:r>
            <w:r>
              <w:t xml:space="preserve"> </w:t>
            </w:r>
            <w:r w:rsidRPr="003323E7">
              <w:rPr>
                <w:sz w:val="28"/>
                <w:szCs w:val="28"/>
                <w:lang w:eastAsia="en-US"/>
              </w:rPr>
              <w:t>директор Департамента управления финансами Админ</w:t>
            </w:r>
            <w:r>
              <w:rPr>
                <w:sz w:val="28"/>
                <w:szCs w:val="28"/>
                <w:lang w:eastAsia="en-US"/>
              </w:rPr>
              <w:t>истрации города Ханты-Мансийска</w:t>
            </w:r>
          </w:p>
          <w:p w:rsidR="00AE181D" w:rsidRDefault="00855151" w:rsidP="003323E7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55151">
              <w:rPr>
                <w:b/>
                <w:sz w:val="28"/>
                <w:szCs w:val="28"/>
                <w:lang w:eastAsia="en-US"/>
              </w:rPr>
              <w:t>Наумов Семен Александрович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 начальник управления экономического развития и инвестиций Администрации города Ханты-Мансийска </w:t>
            </w:r>
            <w:proofErr w:type="gramStart"/>
            <w:r w:rsidR="003323E7" w:rsidRPr="003323E7">
              <w:rPr>
                <w:sz w:val="28"/>
                <w:szCs w:val="28"/>
                <w:lang w:eastAsia="en-US"/>
              </w:rPr>
              <w:tab/>
              <w:t>-</w:t>
            </w:r>
            <w:proofErr w:type="gramEnd"/>
            <w:r w:rsidR="003323E7" w:rsidRPr="003323E7">
              <w:rPr>
                <w:sz w:val="28"/>
                <w:szCs w:val="28"/>
                <w:lang w:eastAsia="en-US"/>
              </w:rPr>
              <w:t>директор Департамента управления финансами Администрации города Ханты-Мансийска,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855151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CB0BD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CB0BD9" w:rsidRDefault="003323E7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3323E7">
              <w:rPr>
                <w:b/>
                <w:iCs/>
                <w:sz w:val="28"/>
                <w:szCs w:val="28"/>
                <w:lang w:eastAsia="en-US"/>
              </w:rPr>
              <w:t>О плане работы Комитета по городскому хозяйству на первое полугодие 2018 года.</w:t>
            </w:r>
          </w:p>
        </w:tc>
      </w:tr>
      <w:tr w:rsidR="00CB0BD9" w:rsidTr="00A64485">
        <w:trPr>
          <w:trHeight w:val="234"/>
        </w:trPr>
        <w:tc>
          <w:tcPr>
            <w:tcW w:w="1135" w:type="dxa"/>
            <w:gridSpan w:val="2"/>
          </w:tcPr>
          <w:p w:rsidR="00CB0BD9" w:rsidRDefault="00CB0BD9" w:rsidP="0004489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  <w:gridSpan w:val="2"/>
            <w:hideMark/>
          </w:tcPr>
          <w:p w:rsidR="00CB0BD9" w:rsidRDefault="003323E7" w:rsidP="0004489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3323E7">
              <w:rPr>
                <w:b/>
                <w:bCs/>
                <w:szCs w:val="28"/>
                <w:lang w:eastAsia="en-US"/>
              </w:rPr>
              <w:t>Докладывают:</w:t>
            </w:r>
          </w:p>
        </w:tc>
        <w:tc>
          <w:tcPr>
            <w:tcW w:w="6656" w:type="dxa"/>
            <w:hideMark/>
          </w:tcPr>
          <w:p w:rsidR="00CB0BD9" w:rsidRDefault="00A64485" w:rsidP="0004489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</w:t>
            </w:r>
            <w:r w:rsidR="003323E7" w:rsidRPr="003323E7">
              <w:rPr>
                <w:sz w:val="28"/>
                <w:szCs w:val="28"/>
                <w:lang w:eastAsia="en-US"/>
              </w:rPr>
              <w:t>лены ко</w:t>
            </w:r>
            <w:r w:rsidR="00855151">
              <w:rPr>
                <w:sz w:val="28"/>
                <w:szCs w:val="28"/>
                <w:lang w:eastAsia="en-US"/>
              </w:rPr>
              <w:t>митета  по городскому хозяйству</w:t>
            </w:r>
          </w:p>
          <w:p w:rsidR="00692B9A" w:rsidRDefault="00692B9A" w:rsidP="0004489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23E7" w:rsidTr="00E54D77">
        <w:trPr>
          <w:trHeight w:val="374"/>
        </w:trPr>
        <w:tc>
          <w:tcPr>
            <w:tcW w:w="709" w:type="dxa"/>
          </w:tcPr>
          <w:p w:rsidR="003323E7" w:rsidRDefault="003323E7" w:rsidP="00E54D7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3323E7" w:rsidRDefault="00855151" w:rsidP="00E54D77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3323E7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3323E7" w:rsidRDefault="003323E7" w:rsidP="00E54D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3323E7">
              <w:rPr>
                <w:b/>
                <w:iCs/>
                <w:sz w:val="28"/>
                <w:szCs w:val="28"/>
                <w:lang w:eastAsia="en-US"/>
              </w:rPr>
              <w:t>О деятельности Комитета</w:t>
            </w:r>
            <w:r w:rsidR="00855151" w:rsidRPr="003323E7"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="00855151" w:rsidRPr="003323E7">
              <w:rPr>
                <w:b/>
                <w:iCs/>
                <w:sz w:val="28"/>
                <w:szCs w:val="28"/>
                <w:lang w:eastAsia="en-US"/>
              </w:rPr>
              <w:t>по городскому хозяйству</w:t>
            </w:r>
            <w:r w:rsidRPr="003323E7">
              <w:rPr>
                <w:b/>
                <w:iCs/>
                <w:sz w:val="28"/>
                <w:szCs w:val="28"/>
                <w:lang w:eastAsia="en-US"/>
              </w:rPr>
              <w:t xml:space="preserve"> за 2017 год</w:t>
            </w:r>
            <w:r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3323E7" w:rsidTr="00A64485">
        <w:trPr>
          <w:trHeight w:val="234"/>
        </w:trPr>
        <w:tc>
          <w:tcPr>
            <w:tcW w:w="1135" w:type="dxa"/>
            <w:gridSpan w:val="2"/>
          </w:tcPr>
          <w:p w:rsidR="003323E7" w:rsidRDefault="003323E7" w:rsidP="00E54D77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  <w:gridSpan w:val="2"/>
            <w:hideMark/>
          </w:tcPr>
          <w:p w:rsidR="003323E7" w:rsidRDefault="003323E7" w:rsidP="00E54D77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="00855151">
              <w:rPr>
                <w:b/>
                <w:bCs/>
                <w:szCs w:val="28"/>
                <w:lang w:eastAsia="en-US"/>
              </w:rPr>
              <w:t>т</w:t>
            </w:r>
          </w:p>
        </w:tc>
        <w:tc>
          <w:tcPr>
            <w:tcW w:w="6656" w:type="dxa"/>
            <w:hideMark/>
          </w:tcPr>
          <w:p w:rsidR="003323E7" w:rsidRDefault="003323E7" w:rsidP="00E54D77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3E7">
              <w:rPr>
                <w:b/>
                <w:sz w:val="28"/>
                <w:szCs w:val="28"/>
                <w:lang w:eastAsia="en-US"/>
              </w:rPr>
              <w:t>Горбачев Юрий Иванович</w:t>
            </w:r>
            <w:r>
              <w:rPr>
                <w:sz w:val="28"/>
                <w:szCs w:val="28"/>
                <w:lang w:eastAsia="en-US"/>
              </w:rPr>
              <w:t xml:space="preserve"> - председатель комитета по городскому хозяйству </w:t>
            </w:r>
          </w:p>
        </w:tc>
      </w:tr>
      <w:tr w:rsidR="003323E7" w:rsidTr="00E54D77">
        <w:trPr>
          <w:trHeight w:val="374"/>
        </w:trPr>
        <w:tc>
          <w:tcPr>
            <w:tcW w:w="709" w:type="dxa"/>
          </w:tcPr>
          <w:p w:rsidR="003323E7" w:rsidRDefault="003323E7" w:rsidP="00E54D7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3323E7" w:rsidRDefault="00855151" w:rsidP="00E54D77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3323E7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3323E7" w:rsidRDefault="003323E7" w:rsidP="003323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Разное. </w:t>
            </w:r>
          </w:p>
        </w:tc>
      </w:tr>
      <w:tr w:rsidR="003323E7" w:rsidTr="00E54D77">
        <w:trPr>
          <w:trHeight w:val="234"/>
        </w:trPr>
        <w:tc>
          <w:tcPr>
            <w:tcW w:w="1418" w:type="dxa"/>
            <w:gridSpan w:val="3"/>
          </w:tcPr>
          <w:p w:rsidR="003323E7" w:rsidRDefault="003323E7" w:rsidP="00E54D77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3323E7" w:rsidRDefault="003323E7" w:rsidP="00E54D77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656" w:type="dxa"/>
            <w:hideMark/>
          </w:tcPr>
          <w:p w:rsidR="003323E7" w:rsidRDefault="003323E7" w:rsidP="00E54D77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AE181D">
        <w:trPr>
          <w:trHeight w:val="541"/>
        </w:trPr>
        <w:tc>
          <w:tcPr>
            <w:tcW w:w="3261" w:type="dxa"/>
            <w:hideMark/>
          </w:tcPr>
          <w:p w:rsidR="003323E7" w:rsidRDefault="003323E7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AE181D" w:rsidRDefault="003323E7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AE181D" w:rsidRDefault="00166187" w:rsidP="007702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- </w:t>
            </w:r>
            <w:r w:rsidR="003323E7" w:rsidRPr="003323E7">
              <w:rPr>
                <w:bCs/>
                <w:sz w:val="28"/>
                <w:szCs w:val="28"/>
                <w:lang w:eastAsia="en-US"/>
              </w:rPr>
              <w:t>председатель Счетной палаты города Ханты-Мансийска</w:t>
            </w:r>
          </w:p>
        </w:tc>
      </w:tr>
      <w:tr w:rsidR="00DD0A22" w:rsidTr="00AE181D">
        <w:trPr>
          <w:trHeight w:val="541"/>
        </w:trPr>
        <w:tc>
          <w:tcPr>
            <w:tcW w:w="3261" w:type="dxa"/>
          </w:tcPr>
          <w:p w:rsidR="003323E7" w:rsidRDefault="003323E7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Дунаевская </w:t>
            </w:r>
          </w:p>
          <w:p w:rsidR="003323E7" w:rsidRDefault="003323E7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088" w:type="dxa"/>
          </w:tcPr>
          <w:p w:rsidR="00DD0A22" w:rsidRDefault="00DD0A22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DD0A22"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="00855151">
              <w:rPr>
                <w:bCs/>
                <w:sz w:val="28"/>
                <w:szCs w:val="28"/>
                <w:lang w:eastAsia="en-US"/>
              </w:rPr>
              <w:t>п</w:t>
            </w:r>
            <w:r w:rsidR="003323E7">
              <w:rPr>
                <w:bCs/>
                <w:sz w:val="28"/>
                <w:szCs w:val="28"/>
                <w:lang w:eastAsia="en-US"/>
              </w:rPr>
              <w:t xml:space="preserve">ервый </w:t>
            </w:r>
            <w:r w:rsidRPr="00DD0A22">
              <w:rPr>
                <w:bCs/>
                <w:sz w:val="28"/>
                <w:szCs w:val="28"/>
                <w:lang w:eastAsia="en-US"/>
              </w:rPr>
              <w:t>заместитель Главы города Ханты-Мансийска</w:t>
            </w:r>
          </w:p>
        </w:tc>
      </w:tr>
      <w:tr w:rsidR="00D248FA" w:rsidTr="00AE181D">
        <w:trPr>
          <w:trHeight w:val="541"/>
        </w:trPr>
        <w:tc>
          <w:tcPr>
            <w:tcW w:w="3261" w:type="dxa"/>
          </w:tcPr>
          <w:p w:rsidR="00D248FA" w:rsidRDefault="00D248FA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Марютин Теодор Вениаминович</w:t>
            </w:r>
          </w:p>
        </w:tc>
        <w:tc>
          <w:tcPr>
            <w:tcW w:w="7088" w:type="dxa"/>
          </w:tcPr>
          <w:p w:rsidR="00D248FA" w:rsidRPr="00DD0A22" w:rsidRDefault="00D248FA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D248FA">
              <w:rPr>
                <w:bCs/>
                <w:sz w:val="28"/>
                <w:szCs w:val="28"/>
                <w:lang w:eastAsia="en-US"/>
              </w:rPr>
              <w:t>заместитель Главы города Ханты-Мансийска</w:t>
            </w:r>
          </w:p>
        </w:tc>
      </w:tr>
      <w:tr w:rsidR="00A11277" w:rsidTr="00F35DE5">
        <w:trPr>
          <w:trHeight w:val="565"/>
        </w:trPr>
        <w:tc>
          <w:tcPr>
            <w:tcW w:w="3261" w:type="dxa"/>
            <w:hideMark/>
          </w:tcPr>
          <w:p w:rsidR="003323E7" w:rsidRDefault="003323E7" w:rsidP="003323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11277" w:rsidRDefault="003323E7" w:rsidP="003323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11277" w:rsidRDefault="00855151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3323E7">
              <w:rPr>
                <w:bCs/>
                <w:szCs w:val="28"/>
                <w:lang w:eastAsia="en-US"/>
              </w:rPr>
              <w:t xml:space="preserve">начальник юридического </w:t>
            </w:r>
            <w:proofErr w:type="gramStart"/>
            <w:r w:rsidR="003323E7">
              <w:rPr>
                <w:bCs/>
                <w:szCs w:val="28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3323E7" w:rsidRDefault="003323E7" w:rsidP="003323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Афонин </w:t>
            </w:r>
          </w:p>
          <w:p w:rsidR="00AE181D" w:rsidRDefault="003323E7" w:rsidP="003323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Default="00AE181D" w:rsidP="003323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855151">
              <w:rPr>
                <w:bCs/>
                <w:szCs w:val="28"/>
                <w:lang w:eastAsia="en-US"/>
              </w:rPr>
              <w:t xml:space="preserve"> </w:t>
            </w:r>
            <w:r w:rsidR="003323E7">
              <w:rPr>
                <w:bCs/>
                <w:szCs w:val="28"/>
                <w:lang w:eastAsia="en-US"/>
              </w:rPr>
              <w:t xml:space="preserve">заместитель </w:t>
            </w:r>
            <w:proofErr w:type="gramStart"/>
            <w:r w:rsidR="003323E7">
              <w:rPr>
                <w:bCs/>
                <w:szCs w:val="28"/>
                <w:lang w:eastAsia="en-US"/>
              </w:rPr>
              <w:t>начальника юридического управления Администрации города Ханты-Мансийска</w:t>
            </w:r>
            <w:proofErr w:type="gramEnd"/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</w:tbl>
    <w:p w:rsidR="00E80536" w:rsidRDefault="00E80536"/>
    <w:sectPr w:rsidR="00E80536" w:rsidSect="00AE181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166187"/>
    <w:rsid w:val="001F3084"/>
    <w:rsid w:val="003323E7"/>
    <w:rsid w:val="00692B9A"/>
    <w:rsid w:val="0077022F"/>
    <w:rsid w:val="007D13B5"/>
    <w:rsid w:val="00855151"/>
    <w:rsid w:val="00871B24"/>
    <w:rsid w:val="00A11277"/>
    <w:rsid w:val="00A64485"/>
    <w:rsid w:val="00AE181D"/>
    <w:rsid w:val="00BE7F3F"/>
    <w:rsid w:val="00CB0BD9"/>
    <w:rsid w:val="00D248FA"/>
    <w:rsid w:val="00DC7372"/>
    <w:rsid w:val="00DD0A22"/>
    <w:rsid w:val="00E80536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ED53-3C29-4A08-B790-55B0C745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4</cp:revision>
  <cp:lastPrinted>2017-12-05T04:59:00Z</cp:lastPrinted>
  <dcterms:created xsi:type="dcterms:W3CDTF">2017-12-04T10:08:00Z</dcterms:created>
  <dcterms:modified xsi:type="dcterms:W3CDTF">2017-12-05T06:14:00Z</dcterms:modified>
</cp:coreProperties>
</file>