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6F" w:rsidRPr="00DC436F" w:rsidRDefault="00DC436F" w:rsidP="00DC436F">
      <w:pPr>
        <w:spacing w:after="0" w:line="240" w:lineRule="auto"/>
        <w:jc w:val="right"/>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ПРОЕКТ</w:t>
      </w:r>
    </w:p>
    <w:p w:rsidR="00DC436F" w:rsidRPr="00DC436F" w:rsidRDefault="00DC436F" w:rsidP="00DC436F">
      <w:pPr>
        <w:spacing w:after="0" w:line="240" w:lineRule="auto"/>
        <w:jc w:val="center"/>
        <w:rPr>
          <w:rFonts w:ascii="Times New Roman" w:eastAsia="Times New Roman" w:hAnsi="Times New Roman" w:cs="Times New Roman"/>
          <w:b/>
          <w:sz w:val="28"/>
          <w:szCs w:val="24"/>
          <w:lang w:eastAsia="ru-RU"/>
        </w:rPr>
      </w:pPr>
    </w:p>
    <w:p w:rsidR="00DC436F" w:rsidRPr="00DC436F" w:rsidRDefault="00DC436F" w:rsidP="00DC436F">
      <w:pPr>
        <w:spacing w:after="0" w:line="240" w:lineRule="auto"/>
        <w:jc w:val="center"/>
        <w:rPr>
          <w:rFonts w:ascii="Times New Roman" w:eastAsia="Times New Roman" w:hAnsi="Times New Roman" w:cs="Times New Roman"/>
          <w:b/>
          <w:sz w:val="28"/>
          <w:szCs w:val="24"/>
          <w:lang w:eastAsia="ru-RU"/>
        </w:rPr>
      </w:pPr>
      <w:r w:rsidRPr="00DC436F">
        <w:rPr>
          <w:rFonts w:ascii="Times New Roman" w:eastAsia="Times New Roman" w:hAnsi="Times New Roman" w:cs="Times New Roman"/>
          <w:b/>
          <w:sz w:val="28"/>
          <w:szCs w:val="24"/>
          <w:lang w:eastAsia="ru-RU"/>
        </w:rPr>
        <w:t>АДМИНИСТРАЦИЯ ГОРОДА ХАНТЫ-МАНСИЙСКА</w:t>
      </w:r>
    </w:p>
    <w:p w:rsidR="00DC436F" w:rsidRPr="00DC436F" w:rsidRDefault="00DC436F" w:rsidP="00DC436F">
      <w:pPr>
        <w:spacing w:after="0" w:line="240" w:lineRule="auto"/>
        <w:jc w:val="center"/>
        <w:rPr>
          <w:rFonts w:ascii="Times New Roman" w:eastAsia="Times New Roman" w:hAnsi="Times New Roman" w:cs="Times New Roman"/>
          <w:b/>
          <w:sz w:val="28"/>
          <w:szCs w:val="24"/>
          <w:lang w:eastAsia="ru-RU"/>
        </w:rPr>
      </w:pPr>
      <w:r w:rsidRPr="00DC436F">
        <w:rPr>
          <w:rFonts w:ascii="Times New Roman" w:eastAsia="Times New Roman" w:hAnsi="Times New Roman" w:cs="Times New Roman"/>
          <w:b/>
          <w:sz w:val="28"/>
          <w:szCs w:val="24"/>
          <w:lang w:eastAsia="ru-RU"/>
        </w:rPr>
        <w:t>Ханты-Мансийского автономного округа-Югры</w:t>
      </w:r>
    </w:p>
    <w:p w:rsidR="00DC436F" w:rsidRPr="00DC436F" w:rsidRDefault="00DC436F" w:rsidP="00DC436F">
      <w:pPr>
        <w:spacing w:after="0" w:line="240" w:lineRule="auto"/>
        <w:jc w:val="center"/>
        <w:rPr>
          <w:rFonts w:ascii="Times New Roman" w:eastAsia="Times New Roman" w:hAnsi="Times New Roman" w:cs="Times New Roman"/>
          <w:b/>
          <w:sz w:val="28"/>
          <w:szCs w:val="24"/>
          <w:lang w:eastAsia="ru-RU"/>
        </w:rPr>
      </w:pPr>
    </w:p>
    <w:p w:rsidR="00DC436F" w:rsidRPr="00DC436F" w:rsidRDefault="00DC436F" w:rsidP="00DC436F">
      <w:pPr>
        <w:spacing w:after="0" w:line="240" w:lineRule="auto"/>
        <w:jc w:val="center"/>
        <w:rPr>
          <w:rFonts w:ascii="Times New Roman" w:eastAsia="Times New Roman" w:hAnsi="Times New Roman" w:cs="Times New Roman"/>
          <w:b/>
          <w:sz w:val="28"/>
          <w:szCs w:val="24"/>
          <w:lang w:eastAsia="ru-RU"/>
        </w:rPr>
      </w:pPr>
      <w:r w:rsidRPr="00DC436F">
        <w:rPr>
          <w:rFonts w:ascii="Times New Roman" w:eastAsia="Times New Roman" w:hAnsi="Times New Roman" w:cs="Times New Roman"/>
          <w:b/>
          <w:sz w:val="28"/>
          <w:szCs w:val="24"/>
          <w:lang w:eastAsia="ru-RU"/>
        </w:rPr>
        <w:t>ПОСТАНОВЛЕНИЕ</w:t>
      </w:r>
    </w:p>
    <w:p w:rsidR="00DC436F" w:rsidRPr="00DC436F" w:rsidRDefault="00DC436F" w:rsidP="00DC436F">
      <w:pPr>
        <w:spacing w:after="0" w:line="240" w:lineRule="auto"/>
        <w:rPr>
          <w:rFonts w:ascii="Times New Roman" w:eastAsia="Times New Roman" w:hAnsi="Times New Roman" w:cs="Times New Roman"/>
          <w:sz w:val="24"/>
          <w:szCs w:val="24"/>
          <w:lang w:eastAsia="ru-RU"/>
        </w:rPr>
      </w:pPr>
    </w:p>
    <w:p w:rsidR="00DC436F" w:rsidRPr="00DC436F" w:rsidRDefault="00DC436F" w:rsidP="00DC436F">
      <w:pPr>
        <w:spacing w:after="0" w:line="240" w:lineRule="auto"/>
        <w:rPr>
          <w:rFonts w:ascii="Times New Roman" w:eastAsia="Times New Roman" w:hAnsi="Times New Roman" w:cs="Times New Roman"/>
          <w:sz w:val="24"/>
          <w:szCs w:val="24"/>
          <w:lang w:eastAsia="ru-RU"/>
        </w:rPr>
      </w:pPr>
    </w:p>
    <w:p w:rsidR="00DC436F" w:rsidRPr="00DC436F" w:rsidRDefault="00DC436F" w:rsidP="00DC436F">
      <w:pPr>
        <w:spacing w:after="0" w:line="240" w:lineRule="auto"/>
        <w:jc w:val="both"/>
        <w:rPr>
          <w:rFonts w:ascii="Times New Roman" w:eastAsia="Times New Roman" w:hAnsi="Times New Roman" w:cs="Times New Roman"/>
          <w:bCs/>
          <w:sz w:val="32"/>
          <w:szCs w:val="20"/>
          <w:u w:val="single"/>
          <w:lang w:eastAsia="ru-RU"/>
        </w:rPr>
      </w:pPr>
      <w:r w:rsidRPr="00DC436F">
        <w:rPr>
          <w:rFonts w:ascii="Times New Roman" w:eastAsia="Times New Roman" w:hAnsi="Times New Roman" w:cs="Times New Roman"/>
          <w:bCs/>
          <w:sz w:val="28"/>
          <w:szCs w:val="24"/>
          <w:lang w:eastAsia="ru-RU"/>
        </w:rPr>
        <w:t xml:space="preserve">от «__» «________» 2017 года                           </w:t>
      </w:r>
      <w:r w:rsidRPr="00DC436F">
        <w:rPr>
          <w:rFonts w:ascii="Times New Roman" w:eastAsia="Times New Roman" w:hAnsi="Times New Roman" w:cs="Times New Roman"/>
          <w:bCs/>
          <w:sz w:val="28"/>
          <w:szCs w:val="24"/>
          <w:lang w:eastAsia="ru-RU"/>
        </w:rPr>
        <w:tab/>
        <w:t xml:space="preserve">                                         №___</w:t>
      </w:r>
    </w:p>
    <w:p w:rsidR="00DC436F" w:rsidRPr="00DC436F" w:rsidRDefault="00DC436F" w:rsidP="00DC436F">
      <w:pPr>
        <w:keepNext/>
        <w:spacing w:after="0" w:line="240" w:lineRule="auto"/>
        <w:jc w:val="center"/>
        <w:outlineLvl w:val="4"/>
        <w:rPr>
          <w:rFonts w:ascii="Times New Roman" w:eastAsia="Arial Unicode MS" w:hAnsi="Times New Roman" w:cs="Times New Roman"/>
          <w:sz w:val="28"/>
          <w:szCs w:val="28"/>
          <w:lang w:eastAsia="ru-RU"/>
        </w:rPr>
      </w:pPr>
    </w:p>
    <w:p w:rsidR="00DC436F" w:rsidRPr="00DC436F" w:rsidRDefault="00DC436F" w:rsidP="00DC436F">
      <w:pPr>
        <w:spacing w:after="0" w:line="240" w:lineRule="auto"/>
        <w:rPr>
          <w:rFonts w:ascii="Times New Roman" w:eastAsia="Times New Roman" w:hAnsi="Times New Roman" w:cs="Times New Roman"/>
          <w:sz w:val="24"/>
          <w:szCs w:val="24"/>
          <w:lang w:eastAsia="ru-RU"/>
        </w:rPr>
      </w:pPr>
    </w:p>
    <w:p w:rsidR="00DC436F" w:rsidRPr="00DC436F" w:rsidRDefault="00DC436F" w:rsidP="00DC436F">
      <w:pPr>
        <w:spacing w:after="0" w:line="240" w:lineRule="auto"/>
        <w:jc w:val="both"/>
        <w:rPr>
          <w:rFonts w:ascii="Times New Roman" w:eastAsia="Times New Roman" w:hAnsi="Times New Roman" w:cs="Times New Roman"/>
          <w:bCs/>
          <w:sz w:val="28"/>
          <w:szCs w:val="28"/>
          <w:lang w:eastAsia="ru-RU"/>
        </w:rPr>
      </w:pPr>
      <w:r w:rsidRPr="00DC436F">
        <w:rPr>
          <w:rFonts w:ascii="Times New Roman" w:eastAsia="Times New Roman" w:hAnsi="Times New Roman" w:cs="Times New Roman"/>
          <w:sz w:val="28"/>
          <w:szCs w:val="28"/>
          <w:lang w:eastAsia="ru-RU"/>
        </w:rPr>
        <w:t xml:space="preserve">О </w:t>
      </w:r>
      <w:r w:rsidRPr="00DC436F">
        <w:rPr>
          <w:rFonts w:ascii="Times New Roman" w:eastAsia="Times New Roman" w:hAnsi="Times New Roman" w:cs="Times New Roman"/>
          <w:bCs/>
          <w:sz w:val="28"/>
          <w:szCs w:val="28"/>
          <w:lang w:eastAsia="ru-RU"/>
        </w:rPr>
        <w:t>внесении изменений в постановление</w:t>
      </w:r>
    </w:p>
    <w:p w:rsidR="00DC436F" w:rsidRPr="00DC436F" w:rsidRDefault="00DC436F" w:rsidP="00DC436F">
      <w:pPr>
        <w:spacing w:after="0" w:line="240" w:lineRule="auto"/>
        <w:jc w:val="both"/>
        <w:rPr>
          <w:rFonts w:ascii="Times New Roman" w:eastAsia="Times New Roman" w:hAnsi="Times New Roman" w:cs="Times New Roman"/>
          <w:bCs/>
          <w:sz w:val="28"/>
          <w:szCs w:val="28"/>
          <w:lang w:eastAsia="ru-RU"/>
        </w:rPr>
      </w:pPr>
      <w:r w:rsidRPr="00DC436F">
        <w:rPr>
          <w:rFonts w:ascii="Times New Roman" w:eastAsia="Times New Roman" w:hAnsi="Times New Roman" w:cs="Times New Roman"/>
          <w:bCs/>
          <w:sz w:val="28"/>
          <w:szCs w:val="28"/>
          <w:lang w:eastAsia="ru-RU"/>
        </w:rPr>
        <w:t xml:space="preserve">Администрации города Ханты-Мансийска </w:t>
      </w:r>
    </w:p>
    <w:p w:rsidR="00DC436F" w:rsidRPr="00DC436F" w:rsidRDefault="00DC436F" w:rsidP="00DC436F">
      <w:pPr>
        <w:spacing w:after="0" w:line="240" w:lineRule="auto"/>
        <w:jc w:val="both"/>
        <w:rPr>
          <w:rFonts w:ascii="Times New Roman" w:eastAsia="Times New Roman" w:hAnsi="Times New Roman" w:cs="Times New Roman"/>
          <w:bCs/>
          <w:sz w:val="28"/>
          <w:szCs w:val="28"/>
          <w:lang w:eastAsia="ru-RU"/>
        </w:rPr>
      </w:pPr>
      <w:r w:rsidRPr="00DC436F">
        <w:rPr>
          <w:rFonts w:ascii="Times New Roman" w:eastAsia="Times New Roman" w:hAnsi="Times New Roman" w:cs="Times New Roman"/>
          <w:bCs/>
          <w:sz w:val="28"/>
          <w:szCs w:val="28"/>
          <w:lang w:eastAsia="ru-RU"/>
        </w:rPr>
        <w:t>от 17.10.2013 №1324 «Об утверждении</w:t>
      </w:r>
    </w:p>
    <w:p w:rsidR="00DC436F" w:rsidRPr="00DC436F" w:rsidRDefault="00DC436F" w:rsidP="00DC436F">
      <w:pPr>
        <w:spacing w:after="0" w:line="240" w:lineRule="auto"/>
        <w:jc w:val="both"/>
        <w:rPr>
          <w:rFonts w:ascii="Times New Roman" w:eastAsia="Times New Roman" w:hAnsi="Times New Roman" w:cs="Times New Roman"/>
          <w:bCs/>
          <w:sz w:val="28"/>
          <w:szCs w:val="28"/>
          <w:lang w:eastAsia="ru-RU"/>
        </w:rPr>
      </w:pPr>
      <w:r w:rsidRPr="00DC436F">
        <w:rPr>
          <w:rFonts w:ascii="Times New Roman" w:eastAsia="Times New Roman" w:hAnsi="Times New Roman" w:cs="Times New Roman"/>
          <w:bCs/>
          <w:sz w:val="28"/>
          <w:szCs w:val="28"/>
          <w:lang w:eastAsia="ru-RU"/>
        </w:rPr>
        <w:t>муниципальной программы «Развитие</w:t>
      </w:r>
    </w:p>
    <w:p w:rsidR="00DC436F" w:rsidRPr="00DC436F" w:rsidRDefault="00DC436F" w:rsidP="00DC436F">
      <w:pPr>
        <w:spacing w:after="0" w:line="240" w:lineRule="auto"/>
        <w:jc w:val="both"/>
        <w:rPr>
          <w:rFonts w:ascii="Times New Roman" w:eastAsia="Times New Roman" w:hAnsi="Times New Roman" w:cs="Times New Roman"/>
          <w:bCs/>
          <w:sz w:val="28"/>
          <w:szCs w:val="28"/>
          <w:lang w:eastAsia="ru-RU"/>
        </w:rPr>
      </w:pPr>
      <w:r w:rsidRPr="00DC436F">
        <w:rPr>
          <w:rFonts w:ascii="Times New Roman" w:eastAsia="Times New Roman" w:hAnsi="Times New Roman" w:cs="Times New Roman"/>
          <w:bCs/>
          <w:sz w:val="28"/>
          <w:szCs w:val="28"/>
          <w:lang w:eastAsia="ru-RU"/>
        </w:rPr>
        <w:t xml:space="preserve">жилищного и дорожного хозяйства, </w:t>
      </w:r>
    </w:p>
    <w:p w:rsidR="00DC436F" w:rsidRPr="00DC436F" w:rsidRDefault="00DC436F" w:rsidP="00DC436F">
      <w:pPr>
        <w:spacing w:after="0" w:line="240" w:lineRule="auto"/>
        <w:jc w:val="both"/>
        <w:rPr>
          <w:rFonts w:ascii="Times New Roman" w:eastAsia="Times New Roman" w:hAnsi="Times New Roman" w:cs="Times New Roman"/>
          <w:bCs/>
          <w:sz w:val="28"/>
          <w:szCs w:val="28"/>
          <w:lang w:eastAsia="ru-RU"/>
        </w:rPr>
      </w:pPr>
      <w:r w:rsidRPr="00DC436F">
        <w:rPr>
          <w:rFonts w:ascii="Times New Roman" w:eastAsia="Times New Roman" w:hAnsi="Times New Roman" w:cs="Times New Roman"/>
          <w:bCs/>
          <w:sz w:val="28"/>
          <w:szCs w:val="28"/>
          <w:lang w:eastAsia="ru-RU"/>
        </w:rPr>
        <w:t>благоустройство города Ханты-Мансийска</w:t>
      </w:r>
    </w:p>
    <w:p w:rsidR="00DC436F" w:rsidRPr="00DC436F" w:rsidRDefault="00DC436F" w:rsidP="00DC436F">
      <w:pPr>
        <w:spacing w:after="0" w:line="240" w:lineRule="auto"/>
        <w:jc w:val="both"/>
        <w:rPr>
          <w:rFonts w:ascii="Times New Roman" w:eastAsia="Times New Roman" w:hAnsi="Times New Roman" w:cs="Times New Roman"/>
          <w:bCs/>
          <w:sz w:val="28"/>
          <w:szCs w:val="28"/>
          <w:lang w:eastAsia="ru-RU"/>
        </w:rPr>
      </w:pPr>
      <w:r w:rsidRPr="00DC436F">
        <w:rPr>
          <w:rFonts w:ascii="Times New Roman" w:eastAsia="Times New Roman" w:hAnsi="Times New Roman" w:cs="Times New Roman"/>
          <w:bCs/>
          <w:sz w:val="28"/>
          <w:szCs w:val="28"/>
          <w:lang w:eastAsia="ru-RU"/>
        </w:rPr>
        <w:t xml:space="preserve">на 2016-2020 годы» </w:t>
      </w:r>
    </w:p>
    <w:p w:rsidR="00DC436F" w:rsidRPr="00DC436F" w:rsidRDefault="00DC436F" w:rsidP="00DC436F">
      <w:pPr>
        <w:spacing w:after="0" w:line="240" w:lineRule="auto"/>
        <w:jc w:val="both"/>
        <w:rPr>
          <w:rFonts w:ascii="Times New Roman" w:eastAsia="Times New Roman" w:hAnsi="Times New Roman" w:cs="Times New Roman"/>
          <w:bCs/>
          <w:sz w:val="26"/>
          <w:szCs w:val="26"/>
          <w:lang w:eastAsia="ru-RU"/>
        </w:rPr>
      </w:pPr>
    </w:p>
    <w:p w:rsidR="00DC436F" w:rsidRPr="00DC436F" w:rsidRDefault="00975208" w:rsidP="00975208">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394187" w:rsidRDefault="00DC436F" w:rsidP="00975208">
      <w:pPr>
        <w:widowControl w:val="0"/>
        <w:autoSpaceDE w:val="0"/>
        <w:autoSpaceDN w:val="0"/>
        <w:adjustRightInd w:val="0"/>
        <w:spacing w:after="0" w:line="240" w:lineRule="auto"/>
        <w:ind w:firstLine="539"/>
        <w:jc w:val="both"/>
        <w:rPr>
          <w:rFonts w:ascii="Times New Roman" w:eastAsia="Times New Roman" w:hAnsi="Times New Roman" w:cs="Times New Roman"/>
          <w:bCs/>
          <w:color w:val="000000"/>
          <w:sz w:val="28"/>
          <w:szCs w:val="28"/>
          <w:lang w:eastAsia="ru-RU"/>
        </w:rPr>
      </w:pPr>
      <w:proofErr w:type="gramStart"/>
      <w:r w:rsidRPr="00DC436F">
        <w:rPr>
          <w:rFonts w:ascii="Times New Roman" w:eastAsia="Calibri" w:hAnsi="Times New Roman" w:cs="Times New Roman"/>
          <w:color w:val="000000"/>
          <w:sz w:val="28"/>
          <w:szCs w:val="28"/>
          <w:lang w:eastAsia="ru-RU"/>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DC436F">
        <w:t xml:space="preserve"> </w:t>
      </w:r>
      <w:r w:rsidRPr="00DC436F">
        <w:rPr>
          <w:rFonts w:ascii="Times New Roman" w:eastAsia="Calibri" w:hAnsi="Times New Roman" w:cs="Times New Roman"/>
          <w:color w:val="000000"/>
          <w:sz w:val="28"/>
          <w:szCs w:val="28"/>
          <w:lang w:eastAsia="ru-RU"/>
        </w:rPr>
        <w:t>Приказом Минстроя РФ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w:t>
      </w:r>
      <w:proofErr w:type="gramEnd"/>
      <w:r w:rsidRPr="00DC436F">
        <w:rPr>
          <w:rFonts w:ascii="Times New Roman" w:eastAsia="Calibri" w:hAnsi="Times New Roman" w:cs="Times New Roman"/>
          <w:color w:val="000000"/>
          <w:sz w:val="28"/>
          <w:szCs w:val="28"/>
          <w:lang w:eastAsia="ru-RU"/>
        </w:rPr>
        <w:t xml:space="preserve"> </w:t>
      </w:r>
      <w:proofErr w:type="gramStart"/>
      <w:r w:rsidRPr="00DC436F">
        <w:rPr>
          <w:rFonts w:ascii="Times New Roman" w:eastAsia="Calibri" w:hAnsi="Times New Roman" w:cs="Times New Roman"/>
          <w:color w:val="000000"/>
          <w:sz w:val="28"/>
          <w:szCs w:val="28"/>
          <w:lang w:eastAsia="ru-RU"/>
        </w:rPr>
        <w:t xml:space="preserve">среды в рамках реализации приоритетного проекта «Формирование комфортной городской среды» на 2018-2022 годы» постановлением Правительства Ханты-Мансийского автономного округа – Югры от 09.10.2013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2016-2020 годы», </w:t>
      </w:r>
      <w:hyperlink r:id="rId8" w:history="1">
        <w:r w:rsidRPr="00DC436F">
          <w:rPr>
            <w:rFonts w:ascii="Times New Roman" w:eastAsia="Calibri" w:hAnsi="Times New Roman" w:cs="Times New Roman"/>
            <w:color w:val="000000"/>
            <w:sz w:val="28"/>
            <w:szCs w:val="28"/>
            <w:lang w:eastAsia="ru-RU"/>
          </w:rPr>
          <w:t>постановлением</w:t>
        </w:r>
      </w:hyperlink>
      <w:r w:rsidRPr="00DC436F">
        <w:rPr>
          <w:rFonts w:ascii="Times New Roman" w:eastAsia="Calibri" w:hAnsi="Times New Roman" w:cs="Times New Roman"/>
          <w:color w:val="000000"/>
          <w:sz w:val="28"/>
          <w:szCs w:val="28"/>
          <w:lang w:eastAsia="ru-RU"/>
        </w:rPr>
        <w:t xml:space="preserve"> Администрации города Ханты-Мансийска от 08.12.2014 № 1191 «О программах города Ханты-Мансийска»</w:t>
      </w:r>
      <w:r w:rsidRPr="00DC436F">
        <w:rPr>
          <w:rFonts w:ascii="Times New Roman" w:eastAsia="Times New Roman" w:hAnsi="Times New Roman" w:cs="Times New Roman"/>
          <w:color w:val="000000"/>
          <w:sz w:val="28"/>
          <w:szCs w:val="28"/>
          <w:lang w:eastAsia="ru-RU"/>
        </w:rPr>
        <w:t xml:space="preserve">, </w:t>
      </w:r>
      <w:r w:rsidRPr="00DC436F">
        <w:rPr>
          <w:rFonts w:ascii="Times New Roman" w:eastAsia="Times New Roman" w:hAnsi="Times New Roman" w:cs="Times New Roman"/>
          <w:sz w:val="28"/>
          <w:szCs w:val="28"/>
          <w:lang w:eastAsia="ru-RU"/>
        </w:rPr>
        <w:t xml:space="preserve">руководствуясь </w:t>
      </w:r>
      <w:r w:rsidRPr="00DC436F">
        <w:rPr>
          <w:rFonts w:ascii="Times New Roman" w:eastAsia="Times New Roman" w:hAnsi="Times New Roman" w:cs="Times New Roman"/>
          <w:bCs/>
          <w:color w:val="000000"/>
          <w:sz w:val="28"/>
          <w:szCs w:val="28"/>
          <w:lang w:eastAsia="ru-RU"/>
        </w:rPr>
        <w:t xml:space="preserve"> статьей 71</w:t>
      </w:r>
      <w:r w:rsidR="00B80B9E">
        <w:rPr>
          <w:rFonts w:ascii="Times New Roman" w:eastAsia="Times New Roman" w:hAnsi="Times New Roman" w:cs="Times New Roman"/>
          <w:bCs/>
          <w:color w:val="000000"/>
          <w:sz w:val="28"/>
          <w:szCs w:val="28"/>
          <w:lang w:eastAsia="ru-RU"/>
        </w:rPr>
        <w:t xml:space="preserve"> Устава города</w:t>
      </w:r>
      <w:proofErr w:type="gramEnd"/>
      <w:r w:rsidR="00B80B9E">
        <w:rPr>
          <w:rFonts w:ascii="Times New Roman" w:eastAsia="Times New Roman" w:hAnsi="Times New Roman" w:cs="Times New Roman"/>
          <w:bCs/>
          <w:color w:val="000000"/>
          <w:sz w:val="28"/>
          <w:szCs w:val="28"/>
          <w:lang w:eastAsia="ru-RU"/>
        </w:rPr>
        <w:t xml:space="preserve"> Ханты-Мансийска</w:t>
      </w:r>
      <w:r w:rsidR="00394187">
        <w:rPr>
          <w:rFonts w:ascii="Times New Roman" w:eastAsia="Times New Roman" w:hAnsi="Times New Roman" w:cs="Times New Roman"/>
          <w:bCs/>
          <w:color w:val="000000"/>
          <w:sz w:val="28"/>
          <w:szCs w:val="28"/>
          <w:lang w:eastAsia="ru-RU"/>
        </w:rPr>
        <w:t>:</w:t>
      </w:r>
    </w:p>
    <w:p w:rsidR="00DC436F" w:rsidRPr="00B80B9E" w:rsidRDefault="00394187" w:rsidP="00975208">
      <w:pPr>
        <w:widowControl w:val="0"/>
        <w:autoSpaceDE w:val="0"/>
        <w:autoSpaceDN w:val="0"/>
        <w:adjustRightInd w:val="0"/>
        <w:spacing w:after="0" w:line="240" w:lineRule="auto"/>
        <w:ind w:firstLine="53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В</w:t>
      </w:r>
      <w:r w:rsidR="00DC436F" w:rsidRPr="00DC436F">
        <w:rPr>
          <w:rFonts w:ascii="Times New Roman" w:eastAsia="Times New Roman" w:hAnsi="Times New Roman" w:cs="Times New Roman"/>
          <w:bCs/>
          <w:color w:val="000000"/>
          <w:sz w:val="28"/>
          <w:szCs w:val="28"/>
          <w:lang w:eastAsia="ru-RU"/>
        </w:rPr>
        <w:t>нести в постановлени</w:t>
      </w:r>
      <w:r w:rsidR="003B525C">
        <w:rPr>
          <w:rFonts w:ascii="Times New Roman" w:eastAsia="Times New Roman" w:hAnsi="Times New Roman" w:cs="Times New Roman"/>
          <w:bCs/>
          <w:color w:val="000000"/>
          <w:sz w:val="28"/>
          <w:szCs w:val="28"/>
          <w:lang w:eastAsia="ru-RU"/>
        </w:rPr>
        <w:t>е</w:t>
      </w:r>
      <w:r w:rsidR="00DC436F" w:rsidRPr="00DC436F">
        <w:rPr>
          <w:rFonts w:ascii="Times New Roman" w:eastAsia="Times New Roman" w:hAnsi="Times New Roman" w:cs="Times New Roman"/>
          <w:bCs/>
          <w:color w:val="000000"/>
          <w:sz w:val="28"/>
          <w:szCs w:val="28"/>
          <w:lang w:eastAsia="ru-RU"/>
        </w:rPr>
        <w:t xml:space="preserve"> Администрации города Ханты-Мансийска от 17.10.2013 №1324 «Об утверждении муниципальной программы «Развитие жилищного и дорожного хозяйства, благоустройство города Ханты-Мансийска на 2016-2020 года» (далее – </w:t>
      </w:r>
      <w:r w:rsidR="008B330B">
        <w:rPr>
          <w:rFonts w:ascii="Times New Roman" w:eastAsia="Times New Roman" w:hAnsi="Times New Roman" w:cs="Times New Roman"/>
          <w:bCs/>
          <w:color w:val="000000"/>
          <w:sz w:val="28"/>
          <w:szCs w:val="28"/>
          <w:lang w:eastAsia="ru-RU"/>
        </w:rPr>
        <w:t>постановление</w:t>
      </w:r>
      <w:r w:rsidR="00DC436F" w:rsidRPr="00DC436F">
        <w:rPr>
          <w:rFonts w:ascii="Times New Roman" w:eastAsia="Times New Roman" w:hAnsi="Times New Roman" w:cs="Times New Roman"/>
          <w:bCs/>
          <w:color w:val="000000"/>
          <w:sz w:val="28"/>
          <w:szCs w:val="28"/>
          <w:lang w:eastAsia="ru-RU"/>
        </w:rPr>
        <w:t>) следующие изменения:</w:t>
      </w:r>
    </w:p>
    <w:p w:rsidR="003B525C" w:rsidRPr="00B80B9E" w:rsidRDefault="003B525C" w:rsidP="00975208">
      <w:pPr>
        <w:pStyle w:val="a3"/>
        <w:widowControl w:val="0"/>
        <w:numPr>
          <w:ilvl w:val="1"/>
          <w:numId w:val="1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80B9E">
        <w:rPr>
          <w:rFonts w:ascii="Times New Roman" w:eastAsia="Calibri" w:hAnsi="Times New Roman" w:cs="Times New Roman"/>
          <w:sz w:val="28"/>
          <w:szCs w:val="28"/>
        </w:rPr>
        <w:t>В заголовке, в пункте 1 слова «на 2016-2020 годы» заметить словами «на 2016-2022 годы».</w:t>
      </w:r>
    </w:p>
    <w:p w:rsidR="00B80B9E" w:rsidRDefault="00394187" w:rsidP="00975208">
      <w:pPr>
        <w:pStyle w:val="a3"/>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В приложении к </w:t>
      </w:r>
      <w:r w:rsidR="008B330B">
        <w:rPr>
          <w:rFonts w:ascii="Times New Roman" w:eastAsia="Calibri" w:hAnsi="Times New Roman" w:cs="Times New Roman"/>
          <w:sz w:val="28"/>
          <w:szCs w:val="28"/>
        </w:rPr>
        <w:t>постановлению</w:t>
      </w:r>
      <w:r>
        <w:rPr>
          <w:rFonts w:ascii="Times New Roman" w:eastAsia="Calibri" w:hAnsi="Times New Roman" w:cs="Times New Roman"/>
          <w:sz w:val="28"/>
          <w:szCs w:val="28"/>
        </w:rPr>
        <w:t xml:space="preserve"> п</w:t>
      </w:r>
      <w:r w:rsidR="00B80B9E">
        <w:rPr>
          <w:rFonts w:ascii="Times New Roman" w:eastAsia="Calibri" w:hAnsi="Times New Roman" w:cs="Times New Roman"/>
          <w:sz w:val="28"/>
          <w:szCs w:val="28"/>
        </w:rPr>
        <w:t>о тексту слова «Развитие жилищного и дорожного хозяйства, благоустройство города Ханты-</w:t>
      </w:r>
      <w:r w:rsidR="00B80B9E">
        <w:rPr>
          <w:rFonts w:ascii="Times New Roman" w:eastAsia="Calibri" w:hAnsi="Times New Roman" w:cs="Times New Roman"/>
          <w:sz w:val="28"/>
          <w:szCs w:val="28"/>
        </w:rPr>
        <w:lastRenderedPageBreak/>
        <w:t xml:space="preserve">Мансийска на 2016-2020 годы» заменить словами «Развитие жилищного и дорожного хозяйства, благоустройство города Ханты-Мансийска на 2016-2022 годы». </w:t>
      </w:r>
    </w:p>
    <w:p w:rsidR="00EB2499" w:rsidRPr="00B80B9E" w:rsidRDefault="00394187" w:rsidP="00975208">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B80B9E" w:rsidRPr="00B80B9E">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EB2499" w:rsidRPr="00B80B9E">
        <w:rPr>
          <w:rFonts w:ascii="Times New Roman" w:eastAsia="Calibri" w:hAnsi="Times New Roman" w:cs="Times New Roman"/>
          <w:sz w:val="28"/>
          <w:szCs w:val="28"/>
        </w:rPr>
        <w:t xml:space="preserve"> паспорте программы раздел «Объемы и источники финансирования программы (всего)» изложить в следующей редакции:</w:t>
      </w:r>
    </w:p>
    <w:p w:rsidR="00EB2499" w:rsidRPr="00EB2499" w:rsidRDefault="00EB2499" w:rsidP="009752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2499">
        <w:rPr>
          <w:rFonts w:ascii="Times New Roman" w:eastAsia="Calibri"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EB2499" w:rsidRPr="00EB2499" w:rsidTr="002E2121">
        <w:tc>
          <w:tcPr>
            <w:tcW w:w="2268" w:type="dxa"/>
            <w:shd w:val="clear" w:color="auto" w:fill="auto"/>
          </w:tcPr>
          <w:p w:rsidR="00EB2499" w:rsidRPr="00EB2499" w:rsidRDefault="00EB2499" w:rsidP="00975208">
            <w:pPr>
              <w:autoSpaceDE w:val="0"/>
              <w:autoSpaceDN w:val="0"/>
              <w:adjustRightInd w:val="0"/>
              <w:spacing w:after="0" w:line="240" w:lineRule="auto"/>
              <w:rPr>
                <w:rFonts w:ascii="Times New Roman" w:eastAsia="Calibri" w:hAnsi="Times New Roman" w:cs="Times New Roman"/>
                <w:sz w:val="28"/>
                <w:szCs w:val="28"/>
              </w:rPr>
            </w:pPr>
            <w:r w:rsidRPr="00EB2499">
              <w:rPr>
                <w:rFonts w:ascii="Times New Roman" w:eastAsia="Calibri" w:hAnsi="Times New Roman" w:cs="Times New Roman"/>
                <w:sz w:val="28"/>
                <w:szCs w:val="28"/>
              </w:rPr>
              <w:t>Объемы и источники</w:t>
            </w:r>
          </w:p>
          <w:p w:rsidR="00EB2499" w:rsidRPr="00EB2499" w:rsidRDefault="00EB2499" w:rsidP="00975208">
            <w:pPr>
              <w:autoSpaceDE w:val="0"/>
              <w:autoSpaceDN w:val="0"/>
              <w:adjustRightInd w:val="0"/>
              <w:spacing w:after="0" w:line="240" w:lineRule="auto"/>
              <w:rPr>
                <w:rFonts w:ascii="Times New Roman" w:eastAsia="Calibri" w:hAnsi="Times New Roman" w:cs="Times New Roman"/>
                <w:sz w:val="28"/>
                <w:szCs w:val="28"/>
              </w:rPr>
            </w:pPr>
            <w:r w:rsidRPr="00EB2499">
              <w:rPr>
                <w:rFonts w:ascii="Times New Roman" w:eastAsia="Calibri" w:hAnsi="Times New Roman" w:cs="Times New Roman"/>
                <w:sz w:val="28"/>
                <w:szCs w:val="28"/>
              </w:rPr>
              <w:t>финансирования</w:t>
            </w:r>
          </w:p>
          <w:p w:rsidR="00EB2499" w:rsidRPr="00EB2499" w:rsidRDefault="00EB2499" w:rsidP="00975208">
            <w:pPr>
              <w:autoSpaceDE w:val="0"/>
              <w:autoSpaceDN w:val="0"/>
              <w:adjustRightInd w:val="0"/>
              <w:spacing w:after="0" w:line="240" w:lineRule="auto"/>
              <w:rPr>
                <w:rFonts w:ascii="Times New Roman" w:eastAsia="Calibri" w:hAnsi="Times New Roman" w:cs="Times New Roman"/>
                <w:sz w:val="28"/>
                <w:szCs w:val="28"/>
              </w:rPr>
            </w:pPr>
            <w:r w:rsidRPr="00EB2499">
              <w:rPr>
                <w:rFonts w:ascii="Times New Roman" w:eastAsia="Calibri" w:hAnsi="Times New Roman" w:cs="Times New Roman"/>
                <w:sz w:val="28"/>
                <w:szCs w:val="28"/>
              </w:rPr>
              <w:t>программы (всего)</w:t>
            </w:r>
          </w:p>
        </w:tc>
        <w:tc>
          <w:tcPr>
            <w:tcW w:w="7088" w:type="dxa"/>
            <w:shd w:val="clear" w:color="auto" w:fill="auto"/>
          </w:tcPr>
          <w:p w:rsidR="00EB2499" w:rsidRPr="00EB2499" w:rsidRDefault="00EB2499" w:rsidP="00975208">
            <w:pPr>
              <w:autoSpaceDE w:val="0"/>
              <w:autoSpaceDN w:val="0"/>
              <w:adjustRightInd w:val="0"/>
              <w:spacing w:after="0" w:line="240" w:lineRule="auto"/>
              <w:ind w:firstLine="567"/>
              <w:rPr>
                <w:rFonts w:ascii="Times New Roman" w:eastAsia="Calibri" w:hAnsi="Times New Roman" w:cs="Times New Roman"/>
                <w:sz w:val="28"/>
                <w:szCs w:val="28"/>
              </w:rPr>
            </w:pPr>
            <w:r w:rsidRPr="00EB2499">
              <w:rPr>
                <w:rFonts w:ascii="Times New Roman" w:eastAsia="Calibri" w:hAnsi="Times New Roman" w:cs="Times New Roman"/>
                <w:sz w:val="28"/>
                <w:szCs w:val="28"/>
              </w:rPr>
              <w:t>Объем средств, необходимых для р</w:t>
            </w:r>
            <w:r w:rsidR="001E2FDF">
              <w:rPr>
                <w:rFonts w:ascii="Times New Roman" w:eastAsia="Calibri" w:hAnsi="Times New Roman" w:cs="Times New Roman"/>
                <w:sz w:val="28"/>
                <w:szCs w:val="28"/>
              </w:rPr>
              <w:t>еализации программы на 2016-2022</w:t>
            </w:r>
            <w:r w:rsidRPr="00EB2499">
              <w:rPr>
                <w:rFonts w:ascii="Times New Roman" w:eastAsia="Calibri" w:hAnsi="Times New Roman" w:cs="Times New Roman"/>
                <w:sz w:val="28"/>
                <w:szCs w:val="28"/>
              </w:rPr>
              <w:t xml:space="preserve"> годы, составляет </w:t>
            </w:r>
            <w:r w:rsidR="001E2FDF">
              <w:rPr>
                <w:rFonts w:ascii="Times New Roman" w:eastAsia="Calibri" w:hAnsi="Times New Roman" w:cs="Times New Roman"/>
                <w:sz w:val="28"/>
                <w:szCs w:val="28"/>
              </w:rPr>
              <w:t>4901044279,80</w:t>
            </w:r>
            <w:r w:rsidRPr="00EB2499">
              <w:rPr>
                <w:rFonts w:ascii="Times New Roman" w:eastAsia="Calibri" w:hAnsi="Times New Roman" w:cs="Times New Roman"/>
                <w:sz w:val="28"/>
                <w:szCs w:val="28"/>
              </w:rPr>
              <w:t xml:space="preserve"> руб., в том числе:</w:t>
            </w:r>
          </w:p>
          <w:p w:rsidR="00EB2499" w:rsidRPr="00EB2499" w:rsidRDefault="002E2121" w:rsidP="00975208">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ф</w:t>
            </w:r>
            <w:r w:rsidR="00EB2499" w:rsidRPr="00EB2499">
              <w:rPr>
                <w:rFonts w:ascii="Times New Roman" w:eastAsia="Calibri" w:hAnsi="Times New Roman" w:cs="Times New Roman"/>
                <w:sz w:val="28"/>
                <w:szCs w:val="28"/>
              </w:rPr>
              <w:t xml:space="preserve">едеральный бюджет – </w:t>
            </w:r>
            <w:r w:rsidRPr="002E2121">
              <w:rPr>
                <w:rFonts w:ascii="Times New Roman" w:eastAsia="Calibri" w:hAnsi="Times New Roman" w:cs="Times New Roman"/>
                <w:sz w:val="28"/>
                <w:szCs w:val="28"/>
              </w:rPr>
              <w:t>16340437,00</w:t>
            </w:r>
            <w:r>
              <w:rPr>
                <w:rFonts w:ascii="Times New Roman" w:eastAsia="Calibri" w:hAnsi="Times New Roman" w:cs="Times New Roman"/>
                <w:sz w:val="28"/>
                <w:szCs w:val="28"/>
              </w:rPr>
              <w:t xml:space="preserve"> </w:t>
            </w:r>
            <w:r w:rsidR="00EB2499" w:rsidRPr="00EB2499">
              <w:rPr>
                <w:rFonts w:ascii="Times New Roman" w:eastAsia="Calibri" w:hAnsi="Times New Roman" w:cs="Times New Roman"/>
                <w:sz w:val="28"/>
                <w:szCs w:val="28"/>
              </w:rPr>
              <w:t>руб.;</w:t>
            </w:r>
          </w:p>
          <w:p w:rsidR="00EB2499" w:rsidRPr="00EB2499" w:rsidRDefault="00EB2499" w:rsidP="00975208">
            <w:pPr>
              <w:autoSpaceDE w:val="0"/>
              <w:autoSpaceDN w:val="0"/>
              <w:adjustRightInd w:val="0"/>
              <w:spacing w:after="0" w:line="240" w:lineRule="auto"/>
              <w:ind w:firstLine="567"/>
              <w:rPr>
                <w:rFonts w:ascii="Times New Roman" w:eastAsia="Calibri" w:hAnsi="Times New Roman" w:cs="Times New Roman"/>
                <w:sz w:val="28"/>
                <w:szCs w:val="28"/>
              </w:rPr>
            </w:pPr>
            <w:r w:rsidRPr="00EB2499">
              <w:rPr>
                <w:rFonts w:ascii="Times New Roman" w:eastAsia="Calibri" w:hAnsi="Times New Roman" w:cs="Times New Roman"/>
                <w:sz w:val="28"/>
                <w:szCs w:val="28"/>
              </w:rPr>
              <w:t xml:space="preserve">бюджет автономного округа – </w:t>
            </w:r>
            <w:r w:rsidR="001E2FDF">
              <w:rPr>
                <w:rFonts w:ascii="Times New Roman" w:eastAsia="Calibri" w:hAnsi="Times New Roman" w:cs="Times New Roman"/>
                <w:sz w:val="28"/>
                <w:szCs w:val="28"/>
              </w:rPr>
              <w:t>516618559,28</w:t>
            </w:r>
            <w:r w:rsidR="002E2121">
              <w:rPr>
                <w:rFonts w:ascii="Times New Roman" w:eastAsia="Calibri" w:hAnsi="Times New Roman" w:cs="Times New Roman"/>
                <w:sz w:val="28"/>
                <w:szCs w:val="28"/>
              </w:rPr>
              <w:t xml:space="preserve"> </w:t>
            </w:r>
            <w:r w:rsidRPr="00EB2499">
              <w:rPr>
                <w:rFonts w:ascii="Times New Roman" w:eastAsia="Calibri" w:hAnsi="Times New Roman" w:cs="Times New Roman"/>
                <w:sz w:val="28"/>
                <w:szCs w:val="28"/>
              </w:rPr>
              <w:t xml:space="preserve">руб.; бюджет города Ханты-Мансийска – </w:t>
            </w:r>
            <w:r w:rsidR="001E2FDF">
              <w:rPr>
                <w:rFonts w:ascii="Times New Roman" w:eastAsia="Calibri" w:hAnsi="Times New Roman" w:cs="Times New Roman"/>
                <w:sz w:val="28"/>
                <w:szCs w:val="28"/>
              </w:rPr>
              <w:t>4368085283,52</w:t>
            </w:r>
            <w:r w:rsidRPr="00EB2499">
              <w:rPr>
                <w:rFonts w:ascii="Times New Roman" w:eastAsia="Calibri" w:hAnsi="Times New Roman" w:cs="Times New Roman"/>
                <w:sz w:val="28"/>
                <w:szCs w:val="28"/>
              </w:rPr>
              <w:t xml:space="preserve"> руб.</w:t>
            </w:r>
          </w:p>
        </w:tc>
      </w:tr>
    </w:tbl>
    <w:p w:rsidR="00EB2499" w:rsidRPr="00EB2499" w:rsidRDefault="00EB2499" w:rsidP="00975208">
      <w:pPr>
        <w:autoSpaceDE w:val="0"/>
        <w:autoSpaceDN w:val="0"/>
        <w:adjustRightInd w:val="0"/>
        <w:spacing w:after="0" w:line="240" w:lineRule="auto"/>
        <w:ind w:firstLine="567"/>
        <w:jc w:val="right"/>
        <w:rPr>
          <w:rFonts w:ascii="Times New Roman" w:eastAsia="Calibri" w:hAnsi="Times New Roman" w:cs="Times New Roman"/>
          <w:sz w:val="28"/>
          <w:szCs w:val="28"/>
        </w:rPr>
      </w:pPr>
      <w:r w:rsidRPr="00EB2499">
        <w:rPr>
          <w:rFonts w:ascii="Times New Roman" w:eastAsia="Calibri" w:hAnsi="Times New Roman" w:cs="Times New Roman"/>
          <w:sz w:val="28"/>
          <w:szCs w:val="28"/>
        </w:rPr>
        <w:t>».</w:t>
      </w:r>
    </w:p>
    <w:p w:rsidR="00DC436F" w:rsidRDefault="00394187" w:rsidP="0097520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1.4</w:t>
      </w:r>
      <w:r w:rsidR="00B80B9E">
        <w:rPr>
          <w:rFonts w:ascii="Times New Roman" w:eastAsia="Times New Roman" w:hAnsi="Times New Roman" w:cs="Times New Roman"/>
          <w:bCs/>
          <w:color w:val="000000"/>
          <w:sz w:val="28"/>
          <w:szCs w:val="28"/>
          <w:lang w:eastAsia="ru-RU"/>
        </w:rPr>
        <w:t xml:space="preserve">. </w:t>
      </w:r>
      <w:r w:rsidR="00DC436F" w:rsidRPr="00DC436F">
        <w:rPr>
          <w:rFonts w:ascii="Times New Roman" w:eastAsia="Times New Roman" w:hAnsi="Times New Roman" w:cs="Times New Roman"/>
          <w:bCs/>
          <w:color w:val="000000"/>
          <w:sz w:val="28"/>
          <w:szCs w:val="28"/>
          <w:lang w:eastAsia="ru-RU"/>
        </w:rPr>
        <w:t xml:space="preserve"> </w:t>
      </w:r>
      <w:r w:rsidR="008B330B">
        <w:rPr>
          <w:rFonts w:ascii="Times New Roman" w:eastAsia="Times New Roman" w:hAnsi="Times New Roman" w:cs="Times New Roman"/>
          <w:bCs/>
          <w:color w:val="000000"/>
          <w:sz w:val="28"/>
          <w:szCs w:val="28"/>
          <w:lang w:eastAsia="ru-RU"/>
        </w:rPr>
        <w:t>В приложении к постановлению р</w:t>
      </w:r>
      <w:r w:rsidR="00DC436F">
        <w:rPr>
          <w:rFonts w:ascii="Times New Roman" w:eastAsia="Times New Roman" w:hAnsi="Times New Roman" w:cs="Times New Roman"/>
          <w:bCs/>
          <w:color w:val="000000"/>
          <w:sz w:val="28"/>
          <w:szCs w:val="28"/>
          <w:lang w:eastAsia="ru-RU"/>
        </w:rPr>
        <w:t>аздел</w:t>
      </w:r>
      <w:r w:rsidR="00DC436F" w:rsidRPr="00DC436F">
        <w:rPr>
          <w:rFonts w:ascii="Times New Roman" w:eastAsia="Times New Roman" w:hAnsi="Times New Roman" w:cs="Times New Roman"/>
          <w:bCs/>
          <w:color w:val="000000"/>
          <w:sz w:val="28"/>
          <w:szCs w:val="28"/>
          <w:lang w:eastAsia="ru-RU"/>
        </w:rPr>
        <w:t xml:space="preserve"> </w:t>
      </w:r>
      <w:r w:rsidR="00DC436F">
        <w:rPr>
          <w:rFonts w:ascii="Times New Roman" w:eastAsia="Times New Roman" w:hAnsi="Times New Roman" w:cs="Times New Roman"/>
          <w:bCs/>
          <w:color w:val="000000"/>
          <w:sz w:val="28"/>
          <w:szCs w:val="28"/>
          <w:lang w:val="en-US" w:eastAsia="ru-RU"/>
        </w:rPr>
        <w:t>I</w:t>
      </w:r>
      <w:r w:rsidR="00DC436F" w:rsidRPr="00DC436F">
        <w:rPr>
          <w:rFonts w:ascii="Times New Roman" w:eastAsia="Times New Roman" w:hAnsi="Times New Roman" w:cs="Times New Roman"/>
          <w:bCs/>
          <w:color w:val="000000"/>
          <w:sz w:val="28"/>
          <w:szCs w:val="28"/>
          <w:lang w:eastAsia="ru-RU"/>
        </w:rPr>
        <w:t xml:space="preserve"> </w:t>
      </w:r>
      <w:r w:rsidR="007C4E30">
        <w:rPr>
          <w:rFonts w:ascii="Times New Roman" w:eastAsia="Times New Roman" w:hAnsi="Times New Roman" w:cs="Times New Roman"/>
          <w:bCs/>
          <w:color w:val="000000"/>
          <w:sz w:val="28"/>
          <w:szCs w:val="28"/>
          <w:lang w:eastAsia="ru-RU"/>
        </w:rPr>
        <w:t>«Характеристика проблемы, на решение которой</w:t>
      </w:r>
      <w:r w:rsidR="00556CDD">
        <w:rPr>
          <w:rFonts w:ascii="Times New Roman" w:eastAsia="Times New Roman" w:hAnsi="Times New Roman" w:cs="Times New Roman"/>
          <w:bCs/>
          <w:color w:val="000000"/>
          <w:sz w:val="28"/>
          <w:szCs w:val="28"/>
          <w:lang w:eastAsia="ru-RU"/>
        </w:rPr>
        <w:t xml:space="preserve"> направ</w:t>
      </w:r>
      <w:r w:rsidR="00EB2499">
        <w:rPr>
          <w:rFonts w:ascii="Times New Roman" w:eastAsia="Times New Roman" w:hAnsi="Times New Roman" w:cs="Times New Roman"/>
          <w:bCs/>
          <w:color w:val="000000"/>
          <w:sz w:val="28"/>
          <w:szCs w:val="28"/>
          <w:lang w:eastAsia="ru-RU"/>
        </w:rPr>
        <w:t>лена Программа»</w:t>
      </w:r>
      <w:r w:rsidR="00DC436F" w:rsidRPr="00DC436F">
        <w:rPr>
          <w:rFonts w:ascii="Times New Roman" w:eastAsia="Times New Roman" w:hAnsi="Times New Roman" w:cs="Times New Roman"/>
          <w:bCs/>
          <w:color w:val="000000"/>
          <w:sz w:val="28"/>
          <w:szCs w:val="28"/>
          <w:lang w:eastAsia="ru-RU"/>
        </w:rPr>
        <w:t xml:space="preserve"> </w:t>
      </w:r>
      <w:r w:rsidR="00DC436F" w:rsidRPr="00DC436F">
        <w:rPr>
          <w:rFonts w:ascii="Times New Roman" w:eastAsia="Calibri" w:hAnsi="Times New Roman" w:cs="Times New Roman"/>
          <w:sz w:val="28"/>
          <w:szCs w:val="28"/>
          <w:lang w:eastAsia="ru-RU"/>
        </w:rPr>
        <w:t xml:space="preserve"> </w:t>
      </w:r>
      <w:r w:rsidR="00DC436F" w:rsidRPr="00DC436F">
        <w:rPr>
          <w:rFonts w:ascii="Times New Roman" w:eastAsia="Times New Roman" w:hAnsi="Times New Roman" w:cs="Times New Roman"/>
          <w:bCs/>
          <w:sz w:val="28"/>
          <w:szCs w:val="28"/>
          <w:lang w:eastAsia="ru-RU"/>
        </w:rPr>
        <w:t>изложить в следующей редакции:</w:t>
      </w:r>
    </w:p>
    <w:p w:rsidR="00DC436F" w:rsidRPr="00DC436F" w:rsidRDefault="00EB2499" w:rsidP="009752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436F" w:rsidRPr="00DC436F">
        <w:rPr>
          <w:rFonts w:ascii="Times New Roman" w:eastAsia="Times New Roman" w:hAnsi="Times New Roman" w:cs="Times New Roman"/>
          <w:sz w:val="28"/>
          <w:szCs w:val="28"/>
          <w:lang w:eastAsia="ru-RU"/>
        </w:rPr>
        <w:t>1.1. Характеристика текущего состояния, основные проблемы в секторе благоустройства, жилищного и дорожного хозяйства.</w:t>
      </w:r>
    </w:p>
    <w:p w:rsidR="00DC436F" w:rsidRPr="00DC436F" w:rsidRDefault="00DC436F" w:rsidP="00975208">
      <w:pPr>
        <w:spacing w:after="0" w:line="240" w:lineRule="auto"/>
        <w:ind w:firstLine="567"/>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Проведение работ по благоустройству осуществляется органами местного самоуправления, а также организациями всех форм собственности, населением города.</w:t>
      </w:r>
    </w:p>
    <w:p w:rsidR="00DC436F" w:rsidRPr="00DC436F" w:rsidRDefault="00DC436F" w:rsidP="00975208">
      <w:pPr>
        <w:spacing w:after="0" w:line="240" w:lineRule="auto"/>
        <w:ind w:firstLine="567"/>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Благоустройство территории муниципального образования представляет собой комплекс мероприятий, направленных на создание благоприятных условий жизни, трудовой деятельности и досуга населения в границах муниципального образования Ханты-Мансийского автономного округа - Югры городской округ город Ханты-Мансийск (далее – муниципальное образование, город Ханты-Мансийск).</w:t>
      </w:r>
    </w:p>
    <w:p w:rsidR="00DC436F" w:rsidRPr="00DC436F" w:rsidRDefault="00DC436F" w:rsidP="00975208">
      <w:pPr>
        <w:spacing w:after="0" w:line="240" w:lineRule="auto"/>
        <w:ind w:firstLine="709"/>
        <w:jc w:val="both"/>
        <w:rPr>
          <w:rFonts w:ascii="Times New Roman" w:eastAsia="Times New Roman" w:hAnsi="Times New Roman" w:cs="Times New Roman"/>
          <w:color w:val="FF0000"/>
          <w:sz w:val="28"/>
          <w:szCs w:val="28"/>
          <w:lang w:eastAsia="ru-RU"/>
        </w:rPr>
      </w:pPr>
      <w:r w:rsidRPr="00DC436F">
        <w:rPr>
          <w:rFonts w:ascii="Times New Roman" w:eastAsia="Times New Roman" w:hAnsi="Times New Roman" w:cs="Times New Roman"/>
          <w:sz w:val="28"/>
          <w:szCs w:val="28"/>
          <w:lang w:eastAsia="ru-RU"/>
        </w:rPr>
        <w:t>Количество  благоустроенных дворовых территорий в городе Ханты-Мансийске составляет 965, требующих благоустройства – 67.</w:t>
      </w:r>
    </w:p>
    <w:p w:rsidR="00DC436F" w:rsidRPr="00DC436F" w:rsidRDefault="00DC436F" w:rsidP="00975208">
      <w:pPr>
        <w:spacing w:after="0" w:line="240" w:lineRule="auto"/>
        <w:ind w:firstLine="709"/>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города Ханты-Мансийска) составляет 67%.</w:t>
      </w:r>
    </w:p>
    <w:p w:rsidR="00DC436F" w:rsidRPr="00DC436F" w:rsidRDefault="00DC436F" w:rsidP="00975208">
      <w:pPr>
        <w:spacing w:after="0" w:line="240" w:lineRule="auto"/>
        <w:ind w:firstLine="709"/>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Площадь общественных территорий в городе Ханты-Мансийске составляет 325323 м</w:t>
      </w:r>
      <w:proofErr w:type="gramStart"/>
      <w:r w:rsidRPr="00DC436F">
        <w:rPr>
          <w:rFonts w:ascii="Times New Roman" w:eastAsia="Times New Roman" w:hAnsi="Times New Roman" w:cs="Times New Roman"/>
          <w:sz w:val="28"/>
          <w:szCs w:val="28"/>
          <w:vertAlign w:val="superscript"/>
          <w:lang w:eastAsia="ru-RU"/>
        </w:rPr>
        <w:t>2</w:t>
      </w:r>
      <w:proofErr w:type="gramEnd"/>
      <w:r w:rsidRPr="00DC436F">
        <w:rPr>
          <w:rFonts w:ascii="Times New Roman" w:eastAsia="Times New Roman" w:hAnsi="Times New Roman" w:cs="Times New Roman"/>
          <w:sz w:val="28"/>
          <w:szCs w:val="28"/>
          <w:lang w:eastAsia="ru-RU"/>
        </w:rPr>
        <w:t>, из них являются благоустроенными и находятся на обслуживании  257972 м</w:t>
      </w:r>
      <w:r w:rsidRPr="00DC436F">
        <w:rPr>
          <w:rFonts w:ascii="Times New Roman" w:eastAsia="Times New Roman" w:hAnsi="Times New Roman" w:cs="Times New Roman"/>
          <w:sz w:val="28"/>
          <w:szCs w:val="28"/>
          <w:vertAlign w:val="superscript"/>
          <w:lang w:eastAsia="ru-RU"/>
        </w:rPr>
        <w:t>2</w:t>
      </w:r>
      <w:r w:rsidRPr="00DC436F">
        <w:rPr>
          <w:rFonts w:ascii="Times New Roman" w:eastAsia="Times New Roman" w:hAnsi="Times New Roman" w:cs="Times New Roman"/>
          <w:sz w:val="28"/>
          <w:szCs w:val="28"/>
          <w:lang w:eastAsia="ru-RU"/>
        </w:rPr>
        <w:t xml:space="preserve"> (75,7%). Площадь благоустроенных общественных территорий, приходящихся на одного жителя  муниципального образования составляет 2,66 м</w:t>
      </w:r>
      <w:proofErr w:type="gramStart"/>
      <w:r w:rsidRPr="00DC436F">
        <w:rPr>
          <w:rFonts w:ascii="Times New Roman" w:eastAsia="Times New Roman" w:hAnsi="Times New Roman" w:cs="Times New Roman"/>
          <w:sz w:val="28"/>
          <w:szCs w:val="28"/>
          <w:vertAlign w:val="superscript"/>
          <w:lang w:eastAsia="ru-RU"/>
        </w:rPr>
        <w:t>2</w:t>
      </w:r>
      <w:proofErr w:type="gramEnd"/>
      <w:r w:rsidRPr="00DC436F">
        <w:rPr>
          <w:rFonts w:ascii="Times New Roman" w:eastAsia="Times New Roman" w:hAnsi="Times New Roman" w:cs="Times New Roman"/>
          <w:sz w:val="28"/>
          <w:szCs w:val="28"/>
          <w:lang w:eastAsia="ru-RU"/>
        </w:rPr>
        <w:t>/чел.</w:t>
      </w:r>
    </w:p>
    <w:p w:rsidR="00DC436F" w:rsidRPr="00DC436F" w:rsidRDefault="00DC436F" w:rsidP="00975208">
      <w:pPr>
        <w:spacing w:after="0" w:line="240" w:lineRule="auto"/>
        <w:ind w:firstLine="709"/>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Площадь общественных территорий от общего количества таких территорий, нуждающихся в благоустройстве составляет 67345 м</w:t>
      </w:r>
      <w:proofErr w:type="gramStart"/>
      <w:r w:rsidRPr="00DC436F">
        <w:rPr>
          <w:rFonts w:ascii="Times New Roman" w:eastAsia="Times New Roman" w:hAnsi="Times New Roman" w:cs="Times New Roman"/>
          <w:sz w:val="28"/>
          <w:szCs w:val="28"/>
          <w:vertAlign w:val="superscript"/>
          <w:lang w:eastAsia="ru-RU"/>
        </w:rPr>
        <w:t>2</w:t>
      </w:r>
      <w:proofErr w:type="gramEnd"/>
      <w:r w:rsidRPr="00DC436F">
        <w:rPr>
          <w:rFonts w:ascii="Times New Roman" w:eastAsia="Times New Roman" w:hAnsi="Times New Roman" w:cs="Times New Roman"/>
          <w:sz w:val="28"/>
          <w:szCs w:val="28"/>
          <w:lang w:eastAsia="ru-RU"/>
        </w:rPr>
        <w:t xml:space="preserve"> (24,3 %).</w:t>
      </w:r>
    </w:p>
    <w:p w:rsidR="00DC436F" w:rsidRPr="00DC436F" w:rsidRDefault="00DC436F" w:rsidP="00975208">
      <w:pPr>
        <w:spacing w:after="0" w:line="240" w:lineRule="auto"/>
        <w:ind w:firstLine="709"/>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 xml:space="preserve">Острой проблемой развития городского пространства является наличие ветхого неблагоустроенного жилого фонда, расположенного в непосредственной близости к культурным, общественным, деловым центрам города. Снос ветхих жилых домов и благоустройство освободившихся территорий благоприятно скажется на пространственной организации </w:t>
      </w:r>
      <w:r w:rsidRPr="00DC436F">
        <w:rPr>
          <w:rFonts w:ascii="Times New Roman" w:eastAsia="Times New Roman" w:hAnsi="Times New Roman" w:cs="Times New Roman"/>
          <w:sz w:val="28"/>
          <w:szCs w:val="28"/>
          <w:lang w:eastAsia="ru-RU"/>
        </w:rPr>
        <w:lastRenderedPageBreak/>
        <w:t>городской среды, позволит улучшить внешний эстетический облик города. В 2016 году снесено 15 ветхих жилых домов, в 2017 – 18 домов.</w:t>
      </w:r>
    </w:p>
    <w:p w:rsidR="00DC436F" w:rsidRPr="00DC436F" w:rsidRDefault="00DC436F" w:rsidP="00975208">
      <w:pPr>
        <w:spacing w:after="0" w:line="240" w:lineRule="auto"/>
        <w:ind w:firstLine="709"/>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Для развития безопасности системы дорожного движения требуется проведение мероприятий по совершенствованию организации движения транспортных средств и пешеходов. В целях повышения эффективности передвижения транспортах средств, необходимо увеличивать объемы и повышать качество ремонтно-восстановительных дорожных работ, восстановление асфальтового покрытия дорог, тротуаров, ремонт пешеходных дорожек, ограждений, обеспечить надлежащее содержание объектов дорожного хозяйства. Протяженность автомобильных дорог общего пользования местного значения, находящихся на обслуживании, в 2016 году составила 151,7 км</w:t>
      </w:r>
      <w:proofErr w:type="gramStart"/>
      <w:r w:rsidRPr="00DC436F">
        <w:rPr>
          <w:rFonts w:ascii="Times New Roman" w:eastAsia="Times New Roman" w:hAnsi="Times New Roman" w:cs="Times New Roman"/>
          <w:sz w:val="28"/>
          <w:szCs w:val="28"/>
          <w:lang w:eastAsia="ru-RU"/>
        </w:rPr>
        <w:t xml:space="preserve">., </w:t>
      </w:r>
      <w:proofErr w:type="gramEnd"/>
      <w:r w:rsidRPr="00DC436F">
        <w:rPr>
          <w:rFonts w:ascii="Times New Roman" w:eastAsia="Times New Roman" w:hAnsi="Times New Roman" w:cs="Times New Roman"/>
          <w:sz w:val="28"/>
          <w:szCs w:val="28"/>
          <w:lang w:eastAsia="ru-RU"/>
        </w:rPr>
        <w:t>в 2017 -  162, 2 км.</w:t>
      </w:r>
    </w:p>
    <w:p w:rsidR="00DC436F" w:rsidRPr="00DC436F" w:rsidRDefault="00DC436F" w:rsidP="00975208">
      <w:pPr>
        <w:spacing w:after="0" w:line="240" w:lineRule="auto"/>
        <w:ind w:firstLine="709"/>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Наблюдается положительная динамика по снижению объемов ликвидированных стихийных свалок. В 2016 году осуществлен сбор и вывоз 13 000 м</w:t>
      </w:r>
      <w:r w:rsidRPr="00DC436F">
        <w:rPr>
          <w:rFonts w:ascii="Times New Roman" w:eastAsia="Times New Roman" w:hAnsi="Times New Roman" w:cs="Times New Roman"/>
          <w:sz w:val="28"/>
          <w:szCs w:val="28"/>
          <w:vertAlign w:val="superscript"/>
          <w:lang w:eastAsia="ru-RU"/>
        </w:rPr>
        <w:t>3</w:t>
      </w:r>
      <w:r w:rsidRPr="00DC436F">
        <w:rPr>
          <w:rFonts w:ascii="Times New Roman" w:eastAsia="Times New Roman" w:hAnsi="Times New Roman" w:cs="Times New Roman"/>
          <w:sz w:val="28"/>
          <w:szCs w:val="28"/>
          <w:lang w:eastAsia="ru-RU"/>
        </w:rPr>
        <w:t xml:space="preserve"> мусора с территории муниципального образования, в 2017 – 12 000м</w:t>
      </w:r>
      <w:r w:rsidRPr="00DC436F">
        <w:rPr>
          <w:rFonts w:ascii="Times New Roman" w:eastAsia="Times New Roman" w:hAnsi="Times New Roman" w:cs="Times New Roman"/>
          <w:sz w:val="28"/>
          <w:szCs w:val="28"/>
          <w:vertAlign w:val="superscript"/>
          <w:lang w:eastAsia="ru-RU"/>
        </w:rPr>
        <w:t>3</w:t>
      </w:r>
      <w:r w:rsidRPr="00DC436F">
        <w:rPr>
          <w:rFonts w:ascii="Times New Roman" w:eastAsia="Times New Roman" w:hAnsi="Times New Roman" w:cs="Times New Roman"/>
          <w:sz w:val="28"/>
          <w:szCs w:val="28"/>
          <w:lang w:eastAsia="ru-RU"/>
        </w:rPr>
        <w:t>. Однако, несмотря на положительные тенденции, проблема с несанкционированным размещением отходов остается.</w:t>
      </w:r>
    </w:p>
    <w:p w:rsidR="00DC436F" w:rsidRPr="00DC436F" w:rsidRDefault="00DC436F" w:rsidP="00975208">
      <w:pPr>
        <w:spacing w:after="0" w:line="240" w:lineRule="auto"/>
        <w:ind w:firstLine="709"/>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 xml:space="preserve">Ситуация в жилищном хозяйстве города Ханты-Мансийска характеризуется ростом износа многоквартирных домов и, как следствие, их низкой </w:t>
      </w:r>
      <w:proofErr w:type="spellStart"/>
      <w:r w:rsidRPr="00DC436F">
        <w:rPr>
          <w:rFonts w:ascii="Times New Roman" w:eastAsia="Times New Roman" w:hAnsi="Times New Roman" w:cs="Times New Roman"/>
          <w:sz w:val="28"/>
          <w:szCs w:val="28"/>
          <w:lang w:eastAsia="ru-RU"/>
        </w:rPr>
        <w:t>энергоэффективностью</w:t>
      </w:r>
      <w:proofErr w:type="spellEnd"/>
      <w:r w:rsidRPr="00DC436F">
        <w:rPr>
          <w:rFonts w:ascii="Times New Roman" w:eastAsia="Times New Roman" w:hAnsi="Times New Roman" w:cs="Times New Roman"/>
          <w:sz w:val="28"/>
          <w:szCs w:val="28"/>
          <w:lang w:eastAsia="ru-RU"/>
        </w:rPr>
        <w:t xml:space="preserve">. </w:t>
      </w:r>
    </w:p>
    <w:p w:rsidR="00DC436F" w:rsidRPr="00DC436F" w:rsidRDefault="00DC436F" w:rsidP="00975208">
      <w:pPr>
        <w:spacing w:after="0" w:line="240" w:lineRule="auto"/>
        <w:ind w:firstLine="709"/>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Ежегодно ремонтируется более 100 муниципальных жилых помещений. В 2016 году отремо</w:t>
      </w:r>
      <w:r w:rsidR="006132A4">
        <w:rPr>
          <w:rFonts w:ascii="Times New Roman" w:eastAsia="Times New Roman" w:hAnsi="Times New Roman" w:cs="Times New Roman"/>
          <w:sz w:val="28"/>
          <w:szCs w:val="28"/>
          <w:lang w:eastAsia="ru-RU"/>
        </w:rPr>
        <w:t>нтировано 107 квартир, 2017 – 11</w:t>
      </w:r>
      <w:r w:rsidRPr="00DC436F">
        <w:rPr>
          <w:rFonts w:ascii="Times New Roman" w:eastAsia="Times New Roman" w:hAnsi="Times New Roman" w:cs="Times New Roman"/>
          <w:sz w:val="28"/>
          <w:szCs w:val="28"/>
          <w:lang w:eastAsia="ru-RU"/>
        </w:rPr>
        <w:t>0.</w:t>
      </w:r>
    </w:p>
    <w:p w:rsidR="00DC436F" w:rsidRPr="00DC436F" w:rsidRDefault="00DC436F" w:rsidP="00975208">
      <w:pPr>
        <w:tabs>
          <w:tab w:val="left" w:pos="0"/>
        </w:tabs>
        <w:spacing w:after="0" w:line="240" w:lineRule="auto"/>
        <w:ind w:firstLine="709"/>
        <w:jc w:val="both"/>
        <w:rPr>
          <w:rFonts w:ascii="Times New Roman" w:eastAsia="Calibri" w:hAnsi="Times New Roman" w:cs="Times New Roman"/>
          <w:sz w:val="28"/>
          <w:szCs w:val="28"/>
        </w:rPr>
      </w:pPr>
      <w:r w:rsidRPr="00DC436F">
        <w:rPr>
          <w:rFonts w:ascii="Times New Roman" w:eastAsia="Calibri" w:hAnsi="Times New Roman" w:cs="Times New Roman"/>
          <w:sz w:val="28"/>
          <w:szCs w:val="28"/>
        </w:rPr>
        <w:t>Для решения выше указанных проблем требуется участие и взаимодействие органов местного самоуправления муниципального образования с привлечением населения, наличия финансирования с привлечением источников всех уровней, что обусловливает необходимость разработки и применения Программы.</w:t>
      </w:r>
    </w:p>
    <w:p w:rsidR="00DC436F" w:rsidRPr="00DC436F" w:rsidRDefault="00DC436F" w:rsidP="00975208">
      <w:pPr>
        <w:tabs>
          <w:tab w:val="left" w:pos="0"/>
        </w:tabs>
        <w:spacing w:after="0" w:line="240" w:lineRule="auto"/>
        <w:jc w:val="both"/>
        <w:rPr>
          <w:rFonts w:ascii="Times New Roman" w:eastAsia="Calibri" w:hAnsi="Times New Roman" w:cs="Times New Roman"/>
          <w:sz w:val="28"/>
          <w:szCs w:val="28"/>
        </w:rPr>
      </w:pPr>
      <w:r w:rsidRPr="00DC436F">
        <w:rPr>
          <w:rFonts w:ascii="Times New Roman" w:eastAsia="Calibri" w:hAnsi="Times New Roman" w:cs="Times New Roman"/>
          <w:sz w:val="28"/>
          <w:szCs w:val="28"/>
        </w:rPr>
        <w:tab/>
        <w:t>Для решения проблем по благоустройству города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будет способствовать повышению уровня комфортного проживания, доступности городской среды.</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1.2. О</w:t>
      </w:r>
      <w:r w:rsidR="008B330B">
        <w:rPr>
          <w:rFonts w:ascii="Times New Roman" w:eastAsia="Times New Roman" w:hAnsi="Times New Roman" w:cs="Times New Roman"/>
          <w:color w:val="000000"/>
          <w:sz w:val="28"/>
          <w:szCs w:val="28"/>
          <w:lang w:eastAsia="ru-RU"/>
        </w:rPr>
        <w:t>сновные направления реализации П</w:t>
      </w:r>
      <w:r w:rsidRPr="00DC436F">
        <w:rPr>
          <w:rFonts w:ascii="Times New Roman" w:eastAsia="Times New Roman" w:hAnsi="Times New Roman" w:cs="Times New Roman"/>
          <w:color w:val="000000"/>
          <w:sz w:val="28"/>
          <w:szCs w:val="28"/>
          <w:lang w:eastAsia="ru-RU"/>
        </w:rPr>
        <w:t>рограммы:</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развитие жилищного хозяйства города Ханты-Мансийска, формирование и реализация единой политики в области жилищного комплекса;</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повышение качества и объема ремонтно-восстановительных  дорожных работ, содержание объектов улично-дорожной сети в надлежащем состоянии;</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реализация мер по созданию благоприятной окружающей среды, озеленение городских территорий и формирование экологической культуры населения;</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обеспечение освещения улиц города;</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расширение сети ливневой канализации и обеспечение ее надлежащего содержания;</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снос ветхих жилых домов;</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благоустройство общественных территорий и дворовых территорий города, создание комфортных условий проживания и доступной среды для маломобильных групп населения;</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lastRenderedPageBreak/>
        <w:t>привлечение жителей к участию в решении проблем благоустройства дворовых территорий и мест общего пользования.</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Программа представляет собой комплекс мероприятий в сфере жилищно-коммунального хозяйства, благоустройства и обеспечения безопасности дорожного движения, направленных на улучшение эстетического облика городских территорий и создание комфортных условий для проживания населения города Ханты-Мансийска.</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 xml:space="preserve">Приоритетным направлением деятельности Администрации города Ханты-Мансийска в сфере благоустройства является создание благоприятных и наиболее комфортных условий жизнедеятельности граждан, создание современных социально-бытовых условий проживания. </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Важной составляющей реализации мероприятий Программы является улучшение эстетического облика города, формирование благоприятного микроклимата в местах проживания населения.</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DC436F">
        <w:rPr>
          <w:rFonts w:ascii="Times New Roman" w:eastAsia="Times New Roman" w:hAnsi="Times New Roman" w:cs="Times New Roman"/>
          <w:color w:val="000000"/>
          <w:sz w:val="28"/>
          <w:szCs w:val="28"/>
          <w:lang w:eastAsia="ru-RU"/>
        </w:rPr>
        <w:t xml:space="preserve">Мероприятия Программы направлены на увеличение объема капитального ремонта жилищного фонда, что позволит улучшить качество жилищного фонда, создать более комфортные условия проживания граждан, снизить расходы на оплату энергоресурсов за счет повышения </w:t>
      </w:r>
      <w:proofErr w:type="spellStart"/>
      <w:r w:rsidRPr="00DC436F">
        <w:rPr>
          <w:rFonts w:ascii="Times New Roman" w:eastAsia="Times New Roman" w:hAnsi="Times New Roman" w:cs="Times New Roman"/>
          <w:color w:val="000000"/>
          <w:sz w:val="28"/>
          <w:szCs w:val="28"/>
          <w:lang w:eastAsia="ru-RU"/>
        </w:rPr>
        <w:t>энергоэффективности</w:t>
      </w:r>
      <w:proofErr w:type="spellEnd"/>
      <w:r w:rsidRPr="00DC436F">
        <w:rPr>
          <w:rFonts w:ascii="Times New Roman" w:eastAsia="Times New Roman" w:hAnsi="Times New Roman" w:cs="Times New Roman"/>
          <w:color w:val="000000"/>
          <w:sz w:val="28"/>
          <w:szCs w:val="28"/>
          <w:lang w:eastAsia="ru-RU"/>
        </w:rPr>
        <w:t xml:space="preserve"> жилых зданий, а также существенно сократить ежегодный прирост ветхого и аварийного жилищного фонда и затраты на переселение граждан из него.</w:t>
      </w:r>
      <w:proofErr w:type="gramEnd"/>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Мероприятия Программы направлены на обеспечение безопасности дорожного движения, содержание дорог города Ханты-Мансийска в надлежащем состоянии, отвечающем требованиям действующего законодательства.</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 xml:space="preserve">Освещение территорий города создает удобство пользования тротуарами, дорожками, проездами, скверами. Освещение зданий, памятников, фонтанов и рекламные конструкции, имеющие подсветку, создают определенный архитектурно-художественный образ </w:t>
      </w:r>
      <w:proofErr w:type="gramStart"/>
      <w:r w:rsidRPr="00DC436F">
        <w:rPr>
          <w:rFonts w:ascii="Times New Roman" w:eastAsia="Times New Roman" w:hAnsi="Times New Roman" w:cs="Times New Roman"/>
          <w:color w:val="000000"/>
          <w:sz w:val="28"/>
          <w:szCs w:val="28"/>
          <w:lang w:eastAsia="ru-RU"/>
        </w:rPr>
        <w:t>вечернего</w:t>
      </w:r>
      <w:proofErr w:type="gramEnd"/>
      <w:r w:rsidRPr="00DC436F">
        <w:rPr>
          <w:rFonts w:ascii="Times New Roman" w:eastAsia="Times New Roman" w:hAnsi="Times New Roman" w:cs="Times New Roman"/>
          <w:color w:val="000000"/>
          <w:sz w:val="28"/>
          <w:szCs w:val="28"/>
          <w:lang w:eastAsia="ru-RU"/>
        </w:rPr>
        <w:t xml:space="preserve"> города.</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В результате сноса ветхих домов, признанных в установленном законом порядке аварийными, а также достигнувших предельного физического износа, будут созданы условия для строительства современных благоустроенных зданий, модернизации инженерной инфраструктуры.</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 xml:space="preserve">Программа направлена на развитие сети коммуникаций водоотведения для осуществления полноценного водосбора дождевых и талых вод, а также рассчитана обеспечить поддержание инженерных сетей ливневой канализации в технически исправном состоянии, что в свою очередь позволит не допустить причинения значительного ущерба городской инфраструктуре, имуществу жителей города. </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Для повышения уровня культуры жителей города Ханты-Мансийска по отношению к окружающей среде, содержанию имущества, благоустройству ежегодно проводятся конкурсы на звание «Самый благоустроенный двор», «Образцовый дом», «Лучшая управляющая организация» и присвоение знака «Кедровая ветвь».</w:t>
      </w:r>
    </w:p>
    <w:p w:rsidR="00DC436F" w:rsidRP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C436F">
        <w:rPr>
          <w:rFonts w:ascii="Times New Roman" w:eastAsia="Times New Roman" w:hAnsi="Times New Roman" w:cs="Times New Roman"/>
          <w:color w:val="000000"/>
          <w:sz w:val="28"/>
          <w:szCs w:val="28"/>
          <w:lang w:eastAsia="ru-RU"/>
        </w:rPr>
        <w:t>Одним из эффективных факторов оздоровления городской среды является озеленение жилых районов и улично-дорожной сети города Ханты-</w:t>
      </w:r>
      <w:r w:rsidRPr="00DC436F">
        <w:rPr>
          <w:rFonts w:ascii="Times New Roman" w:eastAsia="Times New Roman" w:hAnsi="Times New Roman" w:cs="Times New Roman"/>
          <w:color w:val="000000"/>
          <w:sz w:val="28"/>
          <w:szCs w:val="28"/>
          <w:lang w:eastAsia="ru-RU"/>
        </w:rPr>
        <w:lastRenderedPageBreak/>
        <w:t>Мансийска. Зеленые насаждения обладают значительными возможностями для улучшения климата, придают окружающей среде комфортные и высокие санитарно-гигиенические свойства. Кроме того, зеленые насаждения благотворно влияют на температурный режим и влажность воздуха, защищают от сильных ветров, снижают уровень городского шума.</w:t>
      </w:r>
    </w:p>
    <w:p w:rsidR="00DC436F" w:rsidRDefault="00DC436F"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436F">
        <w:rPr>
          <w:rFonts w:ascii="Times New Roman" w:eastAsia="Times New Roman" w:hAnsi="Times New Roman" w:cs="Times New Roman"/>
          <w:sz w:val="28"/>
          <w:szCs w:val="28"/>
          <w:lang w:eastAsia="ru-RU"/>
        </w:rPr>
        <w:t>Мероприятия Программы направлены на снижение количества стихийных свалок, предотвращение захламления всевозможными производственными, хозяйственными и коммунальными отходами в черте города Ханты-Мансийска, которые неблагоприятно влияют на состояние окружающей природной среды</w:t>
      </w:r>
      <w:proofErr w:type="gramStart"/>
      <w:r w:rsidRPr="00DC436F">
        <w:rPr>
          <w:rFonts w:ascii="Times New Roman" w:eastAsia="Times New Roman" w:hAnsi="Times New Roman" w:cs="Times New Roman"/>
          <w:sz w:val="28"/>
          <w:szCs w:val="28"/>
          <w:lang w:eastAsia="ru-RU"/>
        </w:rPr>
        <w:t>.</w:t>
      </w:r>
      <w:r w:rsidR="006132A4">
        <w:rPr>
          <w:rFonts w:ascii="Times New Roman" w:eastAsia="Times New Roman" w:hAnsi="Times New Roman" w:cs="Times New Roman"/>
          <w:sz w:val="28"/>
          <w:szCs w:val="28"/>
          <w:lang w:eastAsia="ru-RU"/>
        </w:rPr>
        <w:t>»</w:t>
      </w:r>
      <w:r w:rsidR="003C29EA">
        <w:rPr>
          <w:rFonts w:ascii="Times New Roman" w:eastAsia="Times New Roman" w:hAnsi="Times New Roman" w:cs="Times New Roman"/>
          <w:sz w:val="28"/>
          <w:szCs w:val="28"/>
          <w:lang w:eastAsia="ru-RU"/>
        </w:rPr>
        <w:t>.</w:t>
      </w:r>
      <w:proofErr w:type="gramEnd"/>
    </w:p>
    <w:p w:rsidR="00071E0E" w:rsidRPr="008B330B" w:rsidRDefault="00071E0E" w:rsidP="00975208">
      <w:pPr>
        <w:pStyle w:val="a3"/>
        <w:widowControl w:val="0"/>
        <w:numPr>
          <w:ilvl w:val="1"/>
          <w:numId w:val="16"/>
        </w:numPr>
        <w:autoSpaceDE w:val="0"/>
        <w:autoSpaceDN w:val="0"/>
        <w:adjustRightInd w:val="0"/>
        <w:spacing w:after="0" w:line="240" w:lineRule="auto"/>
        <w:ind w:hanging="153"/>
        <w:jc w:val="both"/>
        <w:rPr>
          <w:rFonts w:ascii="Times New Roman" w:eastAsia="Times New Roman" w:hAnsi="Times New Roman" w:cs="Times New Roman"/>
          <w:sz w:val="28"/>
          <w:szCs w:val="28"/>
          <w:lang w:eastAsia="ru-RU"/>
        </w:rPr>
      </w:pPr>
      <w:r w:rsidRPr="008B330B">
        <w:rPr>
          <w:rFonts w:ascii="Times New Roman" w:eastAsia="Times New Roman" w:hAnsi="Times New Roman" w:cs="Times New Roman"/>
          <w:sz w:val="28"/>
          <w:szCs w:val="28"/>
          <w:lang w:eastAsia="ru-RU"/>
        </w:rPr>
        <w:t xml:space="preserve">Пункт 3 раздела </w:t>
      </w:r>
      <w:r w:rsidRPr="008B330B">
        <w:rPr>
          <w:rFonts w:ascii="Times New Roman" w:eastAsia="Times New Roman" w:hAnsi="Times New Roman" w:cs="Times New Roman"/>
          <w:sz w:val="28"/>
          <w:szCs w:val="28"/>
          <w:lang w:val="en-US" w:eastAsia="ru-RU"/>
        </w:rPr>
        <w:t>II</w:t>
      </w:r>
      <w:r w:rsidR="00597F07">
        <w:rPr>
          <w:rFonts w:ascii="Times New Roman" w:eastAsia="Times New Roman" w:hAnsi="Times New Roman" w:cs="Times New Roman"/>
          <w:sz w:val="28"/>
          <w:szCs w:val="28"/>
          <w:lang w:eastAsia="ru-RU"/>
        </w:rPr>
        <w:t xml:space="preserve"> приложения к постановлению</w:t>
      </w:r>
      <w:r w:rsidRPr="008B330B">
        <w:rPr>
          <w:rFonts w:ascii="Times New Roman" w:eastAsia="Times New Roman" w:hAnsi="Times New Roman" w:cs="Times New Roman"/>
          <w:sz w:val="28"/>
          <w:szCs w:val="28"/>
          <w:lang w:eastAsia="ru-RU"/>
        </w:rPr>
        <w:t xml:space="preserve"> изложить в следующей редакции:</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1E0E">
        <w:rPr>
          <w:rFonts w:ascii="Times New Roman" w:eastAsia="Times New Roman" w:hAnsi="Times New Roman" w:cs="Times New Roman"/>
          <w:sz w:val="28"/>
          <w:szCs w:val="28"/>
          <w:lang w:eastAsia="ru-RU"/>
        </w:rPr>
        <w:t>3. Показатели, характеризующие результаты реализации муниципальной программы:</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w:t>
      </w:r>
      <w:r w:rsidR="00194AF2">
        <w:rPr>
          <w:rFonts w:ascii="Times New Roman" w:eastAsia="Times New Roman" w:hAnsi="Times New Roman" w:cs="Times New Roman"/>
          <w:sz w:val="28"/>
          <w:szCs w:val="28"/>
          <w:lang w:eastAsia="ru-RU"/>
        </w:rPr>
        <w:t>ким износом от 31 до 70%, на 4,5</w:t>
      </w:r>
      <w:r w:rsidRPr="00071E0E">
        <w:rPr>
          <w:rFonts w:ascii="Times New Roman" w:eastAsia="Times New Roman" w:hAnsi="Times New Roman" w:cs="Times New Roman"/>
          <w:sz w:val="28"/>
          <w:szCs w:val="28"/>
          <w:lang w:eastAsia="ru-RU"/>
        </w:rPr>
        <w:t>%;</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2) увеличение доли площади жилищного фонда, обеспеченного всеми видами благоустройства, в общей площад</w:t>
      </w:r>
      <w:r w:rsidR="00194AF2">
        <w:rPr>
          <w:rFonts w:ascii="Times New Roman" w:eastAsia="Times New Roman" w:hAnsi="Times New Roman" w:cs="Times New Roman"/>
          <w:sz w:val="28"/>
          <w:szCs w:val="28"/>
          <w:lang w:eastAsia="ru-RU"/>
        </w:rPr>
        <w:t>и жилищного фонда города, на 1,4</w:t>
      </w:r>
      <w:r w:rsidRPr="00071E0E">
        <w:rPr>
          <w:rFonts w:ascii="Times New Roman" w:eastAsia="Times New Roman" w:hAnsi="Times New Roman" w:cs="Times New Roman"/>
          <w:sz w:val="28"/>
          <w:szCs w:val="28"/>
          <w:lang w:eastAsia="ru-RU"/>
        </w:rPr>
        <w:t>%;</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 xml:space="preserve">3) увеличение количества отремонтированных жилых помещений муниципального жилого фонда до </w:t>
      </w:r>
      <w:r w:rsidR="00194AF2">
        <w:rPr>
          <w:rFonts w:ascii="Times New Roman" w:eastAsia="Times New Roman" w:hAnsi="Times New Roman" w:cs="Times New Roman"/>
          <w:sz w:val="28"/>
          <w:szCs w:val="28"/>
          <w:lang w:eastAsia="ru-RU"/>
        </w:rPr>
        <w:t>100</w:t>
      </w:r>
      <w:r w:rsidRPr="00071E0E">
        <w:rPr>
          <w:rFonts w:ascii="Times New Roman" w:eastAsia="Times New Roman" w:hAnsi="Times New Roman" w:cs="Times New Roman"/>
          <w:sz w:val="28"/>
          <w:szCs w:val="28"/>
          <w:lang w:eastAsia="ru-RU"/>
        </w:rPr>
        <w:t xml:space="preserve"> единиц в год;</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4) увеличение количества помещений специализированного жилищного фонда, в которых произведен капитальный ремонт, на 3 единицы в год;</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5) снижение количества многоквартирных домов, подлежащих комплексному (выборочн</w:t>
      </w:r>
      <w:r w:rsidR="00194AF2">
        <w:rPr>
          <w:rFonts w:ascii="Times New Roman" w:eastAsia="Times New Roman" w:hAnsi="Times New Roman" w:cs="Times New Roman"/>
          <w:sz w:val="28"/>
          <w:szCs w:val="28"/>
          <w:lang w:eastAsia="ru-RU"/>
        </w:rPr>
        <w:t>ому) капитальному ремонту, на 43</w:t>
      </w:r>
      <w:r w:rsidRPr="00071E0E">
        <w:rPr>
          <w:rFonts w:ascii="Times New Roman" w:eastAsia="Times New Roman" w:hAnsi="Times New Roman" w:cs="Times New Roman"/>
          <w:sz w:val="28"/>
          <w:szCs w:val="28"/>
          <w:lang w:eastAsia="ru-RU"/>
        </w:rPr>
        <w:t xml:space="preserve"> единиц;</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6) снижение доли аварийного жилищного фонда в общем объеме муниципально</w:t>
      </w:r>
      <w:r w:rsidR="00194AF2">
        <w:rPr>
          <w:rFonts w:ascii="Times New Roman" w:eastAsia="Times New Roman" w:hAnsi="Times New Roman" w:cs="Times New Roman"/>
          <w:sz w:val="28"/>
          <w:szCs w:val="28"/>
          <w:lang w:eastAsia="ru-RU"/>
        </w:rPr>
        <w:t>го жилищного фонда города на 0,7</w:t>
      </w:r>
      <w:r w:rsidRPr="00071E0E">
        <w:rPr>
          <w:rFonts w:ascii="Times New Roman" w:eastAsia="Times New Roman" w:hAnsi="Times New Roman" w:cs="Times New Roman"/>
          <w:sz w:val="28"/>
          <w:szCs w:val="28"/>
          <w:lang w:eastAsia="ru-RU"/>
        </w:rPr>
        <w:t>%;</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7) увеличение доли общей протяженности освещенных частей улиц города в общей площади улично-дорожной сети на 1%;</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 xml:space="preserve">8) увеличение протяженности линий освещения на автомобильных дорогах и искусственных сооружениях на </w:t>
      </w:r>
      <w:r w:rsidR="00194AF2">
        <w:rPr>
          <w:rFonts w:ascii="Times New Roman" w:eastAsia="Times New Roman" w:hAnsi="Times New Roman" w:cs="Times New Roman"/>
          <w:sz w:val="28"/>
          <w:szCs w:val="28"/>
          <w:lang w:eastAsia="ru-RU"/>
        </w:rPr>
        <w:t>45</w:t>
      </w:r>
      <w:r w:rsidRPr="00071E0E">
        <w:rPr>
          <w:rFonts w:ascii="Times New Roman" w:eastAsia="Times New Roman" w:hAnsi="Times New Roman" w:cs="Times New Roman"/>
          <w:sz w:val="28"/>
          <w:szCs w:val="28"/>
          <w:lang w:eastAsia="ru-RU"/>
        </w:rPr>
        <w:t xml:space="preserve"> км;</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9) увеличение протяженности автомобильных дорог общего пол</w:t>
      </w:r>
      <w:r w:rsidR="00194AF2">
        <w:rPr>
          <w:rFonts w:ascii="Times New Roman" w:eastAsia="Times New Roman" w:hAnsi="Times New Roman" w:cs="Times New Roman"/>
          <w:sz w:val="28"/>
          <w:szCs w:val="28"/>
          <w:lang w:eastAsia="ru-RU"/>
        </w:rPr>
        <w:t>ьзования местного значения на 34</w:t>
      </w:r>
      <w:r w:rsidRPr="00071E0E">
        <w:rPr>
          <w:rFonts w:ascii="Times New Roman" w:eastAsia="Times New Roman" w:hAnsi="Times New Roman" w:cs="Times New Roman"/>
          <w:sz w:val="28"/>
          <w:szCs w:val="28"/>
          <w:lang w:eastAsia="ru-RU"/>
        </w:rPr>
        <w:t>,8 км;</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10)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составит 0%;</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11) увеличение протяженности дорог 1 категории (магистральные дороги регулируемого движения) на 0,</w:t>
      </w:r>
      <w:r w:rsidR="00194AF2">
        <w:rPr>
          <w:rFonts w:ascii="Times New Roman" w:eastAsia="Times New Roman" w:hAnsi="Times New Roman" w:cs="Times New Roman"/>
          <w:sz w:val="28"/>
          <w:szCs w:val="28"/>
          <w:lang w:eastAsia="ru-RU"/>
        </w:rPr>
        <w:t>39</w:t>
      </w:r>
      <w:r w:rsidRPr="00071E0E">
        <w:rPr>
          <w:rFonts w:ascii="Times New Roman" w:eastAsia="Times New Roman" w:hAnsi="Times New Roman" w:cs="Times New Roman"/>
          <w:sz w:val="28"/>
          <w:szCs w:val="28"/>
          <w:lang w:eastAsia="ru-RU"/>
        </w:rPr>
        <w:t xml:space="preserve"> км;</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12) увеличение протяженности дорог 2 категории (магистральные улицы общегородского значени</w:t>
      </w:r>
      <w:r w:rsidR="00194AF2">
        <w:rPr>
          <w:rFonts w:ascii="Times New Roman" w:eastAsia="Times New Roman" w:hAnsi="Times New Roman" w:cs="Times New Roman"/>
          <w:sz w:val="28"/>
          <w:szCs w:val="28"/>
          <w:lang w:eastAsia="ru-RU"/>
        </w:rPr>
        <w:t>я регулируемого движения) на 4</w:t>
      </w:r>
      <w:r w:rsidRPr="00071E0E">
        <w:rPr>
          <w:rFonts w:ascii="Times New Roman" w:eastAsia="Times New Roman" w:hAnsi="Times New Roman" w:cs="Times New Roman"/>
          <w:sz w:val="28"/>
          <w:szCs w:val="28"/>
          <w:lang w:eastAsia="ru-RU"/>
        </w:rPr>
        <w:t xml:space="preserve"> км;</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 xml:space="preserve">13) увеличение доли восстановленных газонов в соответствии с критериями оценки качества содержания зеленого хозяйства на </w:t>
      </w:r>
      <w:r w:rsidR="00194AF2">
        <w:rPr>
          <w:rFonts w:ascii="Times New Roman" w:eastAsia="Times New Roman" w:hAnsi="Times New Roman" w:cs="Times New Roman"/>
          <w:sz w:val="28"/>
          <w:szCs w:val="28"/>
          <w:lang w:eastAsia="ru-RU"/>
        </w:rPr>
        <w:t>35</w:t>
      </w:r>
      <w:r w:rsidRPr="00071E0E">
        <w:rPr>
          <w:rFonts w:ascii="Times New Roman" w:eastAsia="Times New Roman" w:hAnsi="Times New Roman" w:cs="Times New Roman"/>
          <w:sz w:val="28"/>
          <w:szCs w:val="28"/>
          <w:lang w:eastAsia="ru-RU"/>
        </w:rPr>
        <w:t>%;</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 xml:space="preserve">14) увеличение доли городских лесов, в отношении которых проведены мероприятия, направленные на устранение последствий воздействия на </w:t>
      </w:r>
      <w:r w:rsidRPr="00071E0E">
        <w:rPr>
          <w:rFonts w:ascii="Times New Roman" w:eastAsia="Times New Roman" w:hAnsi="Times New Roman" w:cs="Times New Roman"/>
          <w:sz w:val="28"/>
          <w:szCs w:val="28"/>
          <w:lang w:eastAsia="ru-RU"/>
        </w:rPr>
        <w:lastRenderedPageBreak/>
        <w:t xml:space="preserve">зеленые насаждения негативных причин и устранение самих причин, а также мероприятия по повышению уровня благоустройства, на </w:t>
      </w:r>
      <w:r w:rsidR="00194AF2">
        <w:rPr>
          <w:rFonts w:ascii="Times New Roman" w:eastAsia="Times New Roman" w:hAnsi="Times New Roman" w:cs="Times New Roman"/>
          <w:sz w:val="28"/>
          <w:szCs w:val="28"/>
          <w:lang w:eastAsia="ru-RU"/>
        </w:rPr>
        <w:t>90</w:t>
      </w:r>
      <w:r w:rsidRPr="00071E0E">
        <w:rPr>
          <w:rFonts w:ascii="Times New Roman" w:eastAsia="Times New Roman" w:hAnsi="Times New Roman" w:cs="Times New Roman"/>
          <w:sz w:val="28"/>
          <w:szCs w:val="28"/>
          <w:lang w:eastAsia="ru-RU"/>
        </w:rPr>
        <w:t>%;</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 xml:space="preserve">15) увеличение благоустроенных дворовых территорий на </w:t>
      </w:r>
      <w:r w:rsidR="00194AF2">
        <w:rPr>
          <w:rFonts w:ascii="Times New Roman" w:eastAsia="Times New Roman" w:hAnsi="Times New Roman" w:cs="Times New Roman"/>
          <w:sz w:val="28"/>
          <w:szCs w:val="28"/>
          <w:lang w:eastAsia="ru-RU"/>
        </w:rPr>
        <w:t>72</w:t>
      </w:r>
      <w:r w:rsidRPr="00071E0E">
        <w:rPr>
          <w:rFonts w:ascii="Times New Roman" w:eastAsia="Times New Roman" w:hAnsi="Times New Roman" w:cs="Times New Roman"/>
          <w:sz w:val="28"/>
          <w:szCs w:val="28"/>
          <w:lang w:eastAsia="ru-RU"/>
        </w:rPr>
        <w:t xml:space="preserve"> единиц;</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16) увеличение доли благоустроенных дворовых территорий от общего количества дворовых территорий до 100%;</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 xml:space="preserve">17) увеличение площади благоустроенных территорий общего пользования на </w:t>
      </w:r>
      <w:r w:rsidR="00194AF2">
        <w:rPr>
          <w:rFonts w:ascii="Times New Roman" w:eastAsia="Times New Roman" w:hAnsi="Times New Roman" w:cs="Times New Roman"/>
          <w:sz w:val="28"/>
          <w:szCs w:val="28"/>
          <w:lang w:eastAsia="ru-RU"/>
        </w:rPr>
        <w:t>78741</w:t>
      </w:r>
      <w:r w:rsidRPr="00071E0E">
        <w:rPr>
          <w:rFonts w:ascii="Times New Roman" w:eastAsia="Times New Roman" w:hAnsi="Times New Roman" w:cs="Times New Roman"/>
          <w:sz w:val="28"/>
          <w:szCs w:val="28"/>
          <w:lang w:eastAsia="ru-RU"/>
        </w:rPr>
        <w:t xml:space="preserve"> кв. м;</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 xml:space="preserve">18) увеличение доли площади благоустроенных общественных территорий к общей площади общественных территорий на </w:t>
      </w:r>
      <w:r w:rsidR="00194AF2">
        <w:rPr>
          <w:rFonts w:ascii="Times New Roman" w:eastAsia="Times New Roman" w:hAnsi="Times New Roman" w:cs="Times New Roman"/>
          <w:sz w:val="28"/>
          <w:szCs w:val="28"/>
          <w:lang w:eastAsia="ru-RU"/>
        </w:rPr>
        <w:t>24,3</w:t>
      </w:r>
      <w:r w:rsidRPr="00071E0E">
        <w:rPr>
          <w:rFonts w:ascii="Times New Roman" w:eastAsia="Times New Roman" w:hAnsi="Times New Roman" w:cs="Times New Roman"/>
          <w:sz w:val="28"/>
          <w:szCs w:val="28"/>
          <w:lang w:eastAsia="ru-RU"/>
        </w:rPr>
        <w:t>%</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19) увеличение объема трудового участия заинтересованных лиц в выполнении работ по благоустройству дворовых территорий до 357 чел./час в год;</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20) увеличение доли финансового участия заинтересованных лиц в выполнении работ по благоустройству дворовых территорий до 9%.</w:t>
      </w:r>
    </w:p>
    <w:p w:rsidR="00071E0E" w:rsidRP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Оценка достижения запланированных значений показателей будет осуществляться ежемесячно по итогам проведенной работы.</w:t>
      </w:r>
    </w:p>
    <w:p w:rsidR="00071E0E" w:rsidRDefault="00071E0E" w:rsidP="0097520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71E0E">
        <w:rPr>
          <w:rFonts w:ascii="Times New Roman" w:eastAsia="Times New Roman" w:hAnsi="Times New Roman" w:cs="Times New Roman"/>
          <w:sz w:val="28"/>
          <w:szCs w:val="28"/>
          <w:lang w:eastAsia="ru-RU"/>
        </w:rPr>
        <w:t>Система показателей, характеризующих результаты реализации Программы по годам, представлена в приложении 1 к настоящей Программе.</w:t>
      </w:r>
    </w:p>
    <w:p w:rsidR="00CF1E4C" w:rsidRPr="001E2FDF" w:rsidRDefault="008B330B" w:rsidP="00975208">
      <w:pPr>
        <w:widowControl w:val="0"/>
        <w:autoSpaceDE w:val="0"/>
        <w:autoSpaceDN w:val="0"/>
        <w:adjustRightInd w:val="0"/>
        <w:spacing w:after="0" w:line="240" w:lineRule="auto"/>
        <w:ind w:left="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E2FDF">
        <w:rPr>
          <w:rFonts w:ascii="Times New Roman" w:eastAsia="Times New Roman" w:hAnsi="Times New Roman" w:cs="Times New Roman"/>
          <w:sz w:val="28"/>
          <w:szCs w:val="28"/>
          <w:lang w:eastAsia="ru-RU"/>
        </w:rPr>
        <w:t xml:space="preserve"> </w:t>
      </w:r>
      <w:r w:rsidR="00CF1E4C" w:rsidRPr="001E2FDF">
        <w:rPr>
          <w:rFonts w:ascii="Times New Roman" w:eastAsia="Times New Roman" w:hAnsi="Times New Roman" w:cs="Times New Roman"/>
          <w:sz w:val="28"/>
          <w:szCs w:val="28"/>
          <w:lang w:eastAsia="ru-RU"/>
        </w:rPr>
        <w:t xml:space="preserve">Раздел </w:t>
      </w:r>
      <w:r w:rsidR="00DC037A" w:rsidRPr="001E2FDF">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приложения к постановлению</w:t>
      </w:r>
      <w:r w:rsidR="00DC037A" w:rsidRPr="001E2FDF">
        <w:rPr>
          <w:rFonts w:ascii="Times New Roman" w:eastAsia="Times New Roman" w:hAnsi="Times New Roman" w:cs="Times New Roman"/>
          <w:sz w:val="28"/>
          <w:szCs w:val="28"/>
          <w:lang w:eastAsia="ru-RU"/>
        </w:rPr>
        <w:t xml:space="preserve"> дополнить пунктом 4 следующего содержания:</w:t>
      </w:r>
    </w:p>
    <w:p w:rsidR="00DC037A" w:rsidRPr="00DC037A" w:rsidRDefault="00DC037A" w:rsidP="009752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037A">
        <w:rPr>
          <w:rFonts w:ascii="Times New Roman" w:eastAsia="Times New Roman" w:hAnsi="Times New Roman" w:cs="Times New Roman"/>
          <w:sz w:val="28"/>
          <w:szCs w:val="28"/>
          <w:lang w:eastAsia="ru-RU"/>
        </w:rPr>
        <w:t xml:space="preserve">4. Прогноз ожидаемых результатов реализации программы и основные риски реализации программы. </w:t>
      </w:r>
    </w:p>
    <w:p w:rsidR="00DC037A" w:rsidRPr="00DC037A" w:rsidRDefault="00DC037A" w:rsidP="009752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037A">
        <w:rPr>
          <w:rFonts w:ascii="Times New Roman" w:eastAsia="Times New Roman" w:hAnsi="Times New Roman" w:cs="Times New Roman"/>
          <w:sz w:val="28"/>
          <w:szCs w:val="28"/>
          <w:lang w:eastAsia="ru-RU"/>
        </w:rPr>
        <w:t>В результате реализации Программы прогнозируется повышение уровня благоустройства  дворовых территорий и мест общего пользования города Ханты-Мансийска. Ожидается улучшение эстетического облика и внешнего вида города, повышение уровня комфортности проживания и привлекательности дворов и города в целом.</w:t>
      </w:r>
    </w:p>
    <w:p w:rsidR="00DC037A" w:rsidRPr="00DC037A" w:rsidRDefault="00DC037A" w:rsidP="009752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C037A">
        <w:rPr>
          <w:rFonts w:ascii="Times New Roman" w:eastAsia="Times New Roman" w:hAnsi="Times New Roman" w:cs="Times New Roman"/>
          <w:sz w:val="28"/>
          <w:szCs w:val="28"/>
          <w:lang w:eastAsia="ru-RU"/>
        </w:rPr>
        <w:t>Основные риски реализации Программы связаны с нежеланием жителей города нести ответственность за общее имущество собственников жилых помещений в многоквартирных жилых домах, к которому относится придомовая территория с элементами благоустройства, что создает риск не своевременного ремонта объектов благоустройства дворовой территории, в частности детский травматизм на детских площадках, не отвечающим требованиям безопасности.</w:t>
      </w:r>
      <w:proofErr w:type="gramEnd"/>
    </w:p>
    <w:p w:rsidR="00DC037A" w:rsidRPr="00DC037A" w:rsidRDefault="00DC037A" w:rsidP="009752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037A">
        <w:rPr>
          <w:rFonts w:ascii="Times New Roman" w:eastAsia="Times New Roman" w:hAnsi="Times New Roman" w:cs="Times New Roman"/>
          <w:sz w:val="28"/>
          <w:szCs w:val="28"/>
          <w:lang w:eastAsia="ru-RU"/>
        </w:rPr>
        <w:t>Реализация Программы позволит создать на дворовых территориях многоквартирных жилых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повысить уровень и качество жизни жителей города.</w:t>
      </w:r>
    </w:p>
    <w:p w:rsidR="00DC037A" w:rsidRDefault="00DC037A" w:rsidP="0097520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037A">
        <w:rPr>
          <w:rFonts w:ascii="Times New Roman" w:eastAsia="Times New Roman" w:hAnsi="Times New Roman" w:cs="Times New Roman"/>
          <w:sz w:val="28"/>
          <w:szCs w:val="28"/>
          <w:lang w:eastAsia="ru-RU"/>
        </w:rPr>
        <w:t>Выполнение работ по комплексному благоустройству  дворовых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проживания жителей</w:t>
      </w:r>
      <w:proofErr w:type="gramStart"/>
      <w:r w:rsidRPr="00DC03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DC037A" w:rsidRPr="008B330B" w:rsidRDefault="0097009C" w:rsidP="00975208">
      <w:pPr>
        <w:pStyle w:val="a3"/>
        <w:widowControl w:val="0"/>
        <w:numPr>
          <w:ilvl w:val="1"/>
          <w:numId w:val="17"/>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8B330B">
        <w:rPr>
          <w:rFonts w:ascii="Times New Roman" w:eastAsia="Times New Roman" w:hAnsi="Times New Roman" w:cs="Times New Roman"/>
          <w:sz w:val="28"/>
          <w:szCs w:val="28"/>
          <w:lang w:eastAsia="ru-RU"/>
        </w:rPr>
        <w:t>Подпункт 7)</w:t>
      </w:r>
      <w:r w:rsidR="00DC037A" w:rsidRPr="008B330B">
        <w:rPr>
          <w:rFonts w:ascii="Times New Roman" w:eastAsia="Times New Roman" w:hAnsi="Times New Roman" w:cs="Times New Roman"/>
          <w:sz w:val="28"/>
          <w:szCs w:val="28"/>
          <w:lang w:eastAsia="ru-RU"/>
        </w:rPr>
        <w:t xml:space="preserve"> пункт</w:t>
      </w:r>
      <w:r w:rsidRPr="008B330B">
        <w:rPr>
          <w:rFonts w:ascii="Times New Roman" w:eastAsia="Times New Roman" w:hAnsi="Times New Roman" w:cs="Times New Roman"/>
          <w:sz w:val="28"/>
          <w:szCs w:val="28"/>
          <w:lang w:eastAsia="ru-RU"/>
        </w:rPr>
        <w:t>а</w:t>
      </w:r>
      <w:r w:rsidR="00DC037A" w:rsidRPr="008B330B">
        <w:rPr>
          <w:rFonts w:ascii="Times New Roman" w:eastAsia="Times New Roman" w:hAnsi="Times New Roman" w:cs="Times New Roman"/>
          <w:sz w:val="28"/>
          <w:szCs w:val="28"/>
          <w:lang w:eastAsia="ru-RU"/>
        </w:rPr>
        <w:t xml:space="preserve"> 1 раздела </w:t>
      </w:r>
      <w:r w:rsidR="00DC037A" w:rsidRPr="008B330B">
        <w:rPr>
          <w:rFonts w:ascii="Times New Roman" w:eastAsia="Times New Roman" w:hAnsi="Times New Roman" w:cs="Times New Roman"/>
          <w:sz w:val="28"/>
          <w:szCs w:val="28"/>
          <w:lang w:val="en-US" w:eastAsia="ru-RU"/>
        </w:rPr>
        <w:t>III</w:t>
      </w:r>
      <w:r w:rsidRPr="008B330B">
        <w:rPr>
          <w:rFonts w:ascii="Times New Roman" w:eastAsia="Times New Roman" w:hAnsi="Times New Roman" w:cs="Times New Roman"/>
          <w:sz w:val="28"/>
          <w:szCs w:val="28"/>
          <w:lang w:eastAsia="ru-RU"/>
        </w:rPr>
        <w:t xml:space="preserve"> </w:t>
      </w:r>
      <w:r w:rsidR="008B330B">
        <w:rPr>
          <w:rFonts w:ascii="Times New Roman" w:eastAsia="Times New Roman" w:hAnsi="Times New Roman" w:cs="Times New Roman"/>
          <w:sz w:val="28"/>
          <w:szCs w:val="28"/>
          <w:lang w:eastAsia="ru-RU"/>
        </w:rPr>
        <w:t xml:space="preserve">приложения к </w:t>
      </w:r>
      <w:r w:rsidR="00975208">
        <w:rPr>
          <w:rFonts w:ascii="Times New Roman" w:eastAsia="Times New Roman" w:hAnsi="Times New Roman" w:cs="Times New Roman"/>
          <w:sz w:val="28"/>
          <w:szCs w:val="28"/>
          <w:lang w:eastAsia="ru-RU"/>
        </w:rPr>
        <w:t>постановлению</w:t>
      </w:r>
      <w:r w:rsidR="008B330B">
        <w:rPr>
          <w:rFonts w:ascii="Times New Roman" w:eastAsia="Times New Roman" w:hAnsi="Times New Roman" w:cs="Times New Roman"/>
          <w:sz w:val="28"/>
          <w:szCs w:val="28"/>
          <w:lang w:eastAsia="ru-RU"/>
        </w:rPr>
        <w:t xml:space="preserve"> </w:t>
      </w:r>
      <w:r w:rsidRPr="008B330B">
        <w:rPr>
          <w:rFonts w:ascii="Times New Roman" w:eastAsia="Times New Roman" w:hAnsi="Times New Roman" w:cs="Times New Roman"/>
          <w:sz w:val="28"/>
          <w:szCs w:val="28"/>
          <w:lang w:eastAsia="ru-RU"/>
        </w:rPr>
        <w:t>исключить.</w:t>
      </w:r>
    </w:p>
    <w:p w:rsidR="0097009C" w:rsidRPr="001E2FDF" w:rsidRDefault="0097009C" w:rsidP="00975208">
      <w:pPr>
        <w:pStyle w:val="a3"/>
        <w:widowControl w:val="0"/>
        <w:numPr>
          <w:ilvl w:val="1"/>
          <w:numId w:val="17"/>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lastRenderedPageBreak/>
        <w:t xml:space="preserve">Подпункты 1), 5), 8) пункта 4 раздела </w:t>
      </w:r>
      <w:r w:rsidRPr="001E2FDF">
        <w:rPr>
          <w:rFonts w:ascii="Times New Roman" w:eastAsia="Times New Roman" w:hAnsi="Times New Roman" w:cs="Times New Roman"/>
          <w:sz w:val="28"/>
          <w:szCs w:val="28"/>
          <w:lang w:val="en-US" w:eastAsia="ru-RU"/>
        </w:rPr>
        <w:t>III</w:t>
      </w:r>
      <w:r w:rsidRPr="001E2FDF">
        <w:rPr>
          <w:rFonts w:ascii="Times New Roman" w:eastAsia="Times New Roman" w:hAnsi="Times New Roman" w:cs="Times New Roman"/>
          <w:sz w:val="28"/>
          <w:szCs w:val="28"/>
          <w:lang w:eastAsia="ru-RU"/>
        </w:rPr>
        <w:t xml:space="preserve"> </w:t>
      </w:r>
      <w:r w:rsidR="00975208">
        <w:rPr>
          <w:rFonts w:ascii="Times New Roman" w:eastAsia="Times New Roman" w:hAnsi="Times New Roman" w:cs="Times New Roman"/>
          <w:sz w:val="28"/>
          <w:szCs w:val="28"/>
          <w:lang w:eastAsia="ru-RU"/>
        </w:rPr>
        <w:t xml:space="preserve">приложения к постановлению </w:t>
      </w:r>
      <w:r w:rsidRPr="001E2FDF">
        <w:rPr>
          <w:rFonts w:ascii="Times New Roman" w:eastAsia="Times New Roman" w:hAnsi="Times New Roman" w:cs="Times New Roman"/>
          <w:sz w:val="28"/>
          <w:szCs w:val="28"/>
          <w:lang w:eastAsia="ru-RU"/>
        </w:rPr>
        <w:t>исключить.</w:t>
      </w:r>
    </w:p>
    <w:p w:rsidR="0097009C" w:rsidRDefault="00975208" w:rsidP="00975208">
      <w:pPr>
        <w:pStyle w:val="a3"/>
        <w:widowControl w:val="0"/>
        <w:numPr>
          <w:ilvl w:val="1"/>
          <w:numId w:val="17"/>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Дополнить пункт </w:t>
      </w:r>
      <w:r w:rsidR="0097009C">
        <w:rPr>
          <w:rFonts w:ascii="Times New Roman" w:eastAsia="Times New Roman" w:hAnsi="Times New Roman" w:cs="Times New Roman"/>
          <w:sz w:val="28"/>
          <w:szCs w:val="28"/>
          <w:lang w:eastAsia="ru-RU"/>
        </w:rPr>
        <w:t xml:space="preserve">4 раздела </w:t>
      </w:r>
      <w:r w:rsidR="0097009C">
        <w:rPr>
          <w:rFonts w:ascii="Times New Roman" w:eastAsia="Times New Roman" w:hAnsi="Times New Roman" w:cs="Times New Roman"/>
          <w:sz w:val="28"/>
          <w:szCs w:val="28"/>
          <w:lang w:val="en-US" w:eastAsia="ru-RU"/>
        </w:rPr>
        <w:t>III</w:t>
      </w:r>
      <w:r w:rsidR="0097009C" w:rsidRPr="00970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приложения к постановлению </w:t>
      </w:r>
      <w:r w:rsidR="0097009C">
        <w:rPr>
          <w:rFonts w:ascii="Times New Roman" w:eastAsia="Times New Roman" w:hAnsi="Times New Roman" w:cs="Times New Roman"/>
          <w:sz w:val="28"/>
          <w:szCs w:val="28"/>
          <w:lang w:eastAsia="ru-RU"/>
        </w:rPr>
        <w:t>подпунктом 21) следующего содержания:</w:t>
      </w:r>
      <w:proofErr w:type="gramEnd"/>
    </w:p>
    <w:p w:rsidR="0097009C" w:rsidRDefault="0097009C" w:rsidP="00975208">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предоставление субсидии по вывозу снега с внутриквартальных площадей и проездов</w:t>
      </w:r>
      <w:proofErr w:type="gramStart"/>
      <w:r>
        <w:rPr>
          <w:rFonts w:ascii="Times New Roman" w:hAnsi="Times New Roman" w:cs="Times New Roman"/>
          <w:sz w:val="28"/>
          <w:szCs w:val="28"/>
        </w:rPr>
        <w:t>.».</w:t>
      </w:r>
      <w:proofErr w:type="gramEnd"/>
    </w:p>
    <w:p w:rsidR="0097009C" w:rsidRPr="0097009C" w:rsidRDefault="0097009C" w:rsidP="00975208">
      <w:pPr>
        <w:pStyle w:val="a3"/>
        <w:widowControl w:val="0"/>
        <w:numPr>
          <w:ilvl w:val="1"/>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Пункт 5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975208">
        <w:rPr>
          <w:rFonts w:ascii="Times New Roman" w:hAnsi="Times New Roman" w:cs="Times New Roman"/>
          <w:sz w:val="28"/>
          <w:szCs w:val="28"/>
        </w:rPr>
        <w:t xml:space="preserve">приложения к постановлению </w:t>
      </w:r>
      <w:r>
        <w:rPr>
          <w:rFonts w:ascii="Times New Roman" w:hAnsi="Times New Roman" w:cs="Times New Roman"/>
          <w:sz w:val="28"/>
          <w:szCs w:val="28"/>
        </w:rPr>
        <w:t>изложить в следующей редакции:</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w:t>
      </w:r>
      <w:r w:rsidRPr="0097009C">
        <w:rPr>
          <w:rFonts w:ascii="Times New Roman" w:eastAsia="Calibri" w:hAnsi="Times New Roman" w:cs="Times New Roman"/>
          <w:sz w:val="28"/>
          <w:szCs w:val="28"/>
          <w:lang w:eastAsia="ru-RU"/>
        </w:rPr>
        <w:t>5. Формирование современной городской среды, включающее в себя:</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 Комплексное благоустройство дворовых территорий, состоящее из мероприятий определенных минимальным (обязательным) перечнем работ и мероприятий дополнительного перечня работ.</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а) Минимальный (обязательный) перечень работ включает:</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ремонт дворовых проездов;</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обеспечение освещения дворовых территорий;</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установка скамеек и урн.</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 xml:space="preserve">б) Дополнительный перечень работ выполняется на территориях, где обеспечен минимальный перечень работ и включает: </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оборудование детских (игровых) и (или) спортивных площадок;</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оборудование автомобильных парковок;</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оборудование контейнерных площадок для бытовых отходов;</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установка велосипедных парковок;</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оборудование площадок для выгула собак;</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озеленение дворовых территорий;</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устройство ограждений;</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установка элементов навигации (указателей, аншлагов, информационных стендов).</w:t>
      </w:r>
    </w:p>
    <w:p w:rsidR="0097009C" w:rsidRPr="0097009C" w:rsidRDefault="0097009C" w:rsidP="00975208">
      <w:pPr>
        <w:numPr>
          <w:ilvl w:val="0"/>
          <w:numId w:val="5"/>
        </w:numPr>
        <w:tabs>
          <w:tab w:val="left" w:pos="0"/>
        </w:tabs>
        <w:spacing w:after="0" w:line="240" w:lineRule="auto"/>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Комплексное благоустройство мест общего пользования.</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 xml:space="preserve">Минимальный (обязательный) перечень работ является исчерпывающим и не может быть расширен. </w:t>
      </w:r>
      <w:proofErr w:type="gramStart"/>
      <w:r w:rsidRPr="0097009C">
        <w:rPr>
          <w:rFonts w:ascii="Times New Roman" w:eastAsia="Calibri" w:hAnsi="Times New Roman" w:cs="Times New Roman"/>
          <w:sz w:val="28"/>
          <w:szCs w:val="28"/>
          <w:lang w:eastAsia="ru-RU"/>
        </w:rP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собственников иных зданий и сооружений. </w:t>
      </w:r>
      <w:proofErr w:type="gramStart"/>
      <w:r w:rsidRPr="0097009C">
        <w:rPr>
          <w:rFonts w:ascii="Times New Roman" w:eastAsia="Calibri" w:hAnsi="Times New Roman" w:cs="Times New Roman"/>
          <w:sz w:val="28"/>
          <w:szCs w:val="28"/>
          <w:lang w:eastAsia="ru-RU"/>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97009C">
        <w:rPr>
          <w:rFonts w:ascii="Times New Roman" w:eastAsia="Calibri" w:hAnsi="Times New Roman" w:cs="Times New Roman"/>
          <w:sz w:val="28"/>
          <w:szCs w:val="28"/>
          <w:lang w:eastAsia="ru-RU"/>
        </w:rPr>
        <w:t xml:space="preserve"> доля участия определяется как процент от стоимости мероприятий по благоустройству дворовой территории, но не менее 5 </w:t>
      </w:r>
      <w:r w:rsidRPr="0097009C">
        <w:rPr>
          <w:rFonts w:ascii="Times New Roman" w:eastAsia="Calibri" w:hAnsi="Times New Roman" w:cs="Times New Roman"/>
          <w:sz w:val="28"/>
          <w:szCs w:val="28"/>
          <w:lang w:eastAsia="ru-RU"/>
        </w:rPr>
        <w:lastRenderedPageBreak/>
        <w:t>процентов и не более 15 процентов от стоимости мероприятий по благоустройству дворовой территории.</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Минимальный перечень видов работ является обязательным, без которого выполнение дополнительного перечня видов работ не допускается.</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proofErr w:type="gramStart"/>
      <w:r w:rsidRPr="0097009C">
        <w:rPr>
          <w:rFonts w:ascii="Times New Roman" w:eastAsia="Calibri" w:hAnsi="Times New Roman" w:cs="Times New Roman"/>
          <w:sz w:val="28"/>
          <w:szCs w:val="28"/>
          <w:lang w:eastAsia="ru-RU"/>
        </w:rPr>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roofErr w:type="gramEnd"/>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proofErr w:type="gramStart"/>
      <w:r w:rsidRPr="0097009C">
        <w:rPr>
          <w:rFonts w:ascii="Times New Roman" w:eastAsia="Calibri" w:hAnsi="Times New Roman" w:cs="Times New Roman"/>
          <w:sz w:val="28"/>
          <w:szCs w:val="28"/>
          <w:lang w:eastAsia="ru-RU"/>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w:t>
      </w:r>
      <w:proofErr w:type="gramEnd"/>
      <w:r w:rsidRPr="0097009C">
        <w:rPr>
          <w:rFonts w:ascii="Times New Roman" w:eastAsia="Calibri" w:hAnsi="Times New Roman" w:cs="Times New Roman"/>
          <w:sz w:val="28"/>
          <w:szCs w:val="28"/>
          <w:lang w:eastAsia="ru-RU"/>
        </w:rPr>
        <w:t xml:space="preserve"> доля участия определяется как процент от стоимости мероприятий по благоустройству, но не менее 5 процентов и не более 50 процентов от стоимости мероприятий по благоустройству дворовой территории.</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97009C" w:rsidRPr="0097009C" w:rsidRDefault="0097009C" w:rsidP="00975208">
      <w:pPr>
        <w:spacing w:after="0" w:line="240" w:lineRule="auto"/>
        <w:ind w:firstLine="567"/>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3) Адресный перечень дворовых и общественных территорий, подлежащих благоустройству в 2017 году:</w:t>
      </w:r>
    </w:p>
    <w:p w:rsidR="0097009C" w:rsidRPr="0097009C" w:rsidRDefault="0097009C" w:rsidP="00975208">
      <w:pPr>
        <w:spacing w:after="0" w:line="240" w:lineRule="auto"/>
        <w:ind w:firstLine="567"/>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Дворовые территории:</w:t>
      </w:r>
    </w:p>
    <w:p w:rsidR="0097009C" w:rsidRPr="0097009C" w:rsidRDefault="0097009C" w:rsidP="00975208">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Комплексное благоустройство</w:t>
      </w:r>
      <w:r w:rsidR="007C4E30">
        <w:rPr>
          <w:rFonts w:ascii="Times New Roman" w:eastAsia="Times New Roman" w:hAnsi="Times New Roman" w:cs="Times New Roman"/>
          <w:sz w:val="28"/>
          <w:szCs w:val="28"/>
          <w:lang w:eastAsia="ru-RU"/>
        </w:rPr>
        <w:t xml:space="preserve"> внутридворовой территории </w:t>
      </w:r>
      <w:r w:rsidRPr="0097009C">
        <w:rPr>
          <w:rFonts w:ascii="Times New Roman" w:eastAsia="Times New Roman" w:hAnsi="Times New Roman" w:cs="Times New Roman"/>
          <w:sz w:val="28"/>
          <w:szCs w:val="28"/>
          <w:lang w:eastAsia="ru-RU"/>
        </w:rPr>
        <w:t xml:space="preserve">по ул. </w:t>
      </w:r>
      <w:proofErr w:type="gramStart"/>
      <w:r w:rsidRPr="0097009C">
        <w:rPr>
          <w:rFonts w:ascii="Times New Roman" w:eastAsia="Times New Roman" w:hAnsi="Times New Roman" w:cs="Times New Roman"/>
          <w:sz w:val="28"/>
          <w:szCs w:val="28"/>
          <w:lang w:eastAsia="ru-RU"/>
        </w:rPr>
        <w:t>Пионерская</w:t>
      </w:r>
      <w:proofErr w:type="gramEnd"/>
      <w:r w:rsidRPr="0097009C">
        <w:rPr>
          <w:rFonts w:ascii="Times New Roman" w:eastAsia="Times New Roman" w:hAnsi="Times New Roman" w:cs="Times New Roman"/>
          <w:sz w:val="28"/>
          <w:szCs w:val="28"/>
          <w:lang w:eastAsia="ru-RU"/>
        </w:rPr>
        <w:t>, д.46-48;</w:t>
      </w:r>
    </w:p>
    <w:p w:rsidR="0097009C" w:rsidRPr="0097009C" w:rsidRDefault="0097009C" w:rsidP="00975208">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bCs/>
          <w:sz w:val="28"/>
          <w:szCs w:val="28"/>
          <w:lang w:eastAsia="ru-RU"/>
        </w:rPr>
        <w:t>Комплексное благоустройство внутридворовой территории по адресу ул. Энгельса, д.25, 27;</w:t>
      </w:r>
    </w:p>
    <w:p w:rsidR="0097009C" w:rsidRPr="0097009C" w:rsidRDefault="0097009C" w:rsidP="00975208">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bCs/>
          <w:sz w:val="28"/>
          <w:szCs w:val="28"/>
          <w:lang w:eastAsia="ru-RU"/>
        </w:rPr>
        <w:t xml:space="preserve">Комплексное благоустройство внутридворовой территории по адресу </w:t>
      </w:r>
      <w:proofErr w:type="spellStart"/>
      <w:r w:rsidRPr="0097009C">
        <w:rPr>
          <w:rFonts w:ascii="Times New Roman" w:eastAsia="Times New Roman" w:hAnsi="Times New Roman" w:cs="Times New Roman"/>
          <w:bCs/>
          <w:sz w:val="28"/>
          <w:szCs w:val="28"/>
          <w:lang w:eastAsia="ru-RU"/>
        </w:rPr>
        <w:t>Сутормина</w:t>
      </w:r>
      <w:proofErr w:type="spellEnd"/>
      <w:r w:rsidRPr="0097009C">
        <w:rPr>
          <w:rFonts w:ascii="Times New Roman" w:eastAsia="Times New Roman" w:hAnsi="Times New Roman" w:cs="Times New Roman"/>
          <w:bCs/>
          <w:sz w:val="28"/>
          <w:szCs w:val="28"/>
          <w:lang w:eastAsia="ru-RU"/>
        </w:rPr>
        <w:t>, д.13А.</w:t>
      </w:r>
    </w:p>
    <w:p w:rsidR="0097009C" w:rsidRPr="0097009C" w:rsidRDefault="0097009C" w:rsidP="00975208">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ab/>
        <w:t>Общественные территории:</w:t>
      </w:r>
    </w:p>
    <w:p w:rsidR="0097009C" w:rsidRPr="0097009C" w:rsidRDefault="0097009C" w:rsidP="00975208">
      <w:pPr>
        <w:numPr>
          <w:ilvl w:val="0"/>
          <w:numId w:val="7"/>
        </w:numPr>
        <w:spacing w:after="0" w:line="240" w:lineRule="auto"/>
        <w:ind w:left="0" w:firstLine="567"/>
        <w:contextualSpacing/>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Комплексное благоустройство территорий общего пользования в районе улиц Мира, Студенческая, Восточная объездная (устройство велодорожек);</w:t>
      </w:r>
    </w:p>
    <w:p w:rsidR="0097009C" w:rsidRPr="0097009C" w:rsidRDefault="0097009C" w:rsidP="00975208">
      <w:pPr>
        <w:numPr>
          <w:ilvl w:val="0"/>
          <w:numId w:val="7"/>
        </w:numPr>
        <w:spacing w:after="0" w:line="240" w:lineRule="auto"/>
        <w:ind w:left="0" w:firstLine="567"/>
        <w:contextualSpacing/>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Комплексное благоустройство территорий общего пользования по ул. Мира – ул. Энгельса (декоративное праздничное освещение);</w:t>
      </w:r>
    </w:p>
    <w:p w:rsidR="0097009C" w:rsidRPr="0097009C" w:rsidRDefault="0097009C" w:rsidP="00975208">
      <w:pPr>
        <w:numPr>
          <w:ilvl w:val="0"/>
          <w:numId w:val="7"/>
        </w:numPr>
        <w:spacing w:after="0" w:line="240" w:lineRule="auto"/>
        <w:ind w:left="0" w:firstLine="567"/>
        <w:contextualSpacing/>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Комплексное благоустройство территорий общего пользования по ул. Мичурина, д.4;</w:t>
      </w:r>
    </w:p>
    <w:p w:rsidR="0097009C" w:rsidRPr="0097009C" w:rsidRDefault="0097009C" w:rsidP="00975208">
      <w:pPr>
        <w:numPr>
          <w:ilvl w:val="0"/>
          <w:numId w:val="7"/>
        </w:numPr>
        <w:tabs>
          <w:tab w:val="left" w:pos="0"/>
        </w:tabs>
        <w:spacing w:after="0" w:line="240" w:lineRule="auto"/>
        <w:ind w:left="0" w:firstLine="567"/>
        <w:jc w:val="both"/>
        <w:rPr>
          <w:rFonts w:ascii="Times New Roman" w:eastAsia="Calibri" w:hAnsi="Times New Roman" w:cs="Times New Roman"/>
          <w:sz w:val="28"/>
          <w:szCs w:val="28"/>
          <w:lang w:eastAsia="ru-RU"/>
        </w:rPr>
      </w:pPr>
      <w:r w:rsidRPr="0097009C">
        <w:rPr>
          <w:rFonts w:ascii="Times New Roman" w:eastAsia="Times New Roman" w:hAnsi="Times New Roman" w:cs="Times New Roman"/>
          <w:bCs/>
          <w:sz w:val="28"/>
          <w:szCs w:val="28"/>
          <w:lang w:eastAsia="ru-RU"/>
        </w:rPr>
        <w:t>Комплексное благоустройство территорий общего пользования по ул. Ленина, д.90, 90а, 92, 92а, 94, 96а – ул. Красноармейская, д.5</w:t>
      </w:r>
    </w:p>
    <w:p w:rsidR="0097009C" w:rsidRPr="0097009C" w:rsidRDefault="0097009C" w:rsidP="00975208">
      <w:pPr>
        <w:spacing w:after="0" w:line="240" w:lineRule="auto"/>
        <w:ind w:firstLine="567"/>
        <w:jc w:val="both"/>
        <w:rPr>
          <w:rFonts w:ascii="Times New Roman" w:eastAsia="Times New Roman" w:hAnsi="Times New Roman" w:cs="Times New Roman"/>
          <w:sz w:val="28"/>
          <w:szCs w:val="28"/>
          <w:lang w:eastAsia="ru-RU"/>
        </w:rPr>
      </w:pPr>
      <w:r w:rsidRPr="0097009C">
        <w:rPr>
          <w:rFonts w:ascii="Times New Roman" w:eastAsia="Calibri" w:hAnsi="Times New Roman" w:cs="Times New Roman"/>
          <w:sz w:val="28"/>
          <w:szCs w:val="28"/>
          <w:lang w:eastAsia="ru-RU"/>
        </w:rPr>
        <w:t xml:space="preserve">4) </w:t>
      </w:r>
      <w:r w:rsidRPr="0097009C">
        <w:rPr>
          <w:rFonts w:ascii="Times New Roman" w:eastAsia="Times New Roman" w:hAnsi="Times New Roman" w:cs="Times New Roman"/>
          <w:sz w:val="28"/>
          <w:szCs w:val="28"/>
          <w:lang w:eastAsia="ru-RU"/>
        </w:rPr>
        <w:t>Адресный перечень дворовых и общественных территорий, подлежащих благоустройству в 2018 году:</w:t>
      </w:r>
    </w:p>
    <w:p w:rsidR="0097009C" w:rsidRPr="0097009C" w:rsidRDefault="0097009C" w:rsidP="00975208">
      <w:pPr>
        <w:tabs>
          <w:tab w:val="left" w:pos="0"/>
        </w:tabs>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Дворовые территории:</w:t>
      </w:r>
    </w:p>
    <w:p w:rsidR="0097009C" w:rsidRPr="0097009C" w:rsidRDefault="0097009C" w:rsidP="00975208">
      <w:pPr>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 ул. Ленина, д.82 – ул. Красноармейская, д.4;</w:t>
      </w:r>
    </w:p>
    <w:p w:rsidR="0097009C" w:rsidRPr="0097009C" w:rsidRDefault="0097009C" w:rsidP="00975208">
      <w:pPr>
        <w:numPr>
          <w:ilvl w:val="0"/>
          <w:numId w:val="10"/>
        </w:numPr>
        <w:spacing w:after="0" w:line="240" w:lineRule="auto"/>
        <w:ind w:left="0"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lastRenderedPageBreak/>
        <w:t xml:space="preserve">ул. </w:t>
      </w:r>
      <w:proofErr w:type="spellStart"/>
      <w:r w:rsidRPr="0097009C">
        <w:rPr>
          <w:rFonts w:ascii="Times New Roman" w:eastAsia="Calibri" w:hAnsi="Times New Roman" w:cs="Times New Roman"/>
          <w:sz w:val="28"/>
          <w:szCs w:val="28"/>
          <w:lang w:eastAsia="ru-RU"/>
        </w:rPr>
        <w:t>К.Маркса</w:t>
      </w:r>
      <w:proofErr w:type="spellEnd"/>
      <w:r w:rsidRPr="0097009C">
        <w:rPr>
          <w:rFonts w:ascii="Times New Roman" w:eastAsia="Calibri" w:hAnsi="Times New Roman" w:cs="Times New Roman"/>
          <w:sz w:val="28"/>
          <w:szCs w:val="28"/>
          <w:lang w:eastAsia="ru-RU"/>
        </w:rPr>
        <w:t xml:space="preserve"> д.2,4,6;</w:t>
      </w:r>
    </w:p>
    <w:p w:rsidR="0097009C" w:rsidRPr="0097009C" w:rsidRDefault="0097009C" w:rsidP="00975208">
      <w:pPr>
        <w:spacing w:after="0" w:line="240" w:lineRule="auto"/>
        <w:ind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Общественные территории:</w:t>
      </w:r>
    </w:p>
    <w:p w:rsidR="0097009C" w:rsidRPr="0097009C" w:rsidRDefault="0097009C" w:rsidP="00975208">
      <w:pPr>
        <w:numPr>
          <w:ilvl w:val="0"/>
          <w:numId w:val="9"/>
        </w:numPr>
        <w:spacing w:after="0" w:line="240" w:lineRule="auto"/>
        <w:ind w:left="0"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Устройство площадки для выгула собак по ул. Рябиновая;</w:t>
      </w:r>
    </w:p>
    <w:p w:rsidR="0097009C" w:rsidRPr="0097009C" w:rsidRDefault="0097009C" w:rsidP="00975208">
      <w:pPr>
        <w:numPr>
          <w:ilvl w:val="0"/>
          <w:numId w:val="9"/>
        </w:numPr>
        <w:spacing w:after="0" w:line="240" w:lineRule="auto"/>
        <w:ind w:left="0"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Благоустройство территории общего пользования в районе СУ-967;</w:t>
      </w:r>
    </w:p>
    <w:p w:rsidR="0097009C" w:rsidRPr="0097009C" w:rsidRDefault="0097009C" w:rsidP="00975208">
      <w:pPr>
        <w:numPr>
          <w:ilvl w:val="0"/>
          <w:numId w:val="9"/>
        </w:numPr>
        <w:spacing w:after="0" w:line="240" w:lineRule="auto"/>
        <w:ind w:left="0" w:firstLine="567"/>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Реконструкция существующих пандусов – тротуаров в районе Храма «Воскресения Христова»;</w:t>
      </w:r>
    </w:p>
    <w:p w:rsidR="0097009C" w:rsidRPr="0097009C" w:rsidRDefault="0097009C" w:rsidP="00975208">
      <w:pPr>
        <w:tabs>
          <w:tab w:val="left" w:pos="0"/>
        </w:tabs>
        <w:spacing w:after="0" w:line="240" w:lineRule="auto"/>
        <w:ind w:firstLine="567"/>
        <w:jc w:val="both"/>
        <w:rPr>
          <w:rFonts w:ascii="Times New Roman" w:eastAsia="Times New Roman" w:hAnsi="Times New Roman" w:cs="Times New Roman"/>
          <w:sz w:val="28"/>
          <w:szCs w:val="28"/>
          <w:lang w:eastAsia="ru-RU"/>
        </w:rPr>
      </w:pPr>
      <w:r w:rsidRPr="0097009C">
        <w:rPr>
          <w:rFonts w:ascii="Times New Roman" w:eastAsia="Calibri" w:hAnsi="Times New Roman" w:cs="Times New Roman"/>
          <w:sz w:val="28"/>
          <w:szCs w:val="28"/>
          <w:lang w:eastAsia="ru-RU"/>
        </w:rPr>
        <w:t xml:space="preserve">5) </w:t>
      </w:r>
      <w:r w:rsidRPr="0097009C">
        <w:rPr>
          <w:rFonts w:ascii="Times New Roman" w:eastAsia="Times New Roman" w:hAnsi="Times New Roman" w:cs="Times New Roman"/>
          <w:sz w:val="28"/>
          <w:szCs w:val="28"/>
          <w:lang w:eastAsia="ru-RU"/>
        </w:rPr>
        <w:t>Адресный перечень дворовых и общественных территорий, подлежащих благоустройству в 2019 году:</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Дворовые территории:</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1. ул. Гагарина, д. 126;</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2. ул. Гагарина, д.75, 77, 79, 87, 91, 93;</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3. ул. Красногвардейская, д.10, 12, 14;</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4. ул. Дзержинского, д.30;</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5. ул. Лопарева, д.15;</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6. ул. Калинина, д. 22 – ул. Чехова, д. 23;</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 xml:space="preserve">7. ул. </w:t>
      </w:r>
      <w:proofErr w:type="gramStart"/>
      <w:r w:rsidRPr="0097009C">
        <w:rPr>
          <w:rFonts w:ascii="Times New Roman" w:eastAsia="Calibri" w:hAnsi="Times New Roman" w:cs="Times New Roman"/>
          <w:sz w:val="28"/>
          <w:szCs w:val="28"/>
          <w:lang w:eastAsia="ru-RU"/>
        </w:rPr>
        <w:t>Садовая</w:t>
      </w:r>
      <w:proofErr w:type="gramEnd"/>
      <w:r w:rsidRPr="0097009C">
        <w:rPr>
          <w:rFonts w:ascii="Times New Roman" w:eastAsia="Calibri" w:hAnsi="Times New Roman" w:cs="Times New Roman"/>
          <w:sz w:val="28"/>
          <w:szCs w:val="28"/>
          <w:lang w:eastAsia="ru-RU"/>
        </w:rPr>
        <w:t>, д. 2 – ул. Труда, д. 2а;</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proofErr w:type="gramStart"/>
      <w:r w:rsidRPr="0097009C">
        <w:rPr>
          <w:rFonts w:ascii="Times New Roman" w:eastAsia="Calibri" w:hAnsi="Times New Roman" w:cs="Times New Roman"/>
          <w:sz w:val="28"/>
          <w:szCs w:val="28"/>
          <w:lang w:eastAsia="ru-RU"/>
        </w:rPr>
        <w:t>8. ул.  Доронина, д. 28, 30 – ул. Чехова, д. 43, 45 – ул. Чкалова, д. 29;</w:t>
      </w:r>
      <w:proofErr w:type="gramEnd"/>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9. ул. Мира, д. 65;</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10. ул. Дунина-</w:t>
      </w:r>
      <w:proofErr w:type="spellStart"/>
      <w:r w:rsidRPr="0097009C">
        <w:rPr>
          <w:rFonts w:ascii="Times New Roman" w:eastAsia="Calibri" w:hAnsi="Times New Roman" w:cs="Times New Roman"/>
          <w:sz w:val="28"/>
          <w:szCs w:val="28"/>
          <w:lang w:eastAsia="ru-RU"/>
        </w:rPr>
        <w:t>Горкавича</w:t>
      </w:r>
      <w:proofErr w:type="spellEnd"/>
      <w:r w:rsidRPr="0097009C">
        <w:rPr>
          <w:rFonts w:ascii="Times New Roman" w:eastAsia="Calibri" w:hAnsi="Times New Roman" w:cs="Times New Roman"/>
          <w:sz w:val="28"/>
          <w:szCs w:val="28"/>
          <w:lang w:eastAsia="ru-RU"/>
        </w:rPr>
        <w:t>, д. 5, 7;</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11. ул. Гагарина, д. 27Б;</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12. ул. Доронина, д. 10;</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13. ул. Ленина, д. 8;</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14. ул. Мира, д. 14;</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15. ул. Кооперативная, д. 36б;</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Общественные территории:</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 Благоустройство территории в районе домов №27-31 по ул. Калинина;</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2. Благоустройство набережной р. Иртыш в городе Ханты-Мансийске;</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3. Комплексное благоустройство перекрестков;</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 xml:space="preserve">4. Благоустройство территории </w:t>
      </w:r>
      <w:r w:rsidR="00975208">
        <w:rPr>
          <w:rFonts w:ascii="Times New Roman" w:eastAsia="Calibri" w:hAnsi="Times New Roman" w:cs="Times New Roman"/>
          <w:sz w:val="28"/>
          <w:szCs w:val="28"/>
          <w:lang w:eastAsia="ru-RU"/>
        </w:rPr>
        <w:t xml:space="preserve">культурно-туристического комплекса </w:t>
      </w:r>
      <w:r w:rsidRPr="0097009C">
        <w:rPr>
          <w:rFonts w:ascii="Times New Roman" w:eastAsia="Calibri" w:hAnsi="Times New Roman" w:cs="Times New Roman"/>
          <w:sz w:val="28"/>
          <w:szCs w:val="28"/>
          <w:lang w:eastAsia="ru-RU"/>
        </w:rPr>
        <w:t>«</w:t>
      </w:r>
      <w:proofErr w:type="spellStart"/>
      <w:r w:rsidRPr="0097009C">
        <w:rPr>
          <w:rFonts w:ascii="Times New Roman" w:eastAsia="Calibri" w:hAnsi="Times New Roman" w:cs="Times New Roman"/>
          <w:sz w:val="28"/>
          <w:szCs w:val="28"/>
          <w:lang w:eastAsia="ru-RU"/>
        </w:rPr>
        <w:t>Самаровский</w:t>
      </w:r>
      <w:proofErr w:type="spellEnd"/>
      <w:r w:rsidRPr="0097009C">
        <w:rPr>
          <w:rFonts w:ascii="Times New Roman" w:eastAsia="Calibri" w:hAnsi="Times New Roman" w:cs="Times New Roman"/>
          <w:sz w:val="28"/>
          <w:szCs w:val="28"/>
          <w:lang w:eastAsia="ru-RU"/>
        </w:rPr>
        <w:t xml:space="preserve"> останец</w:t>
      </w:r>
      <w:r w:rsidR="00975208">
        <w:rPr>
          <w:rFonts w:ascii="Times New Roman" w:eastAsia="Calibri" w:hAnsi="Times New Roman" w:cs="Times New Roman"/>
          <w:sz w:val="28"/>
          <w:szCs w:val="28"/>
          <w:lang w:eastAsia="ru-RU"/>
        </w:rPr>
        <w:t xml:space="preserve"> </w:t>
      </w:r>
      <w:proofErr w:type="spellStart"/>
      <w:r w:rsidR="00975208">
        <w:rPr>
          <w:rFonts w:ascii="Times New Roman" w:eastAsia="Calibri" w:hAnsi="Times New Roman" w:cs="Times New Roman"/>
          <w:sz w:val="28"/>
          <w:szCs w:val="28"/>
          <w:lang w:eastAsia="ru-RU"/>
        </w:rPr>
        <w:t>Археопарк</w:t>
      </w:r>
      <w:proofErr w:type="spellEnd"/>
      <w:r w:rsidRPr="0097009C">
        <w:rPr>
          <w:rFonts w:ascii="Times New Roman" w:eastAsia="Calibri" w:hAnsi="Times New Roman" w:cs="Times New Roman"/>
          <w:sz w:val="28"/>
          <w:szCs w:val="28"/>
          <w:lang w:eastAsia="ru-RU"/>
        </w:rPr>
        <w:t>»</w:t>
      </w:r>
      <w:r w:rsidR="00975208">
        <w:rPr>
          <w:rFonts w:ascii="Times New Roman" w:eastAsia="Calibri" w:hAnsi="Times New Roman" w:cs="Times New Roman"/>
          <w:sz w:val="28"/>
          <w:szCs w:val="28"/>
          <w:lang w:eastAsia="ru-RU"/>
        </w:rPr>
        <w:t xml:space="preserve"> (далее – </w:t>
      </w:r>
      <w:proofErr w:type="spellStart"/>
      <w:r w:rsidR="00975208">
        <w:rPr>
          <w:rFonts w:ascii="Times New Roman" w:eastAsia="Calibri" w:hAnsi="Times New Roman" w:cs="Times New Roman"/>
          <w:sz w:val="28"/>
          <w:szCs w:val="28"/>
          <w:lang w:eastAsia="ru-RU"/>
        </w:rPr>
        <w:t>Археопарк</w:t>
      </w:r>
      <w:proofErr w:type="spellEnd"/>
      <w:r w:rsidR="00975208">
        <w:rPr>
          <w:rFonts w:ascii="Times New Roman" w:eastAsia="Calibri" w:hAnsi="Times New Roman" w:cs="Times New Roman"/>
          <w:sz w:val="28"/>
          <w:szCs w:val="28"/>
          <w:lang w:eastAsia="ru-RU"/>
        </w:rPr>
        <w:t>)</w:t>
      </w:r>
      <w:r w:rsidRPr="0097009C">
        <w:rPr>
          <w:rFonts w:ascii="Times New Roman" w:eastAsia="Calibri" w:hAnsi="Times New Roman" w:cs="Times New Roman"/>
          <w:sz w:val="28"/>
          <w:szCs w:val="28"/>
          <w:lang w:eastAsia="ru-RU"/>
        </w:rPr>
        <w:t>;</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5. Благоустройство территории в районе домов №3, 5, 7 по ул. Свердлова;</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6. Благоустройство территории по ул. Гагарина, д.133-139;</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 xml:space="preserve">7. Благоустройство ул. </w:t>
      </w:r>
      <w:proofErr w:type="gramStart"/>
      <w:r w:rsidRPr="0097009C">
        <w:rPr>
          <w:rFonts w:ascii="Times New Roman" w:eastAsia="Calibri" w:hAnsi="Times New Roman" w:cs="Times New Roman"/>
          <w:sz w:val="28"/>
          <w:szCs w:val="28"/>
          <w:lang w:eastAsia="ru-RU"/>
        </w:rPr>
        <w:t>Васильковая</w:t>
      </w:r>
      <w:proofErr w:type="gramEnd"/>
      <w:r w:rsidRPr="0097009C">
        <w:rPr>
          <w:rFonts w:ascii="Times New Roman" w:eastAsia="Calibri" w:hAnsi="Times New Roman" w:cs="Times New Roman"/>
          <w:sz w:val="28"/>
          <w:szCs w:val="28"/>
          <w:lang w:eastAsia="ru-RU"/>
        </w:rPr>
        <w:t xml:space="preserve"> – ул. Землеустроителей;</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 xml:space="preserve">8. Благоустройство ул. </w:t>
      </w:r>
      <w:proofErr w:type="gramStart"/>
      <w:r w:rsidRPr="0097009C">
        <w:rPr>
          <w:rFonts w:ascii="Times New Roman" w:eastAsia="Calibri" w:hAnsi="Times New Roman" w:cs="Times New Roman"/>
          <w:sz w:val="28"/>
          <w:szCs w:val="28"/>
          <w:lang w:eastAsia="ru-RU"/>
        </w:rPr>
        <w:t>Студенческая</w:t>
      </w:r>
      <w:proofErr w:type="gramEnd"/>
      <w:r w:rsidRPr="0097009C">
        <w:rPr>
          <w:rFonts w:ascii="Times New Roman" w:eastAsia="Calibri" w:hAnsi="Times New Roman" w:cs="Times New Roman"/>
          <w:sz w:val="28"/>
          <w:szCs w:val="28"/>
          <w:lang w:eastAsia="ru-RU"/>
        </w:rPr>
        <w:t>, д.13-15;</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9. Благоустройство территории общего пользования по ул. Строителей 93/2 - ул. Чехова, д. 77/4;</w:t>
      </w:r>
    </w:p>
    <w:p w:rsidR="0097009C" w:rsidRPr="0097009C" w:rsidRDefault="0097009C" w:rsidP="00975208">
      <w:pPr>
        <w:tabs>
          <w:tab w:val="left" w:pos="0"/>
        </w:tabs>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 xml:space="preserve">10. Благоустройство жилого квартала по ул. </w:t>
      </w:r>
      <w:proofErr w:type="gramStart"/>
      <w:r w:rsidRPr="0097009C">
        <w:rPr>
          <w:rFonts w:ascii="Times New Roman" w:eastAsia="Calibri" w:hAnsi="Times New Roman" w:cs="Times New Roman"/>
          <w:sz w:val="28"/>
          <w:szCs w:val="28"/>
          <w:lang w:eastAsia="ru-RU"/>
        </w:rPr>
        <w:t>Осенняя</w:t>
      </w:r>
      <w:proofErr w:type="gramEnd"/>
      <w:r w:rsidRPr="0097009C">
        <w:rPr>
          <w:rFonts w:ascii="Times New Roman" w:eastAsia="Calibri" w:hAnsi="Times New Roman" w:cs="Times New Roman"/>
          <w:sz w:val="28"/>
          <w:szCs w:val="28"/>
          <w:lang w:eastAsia="ru-RU"/>
        </w:rPr>
        <w:t>, д.1, 3, 5;</w:t>
      </w:r>
    </w:p>
    <w:p w:rsidR="0097009C" w:rsidRPr="0097009C" w:rsidRDefault="0097009C" w:rsidP="00975208">
      <w:pPr>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 xml:space="preserve">11. Устройство </w:t>
      </w:r>
      <w:proofErr w:type="spellStart"/>
      <w:r w:rsidRPr="0097009C">
        <w:rPr>
          <w:rFonts w:ascii="Times New Roman" w:eastAsia="Calibri" w:hAnsi="Times New Roman" w:cs="Times New Roman"/>
          <w:sz w:val="28"/>
          <w:szCs w:val="28"/>
          <w:lang w:eastAsia="ru-RU"/>
        </w:rPr>
        <w:t>скейт</w:t>
      </w:r>
      <w:proofErr w:type="spellEnd"/>
      <w:r w:rsidRPr="0097009C">
        <w:rPr>
          <w:rFonts w:ascii="Times New Roman" w:eastAsia="Calibri" w:hAnsi="Times New Roman" w:cs="Times New Roman"/>
          <w:sz w:val="28"/>
          <w:szCs w:val="28"/>
          <w:lang w:eastAsia="ru-RU"/>
        </w:rPr>
        <w:t xml:space="preserve">-парка и автостоянки по ул. </w:t>
      </w:r>
      <w:proofErr w:type="spellStart"/>
      <w:r w:rsidRPr="0097009C">
        <w:rPr>
          <w:rFonts w:ascii="Times New Roman" w:eastAsia="Calibri" w:hAnsi="Times New Roman" w:cs="Times New Roman"/>
          <w:sz w:val="28"/>
          <w:szCs w:val="28"/>
          <w:lang w:eastAsia="ru-RU"/>
        </w:rPr>
        <w:t>Зеленодольская</w:t>
      </w:r>
      <w:proofErr w:type="spellEnd"/>
      <w:r w:rsidRPr="0097009C">
        <w:rPr>
          <w:rFonts w:ascii="Times New Roman" w:eastAsia="Calibri" w:hAnsi="Times New Roman" w:cs="Times New Roman"/>
          <w:sz w:val="28"/>
          <w:szCs w:val="28"/>
          <w:lang w:eastAsia="ru-RU"/>
        </w:rPr>
        <w:t>;</w:t>
      </w:r>
    </w:p>
    <w:p w:rsidR="0097009C" w:rsidRPr="0097009C" w:rsidRDefault="0097009C" w:rsidP="00975208">
      <w:pPr>
        <w:spacing w:after="0" w:line="240" w:lineRule="auto"/>
        <w:ind w:firstLine="720"/>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12. Комплексное благоустройство территории по ул. Дзержинского</w:t>
      </w:r>
      <w:proofErr w:type="gramStart"/>
      <w:r w:rsidRPr="0097009C">
        <w:rPr>
          <w:rFonts w:ascii="Times New Roman" w:eastAsia="Calibri" w:hAnsi="Times New Roman" w:cs="Times New Roman"/>
          <w:sz w:val="28"/>
          <w:szCs w:val="28"/>
          <w:lang w:eastAsia="ru-RU"/>
        </w:rPr>
        <w:t>,д</w:t>
      </w:r>
      <w:proofErr w:type="gramEnd"/>
      <w:r w:rsidRPr="0097009C">
        <w:rPr>
          <w:rFonts w:ascii="Times New Roman" w:eastAsia="Calibri" w:hAnsi="Times New Roman" w:cs="Times New Roman"/>
          <w:sz w:val="28"/>
          <w:szCs w:val="28"/>
          <w:lang w:eastAsia="ru-RU"/>
        </w:rPr>
        <w:t>.31;</w:t>
      </w:r>
    </w:p>
    <w:p w:rsidR="0097009C" w:rsidRPr="0097009C" w:rsidRDefault="0097009C" w:rsidP="00975208">
      <w:pPr>
        <w:spacing w:after="0" w:line="240" w:lineRule="auto"/>
        <w:ind w:firstLine="720"/>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13. Благоустройство территории в районе дома №2 по ул. Энгельса;</w:t>
      </w:r>
    </w:p>
    <w:p w:rsidR="0097009C" w:rsidRPr="0097009C" w:rsidRDefault="0097009C" w:rsidP="00975208">
      <w:pPr>
        <w:spacing w:after="0" w:line="240" w:lineRule="auto"/>
        <w:ind w:firstLine="720"/>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14. Благоустройство жилого квартала по ул. Ленина, д. 103-107 – ул. Мира, д.72-78;</w:t>
      </w:r>
    </w:p>
    <w:p w:rsidR="0097009C" w:rsidRPr="0097009C" w:rsidRDefault="0097009C" w:rsidP="00975208">
      <w:pPr>
        <w:spacing w:after="0" w:line="240" w:lineRule="auto"/>
        <w:ind w:firstLine="720"/>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t xml:space="preserve">15. Комплексное благоустройство квартала в районе ул. Энгельса – Сирина – </w:t>
      </w:r>
      <w:proofErr w:type="gramStart"/>
      <w:r w:rsidRPr="0097009C">
        <w:rPr>
          <w:rFonts w:ascii="Times New Roman" w:eastAsia="Calibri" w:hAnsi="Times New Roman" w:cs="Times New Roman"/>
          <w:sz w:val="28"/>
          <w:szCs w:val="28"/>
          <w:lang w:eastAsia="ru-RU"/>
        </w:rPr>
        <w:t>Северная</w:t>
      </w:r>
      <w:proofErr w:type="gramEnd"/>
      <w:r w:rsidRPr="0097009C">
        <w:rPr>
          <w:rFonts w:ascii="Times New Roman" w:eastAsia="Calibri" w:hAnsi="Times New Roman" w:cs="Times New Roman"/>
          <w:sz w:val="28"/>
          <w:szCs w:val="28"/>
          <w:lang w:eastAsia="ru-RU"/>
        </w:rPr>
        <w:t>;</w:t>
      </w:r>
    </w:p>
    <w:p w:rsidR="0097009C" w:rsidRPr="0097009C" w:rsidRDefault="0097009C" w:rsidP="00975208">
      <w:pPr>
        <w:spacing w:after="0" w:line="240" w:lineRule="auto"/>
        <w:ind w:firstLine="709"/>
        <w:jc w:val="both"/>
        <w:rPr>
          <w:rFonts w:ascii="Times New Roman" w:eastAsia="Calibri" w:hAnsi="Times New Roman" w:cs="Times New Roman"/>
          <w:sz w:val="28"/>
          <w:szCs w:val="28"/>
          <w:lang w:eastAsia="ru-RU"/>
        </w:rPr>
      </w:pPr>
      <w:r w:rsidRPr="0097009C">
        <w:rPr>
          <w:rFonts w:ascii="Times New Roman" w:eastAsia="Calibri" w:hAnsi="Times New Roman" w:cs="Times New Roman"/>
          <w:sz w:val="28"/>
          <w:szCs w:val="28"/>
          <w:lang w:eastAsia="ru-RU"/>
        </w:rPr>
        <w:lastRenderedPageBreak/>
        <w:t>16. Устройство сети велодорожек;</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Calibri" w:hAnsi="Times New Roman" w:cs="Times New Roman"/>
          <w:sz w:val="28"/>
          <w:szCs w:val="28"/>
          <w:lang w:eastAsia="ru-RU"/>
        </w:rPr>
        <w:t xml:space="preserve">6) </w:t>
      </w:r>
      <w:r w:rsidRPr="0097009C">
        <w:rPr>
          <w:rFonts w:ascii="Times New Roman" w:eastAsia="Times New Roman" w:hAnsi="Times New Roman" w:cs="Times New Roman"/>
          <w:sz w:val="28"/>
          <w:szCs w:val="28"/>
          <w:lang w:eastAsia="ru-RU"/>
        </w:rPr>
        <w:t>Адресный перечень дворовых и общественных территорий, подлежащих благоустройству в 2020 году:</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Дворовые территории</w:t>
      </w:r>
    </w:p>
    <w:p w:rsidR="0097009C" w:rsidRPr="0097009C" w:rsidRDefault="0097009C" w:rsidP="00975208">
      <w:pPr>
        <w:numPr>
          <w:ilvl w:val="0"/>
          <w:numId w:val="8"/>
        </w:numPr>
        <w:tabs>
          <w:tab w:val="left" w:pos="0"/>
        </w:tabs>
        <w:spacing w:after="0" w:line="240" w:lineRule="auto"/>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 xml:space="preserve">ул. </w:t>
      </w:r>
      <w:proofErr w:type="spellStart"/>
      <w:r w:rsidRPr="0097009C">
        <w:rPr>
          <w:rFonts w:ascii="Times New Roman" w:eastAsia="Times New Roman" w:hAnsi="Times New Roman" w:cs="Times New Roman"/>
          <w:sz w:val="28"/>
          <w:szCs w:val="28"/>
          <w:lang w:eastAsia="ru-RU"/>
        </w:rPr>
        <w:t>Рознина</w:t>
      </w:r>
      <w:proofErr w:type="spellEnd"/>
      <w:r w:rsidRPr="0097009C">
        <w:rPr>
          <w:rFonts w:ascii="Times New Roman" w:eastAsia="Times New Roman" w:hAnsi="Times New Roman" w:cs="Times New Roman"/>
          <w:sz w:val="28"/>
          <w:szCs w:val="28"/>
          <w:lang w:eastAsia="ru-RU"/>
        </w:rPr>
        <w:t>, д.46;</w:t>
      </w:r>
    </w:p>
    <w:p w:rsidR="0097009C" w:rsidRPr="0097009C" w:rsidRDefault="0097009C" w:rsidP="00975208">
      <w:pPr>
        <w:numPr>
          <w:ilvl w:val="0"/>
          <w:numId w:val="8"/>
        </w:numPr>
        <w:tabs>
          <w:tab w:val="left" w:pos="0"/>
        </w:tabs>
        <w:spacing w:after="0" w:line="240" w:lineRule="auto"/>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ул. Дунина-</w:t>
      </w:r>
      <w:proofErr w:type="spellStart"/>
      <w:r w:rsidRPr="0097009C">
        <w:rPr>
          <w:rFonts w:ascii="Times New Roman" w:eastAsia="Times New Roman" w:hAnsi="Times New Roman" w:cs="Times New Roman"/>
          <w:sz w:val="28"/>
          <w:szCs w:val="28"/>
          <w:lang w:eastAsia="ru-RU"/>
        </w:rPr>
        <w:t>Горкавича</w:t>
      </w:r>
      <w:proofErr w:type="spellEnd"/>
      <w:r w:rsidRPr="0097009C">
        <w:rPr>
          <w:rFonts w:ascii="Times New Roman" w:eastAsia="Times New Roman" w:hAnsi="Times New Roman" w:cs="Times New Roman"/>
          <w:sz w:val="28"/>
          <w:szCs w:val="28"/>
          <w:lang w:eastAsia="ru-RU"/>
        </w:rPr>
        <w:t>, д.9, 11, 15;</w:t>
      </w:r>
    </w:p>
    <w:p w:rsidR="0097009C" w:rsidRPr="0097009C" w:rsidRDefault="0097009C" w:rsidP="00975208">
      <w:pPr>
        <w:numPr>
          <w:ilvl w:val="0"/>
          <w:numId w:val="8"/>
        </w:numPr>
        <w:tabs>
          <w:tab w:val="left" w:pos="0"/>
        </w:tabs>
        <w:spacing w:after="0" w:line="240" w:lineRule="auto"/>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ул. Пролетарская, д.2, 4 – ул. Конева, д.12;</w:t>
      </w:r>
    </w:p>
    <w:p w:rsidR="0097009C" w:rsidRPr="0097009C" w:rsidRDefault="0097009C" w:rsidP="00975208">
      <w:pPr>
        <w:numPr>
          <w:ilvl w:val="0"/>
          <w:numId w:val="8"/>
        </w:numPr>
        <w:tabs>
          <w:tab w:val="left" w:pos="0"/>
        </w:tabs>
        <w:spacing w:after="0" w:line="240" w:lineRule="auto"/>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ул. Гагарина, д.113, 115;</w:t>
      </w:r>
    </w:p>
    <w:p w:rsidR="0097009C" w:rsidRPr="0097009C" w:rsidRDefault="0097009C" w:rsidP="00975208">
      <w:pPr>
        <w:numPr>
          <w:ilvl w:val="0"/>
          <w:numId w:val="8"/>
        </w:numPr>
        <w:tabs>
          <w:tab w:val="left" w:pos="0"/>
        </w:tabs>
        <w:spacing w:after="0" w:line="240" w:lineRule="auto"/>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ул. Строителей, д.71, 85;</w:t>
      </w:r>
    </w:p>
    <w:p w:rsidR="0097009C" w:rsidRPr="0097009C" w:rsidRDefault="0097009C" w:rsidP="00975208">
      <w:pPr>
        <w:numPr>
          <w:ilvl w:val="0"/>
          <w:numId w:val="8"/>
        </w:numPr>
        <w:tabs>
          <w:tab w:val="left" w:pos="0"/>
        </w:tabs>
        <w:spacing w:after="0" w:line="240" w:lineRule="auto"/>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ул. Лермонтова, д.31;</w:t>
      </w:r>
    </w:p>
    <w:p w:rsidR="0097009C" w:rsidRPr="0097009C" w:rsidRDefault="0097009C" w:rsidP="00975208">
      <w:pPr>
        <w:numPr>
          <w:ilvl w:val="0"/>
          <w:numId w:val="8"/>
        </w:numPr>
        <w:tabs>
          <w:tab w:val="left" w:pos="0"/>
        </w:tabs>
        <w:spacing w:after="0" w:line="240" w:lineRule="auto"/>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ул. Спортивная, д.4;</w:t>
      </w:r>
    </w:p>
    <w:p w:rsidR="0097009C" w:rsidRPr="0097009C" w:rsidRDefault="0097009C" w:rsidP="00975208">
      <w:pPr>
        <w:numPr>
          <w:ilvl w:val="0"/>
          <w:numId w:val="8"/>
        </w:numPr>
        <w:tabs>
          <w:tab w:val="left" w:pos="0"/>
        </w:tabs>
        <w:spacing w:after="0" w:line="240" w:lineRule="auto"/>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ул. Березовская, д.10а;</w:t>
      </w:r>
    </w:p>
    <w:p w:rsidR="0097009C" w:rsidRPr="0097009C" w:rsidRDefault="0097009C" w:rsidP="00975208">
      <w:pPr>
        <w:numPr>
          <w:ilvl w:val="0"/>
          <w:numId w:val="8"/>
        </w:numPr>
        <w:tabs>
          <w:tab w:val="left" w:pos="0"/>
        </w:tabs>
        <w:spacing w:after="0" w:line="240" w:lineRule="auto"/>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ул. Зырянова, д.19.</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Общественные территории</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 xml:space="preserve">1. Благоустройство площади по ул. </w:t>
      </w:r>
      <w:proofErr w:type="gramStart"/>
      <w:r w:rsidRPr="0097009C">
        <w:rPr>
          <w:rFonts w:ascii="Times New Roman" w:eastAsia="Times New Roman" w:hAnsi="Times New Roman" w:cs="Times New Roman"/>
          <w:sz w:val="28"/>
          <w:szCs w:val="28"/>
          <w:lang w:eastAsia="ru-RU"/>
        </w:rPr>
        <w:t>Студенческая</w:t>
      </w:r>
      <w:proofErr w:type="gramEnd"/>
      <w:r w:rsidRPr="0097009C">
        <w:rPr>
          <w:rFonts w:ascii="Times New Roman" w:eastAsia="Times New Roman" w:hAnsi="Times New Roman" w:cs="Times New Roman"/>
          <w:sz w:val="28"/>
          <w:szCs w:val="28"/>
          <w:lang w:eastAsia="ru-RU"/>
        </w:rPr>
        <w:t xml:space="preserve"> в районе КВЦ «Югра-Экспо»;</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2. Устройство въездного знака Тюменское направление;</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 xml:space="preserve">3. Благоустройство сквера  по ул. Энгельса – ул. </w:t>
      </w:r>
      <w:proofErr w:type="gramStart"/>
      <w:r w:rsidRPr="0097009C">
        <w:rPr>
          <w:rFonts w:ascii="Times New Roman" w:eastAsia="Times New Roman" w:hAnsi="Times New Roman" w:cs="Times New Roman"/>
          <w:sz w:val="28"/>
          <w:szCs w:val="28"/>
          <w:lang w:eastAsia="ru-RU"/>
        </w:rPr>
        <w:t>Пионерская</w:t>
      </w:r>
      <w:proofErr w:type="gramEnd"/>
      <w:r w:rsidRPr="0097009C">
        <w:rPr>
          <w:rFonts w:ascii="Times New Roman" w:eastAsia="Times New Roman" w:hAnsi="Times New Roman" w:cs="Times New Roman"/>
          <w:sz w:val="28"/>
          <w:szCs w:val="28"/>
          <w:lang w:eastAsia="ru-RU"/>
        </w:rPr>
        <w:t>;</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4. Благоустройство территории в районе домов д.11, 13 по ул. Ермака.</w:t>
      </w:r>
    </w:p>
    <w:p w:rsidR="0097009C" w:rsidRPr="0097009C"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5. Благоустройство площади Свободы.</w:t>
      </w:r>
    </w:p>
    <w:p w:rsidR="001E2FDF" w:rsidRDefault="0097009C"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97009C">
        <w:rPr>
          <w:rFonts w:ascii="Times New Roman" w:eastAsia="Times New Roman" w:hAnsi="Times New Roman" w:cs="Times New Roman"/>
          <w:sz w:val="28"/>
          <w:szCs w:val="28"/>
          <w:lang w:eastAsia="ru-RU"/>
        </w:rPr>
        <w:t>6. Благоустройство территор</w:t>
      </w:r>
      <w:r>
        <w:rPr>
          <w:rFonts w:ascii="Times New Roman" w:eastAsia="Times New Roman" w:hAnsi="Times New Roman" w:cs="Times New Roman"/>
          <w:sz w:val="28"/>
          <w:szCs w:val="28"/>
          <w:lang w:eastAsia="ru-RU"/>
        </w:rPr>
        <w:t>ии по ул. Ленина – ул. Крупской.</w:t>
      </w:r>
    </w:p>
    <w:p w:rsidR="001E2FDF" w:rsidRPr="001E2FDF" w:rsidRDefault="001E2FDF"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7) Адресный перечень дворовых и общественных территорий, подлежащих благоустройству в 2021 году:</w:t>
      </w:r>
    </w:p>
    <w:p w:rsidR="001E2FDF" w:rsidRPr="001E2FDF" w:rsidRDefault="001E2FDF"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Дворовые территории:</w:t>
      </w:r>
    </w:p>
    <w:p w:rsidR="001E2FDF" w:rsidRPr="001E2FDF" w:rsidRDefault="001E2FDF" w:rsidP="00975208">
      <w:pPr>
        <w:numPr>
          <w:ilvl w:val="0"/>
          <w:numId w:val="12"/>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Рябиновая, д.30;</w:t>
      </w:r>
    </w:p>
    <w:p w:rsidR="001E2FDF" w:rsidRPr="001E2FDF" w:rsidRDefault="001E2FDF" w:rsidP="00975208">
      <w:pPr>
        <w:numPr>
          <w:ilvl w:val="0"/>
          <w:numId w:val="12"/>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Гагарина, д.130, 132;</w:t>
      </w:r>
    </w:p>
    <w:p w:rsidR="001E2FDF" w:rsidRPr="001E2FDF" w:rsidRDefault="001E2FDF" w:rsidP="00975208">
      <w:pPr>
        <w:numPr>
          <w:ilvl w:val="0"/>
          <w:numId w:val="12"/>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Шевченко, д.36;</w:t>
      </w:r>
    </w:p>
    <w:p w:rsidR="001E2FDF" w:rsidRPr="001E2FDF" w:rsidRDefault="001E2FDF" w:rsidP="00975208">
      <w:pPr>
        <w:numPr>
          <w:ilvl w:val="0"/>
          <w:numId w:val="12"/>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Ключевая, д.28;</w:t>
      </w:r>
    </w:p>
    <w:p w:rsidR="001E2FDF" w:rsidRPr="001E2FDF" w:rsidRDefault="001E2FDF" w:rsidP="00975208">
      <w:pPr>
        <w:numPr>
          <w:ilvl w:val="0"/>
          <w:numId w:val="12"/>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 xml:space="preserve">ул. </w:t>
      </w:r>
      <w:proofErr w:type="spellStart"/>
      <w:r w:rsidRPr="001E2FDF">
        <w:rPr>
          <w:rFonts w:ascii="Times New Roman" w:eastAsia="Times New Roman" w:hAnsi="Times New Roman" w:cs="Times New Roman"/>
          <w:sz w:val="28"/>
          <w:szCs w:val="28"/>
          <w:lang w:eastAsia="ru-RU"/>
        </w:rPr>
        <w:t>Собянина</w:t>
      </w:r>
      <w:proofErr w:type="spellEnd"/>
      <w:r w:rsidRPr="001E2FDF">
        <w:rPr>
          <w:rFonts w:ascii="Times New Roman" w:eastAsia="Times New Roman" w:hAnsi="Times New Roman" w:cs="Times New Roman"/>
          <w:sz w:val="28"/>
          <w:szCs w:val="28"/>
          <w:lang w:eastAsia="ru-RU"/>
        </w:rPr>
        <w:t>, д. 10;</w:t>
      </w:r>
    </w:p>
    <w:p w:rsidR="001E2FDF" w:rsidRPr="001E2FDF" w:rsidRDefault="001E2FDF" w:rsidP="00975208">
      <w:pPr>
        <w:numPr>
          <w:ilvl w:val="0"/>
          <w:numId w:val="12"/>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Механизаторов, д. 3.</w:t>
      </w:r>
    </w:p>
    <w:p w:rsidR="001E2FDF" w:rsidRPr="001E2FDF" w:rsidRDefault="001E2FDF"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Общественные территории</w:t>
      </w:r>
    </w:p>
    <w:p w:rsidR="001E2FDF" w:rsidRPr="001E2FDF" w:rsidRDefault="001E2FDF"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1. Благоустройство сквера в районе ул. Чехова – ул. Красноармейская;</w:t>
      </w:r>
    </w:p>
    <w:p w:rsidR="001E2FDF" w:rsidRPr="001E2FDF" w:rsidRDefault="001E2FDF"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2. Строительство пешеходного маршрута «Дорога к храму» (обустройство правого склона ул. Гагарина, строительство пешеходного моста);</w:t>
      </w:r>
    </w:p>
    <w:p w:rsidR="001E2FDF" w:rsidRPr="001E2FDF" w:rsidRDefault="001E2FDF"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3. Благоустройство ул. Набережная;</w:t>
      </w:r>
    </w:p>
    <w:p w:rsidR="001E2FDF" w:rsidRPr="001E2FDF" w:rsidRDefault="001E2FDF"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4. Благоустройство парка в микрорайоне «Западный»;</w:t>
      </w:r>
    </w:p>
    <w:p w:rsidR="001E2FDF" w:rsidRPr="001E2FDF" w:rsidRDefault="001E2FDF"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 xml:space="preserve">5. Благоустройство территории по ул. </w:t>
      </w:r>
      <w:proofErr w:type="gramStart"/>
      <w:r w:rsidRPr="001E2FDF">
        <w:rPr>
          <w:rFonts w:ascii="Times New Roman" w:eastAsia="Times New Roman" w:hAnsi="Times New Roman" w:cs="Times New Roman"/>
          <w:sz w:val="28"/>
          <w:szCs w:val="28"/>
          <w:lang w:eastAsia="ru-RU"/>
        </w:rPr>
        <w:t>Комсомольская</w:t>
      </w:r>
      <w:proofErr w:type="gramEnd"/>
      <w:r w:rsidRPr="001E2FDF">
        <w:rPr>
          <w:rFonts w:ascii="Times New Roman" w:eastAsia="Times New Roman" w:hAnsi="Times New Roman" w:cs="Times New Roman"/>
          <w:sz w:val="28"/>
          <w:szCs w:val="28"/>
          <w:lang w:eastAsia="ru-RU"/>
        </w:rPr>
        <w:t>, д.41.</w:t>
      </w:r>
    </w:p>
    <w:p w:rsidR="001E2FDF" w:rsidRPr="001E2FDF" w:rsidRDefault="001E2FDF"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8) Адресный перечень дворовых и общественных территорий, подлежащих благоустройству в 2022 году:</w:t>
      </w:r>
    </w:p>
    <w:p w:rsidR="001E2FDF" w:rsidRPr="001E2FDF" w:rsidRDefault="001E2FDF" w:rsidP="00975208">
      <w:pPr>
        <w:tabs>
          <w:tab w:val="left" w:pos="0"/>
        </w:tabs>
        <w:spacing w:after="0" w:line="240" w:lineRule="auto"/>
        <w:ind w:firstLine="709"/>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Дворовые территории:</w:t>
      </w:r>
    </w:p>
    <w:p w:rsidR="001E2FDF" w:rsidRPr="001E2FDF" w:rsidRDefault="001E2FDF" w:rsidP="00975208">
      <w:pPr>
        <w:numPr>
          <w:ilvl w:val="0"/>
          <w:numId w:val="13"/>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Свободы, д.44;</w:t>
      </w:r>
    </w:p>
    <w:p w:rsidR="001E2FDF" w:rsidRPr="001E2FDF" w:rsidRDefault="001E2FDF" w:rsidP="00975208">
      <w:pPr>
        <w:numPr>
          <w:ilvl w:val="0"/>
          <w:numId w:val="13"/>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Кирова, д.31, 35 – ул. Свободы, д.38;</w:t>
      </w:r>
    </w:p>
    <w:p w:rsidR="001E2FDF" w:rsidRPr="001E2FDF" w:rsidRDefault="001E2FDF" w:rsidP="00975208">
      <w:pPr>
        <w:numPr>
          <w:ilvl w:val="0"/>
          <w:numId w:val="13"/>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Зырянова, д.26;</w:t>
      </w:r>
    </w:p>
    <w:p w:rsidR="001E2FDF" w:rsidRPr="001E2FDF" w:rsidRDefault="001E2FDF" w:rsidP="00975208">
      <w:pPr>
        <w:numPr>
          <w:ilvl w:val="0"/>
          <w:numId w:val="13"/>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Крупской, д.5;</w:t>
      </w:r>
    </w:p>
    <w:p w:rsidR="001E2FDF" w:rsidRPr="001E2FDF" w:rsidRDefault="001E2FDF" w:rsidP="00975208">
      <w:pPr>
        <w:numPr>
          <w:ilvl w:val="0"/>
          <w:numId w:val="13"/>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Ленина, д.77;</w:t>
      </w:r>
    </w:p>
    <w:p w:rsidR="001E2FDF" w:rsidRPr="001E2FDF" w:rsidRDefault="001E2FDF" w:rsidP="00975208">
      <w:pPr>
        <w:numPr>
          <w:ilvl w:val="0"/>
          <w:numId w:val="13"/>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Пионерская, д.118;</w:t>
      </w:r>
    </w:p>
    <w:p w:rsidR="001E2FDF" w:rsidRPr="001E2FDF" w:rsidRDefault="001E2FDF" w:rsidP="00975208">
      <w:pPr>
        <w:numPr>
          <w:ilvl w:val="0"/>
          <w:numId w:val="13"/>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lastRenderedPageBreak/>
        <w:t>ул. Гагарина, д.103;</w:t>
      </w:r>
    </w:p>
    <w:p w:rsidR="001E2FDF" w:rsidRPr="001E2FDF" w:rsidRDefault="001E2FDF" w:rsidP="00975208">
      <w:pPr>
        <w:numPr>
          <w:ilvl w:val="0"/>
          <w:numId w:val="13"/>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Гагарина, д. 105;</w:t>
      </w:r>
    </w:p>
    <w:p w:rsidR="001E2FDF" w:rsidRPr="001E2FDF" w:rsidRDefault="001E2FDF" w:rsidP="00975208">
      <w:pPr>
        <w:numPr>
          <w:ilvl w:val="0"/>
          <w:numId w:val="13"/>
        </w:numPr>
        <w:tabs>
          <w:tab w:val="left" w:pos="0"/>
        </w:tabs>
        <w:spacing w:after="0" w:line="240" w:lineRule="auto"/>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ул. Коневая, д. 22.</w:t>
      </w:r>
    </w:p>
    <w:p w:rsidR="001E2FDF" w:rsidRPr="001E2FDF" w:rsidRDefault="001E2FDF" w:rsidP="00975208">
      <w:pPr>
        <w:tabs>
          <w:tab w:val="left" w:pos="0"/>
        </w:tabs>
        <w:spacing w:after="0" w:line="240" w:lineRule="auto"/>
        <w:ind w:firstLine="72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Общественные территории:</w:t>
      </w:r>
    </w:p>
    <w:p w:rsidR="001E2FDF" w:rsidRPr="001E2FDF" w:rsidRDefault="001E2FDF" w:rsidP="00975208">
      <w:pPr>
        <w:tabs>
          <w:tab w:val="left" w:pos="0"/>
        </w:tabs>
        <w:spacing w:after="0" w:line="240" w:lineRule="auto"/>
        <w:ind w:firstLine="72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1. Благоустройство территории в районе КТЦ «Югра-Классик» по ул. Мира;</w:t>
      </w:r>
    </w:p>
    <w:p w:rsidR="001E2FDF" w:rsidRPr="001E2FDF" w:rsidRDefault="001E2FDF" w:rsidP="00975208">
      <w:pPr>
        <w:tabs>
          <w:tab w:val="left" w:pos="0"/>
        </w:tabs>
        <w:spacing w:after="0" w:line="240" w:lineRule="auto"/>
        <w:ind w:firstLine="72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2. Установка светомузыкального фонтана в р. Иртыш;</w:t>
      </w:r>
    </w:p>
    <w:p w:rsidR="001E2FDF" w:rsidRPr="001E2FDF" w:rsidRDefault="001E2FDF" w:rsidP="00975208">
      <w:pPr>
        <w:tabs>
          <w:tab w:val="left" w:pos="0"/>
        </w:tabs>
        <w:spacing w:after="0" w:line="240" w:lineRule="auto"/>
        <w:ind w:firstLine="72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 xml:space="preserve">3. Благоустройство пешеходного маршрута </w:t>
      </w:r>
      <w:proofErr w:type="spellStart"/>
      <w:r w:rsidRPr="001E2FDF">
        <w:rPr>
          <w:rFonts w:ascii="Times New Roman" w:eastAsia="Times New Roman" w:hAnsi="Times New Roman" w:cs="Times New Roman"/>
          <w:sz w:val="28"/>
          <w:szCs w:val="28"/>
          <w:lang w:eastAsia="ru-RU"/>
        </w:rPr>
        <w:t>Археопарк</w:t>
      </w:r>
      <w:proofErr w:type="spellEnd"/>
      <w:r w:rsidRPr="001E2FDF">
        <w:rPr>
          <w:rFonts w:ascii="Times New Roman" w:eastAsia="Times New Roman" w:hAnsi="Times New Roman" w:cs="Times New Roman"/>
          <w:sz w:val="28"/>
          <w:szCs w:val="28"/>
          <w:lang w:eastAsia="ru-RU"/>
        </w:rPr>
        <w:t xml:space="preserve"> – Горнолыжная база «Хвойный урман»;</w:t>
      </w:r>
    </w:p>
    <w:p w:rsidR="001E2FDF" w:rsidRPr="001E2FDF" w:rsidRDefault="001E2FDF" w:rsidP="00975208">
      <w:pPr>
        <w:tabs>
          <w:tab w:val="left" w:pos="0"/>
        </w:tabs>
        <w:spacing w:after="0" w:line="240" w:lineRule="auto"/>
        <w:ind w:firstLine="72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4. Благоустройство сквера в районе ул. Чехова, д.71;</w:t>
      </w:r>
    </w:p>
    <w:p w:rsidR="0097009C" w:rsidRDefault="001E2FDF" w:rsidP="00975208">
      <w:pPr>
        <w:tabs>
          <w:tab w:val="left" w:pos="0"/>
        </w:tabs>
        <w:spacing w:after="0" w:line="240" w:lineRule="auto"/>
        <w:ind w:firstLine="72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 xml:space="preserve">5. </w:t>
      </w:r>
      <w:r w:rsidRPr="001E2FDF">
        <w:rPr>
          <w:rFonts w:ascii="Times New Roman" w:eastAsia="Calibri" w:hAnsi="Times New Roman" w:cs="Times New Roman"/>
          <w:sz w:val="28"/>
          <w:szCs w:val="28"/>
          <w:lang w:eastAsia="ru-RU"/>
        </w:rPr>
        <w:t>Благоустройство сквера «</w:t>
      </w:r>
      <w:proofErr w:type="spellStart"/>
      <w:r w:rsidRPr="001E2FDF">
        <w:rPr>
          <w:rFonts w:ascii="Times New Roman" w:eastAsia="Calibri" w:hAnsi="Times New Roman" w:cs="Times New Roman"/>
          <w:sz w:val="28"/>
          <w:szCs w:val="28"/>
          <w:lang w:eastAsia="ru-RU"/>
        </w:rPr>
        <w:t>Гидронамыв</w:t>
      </w:r>
      <w:proofErr w:type="spellEnd"/>
      <w:r w:rsidRPr="001E2FDF">
        <w:rPr>
          <w:rFonts w:ascii="Times New Roman" w:eastAsia="Calibri" w:hAnsi="Times New Roman" w:cs="Times New Roman"/>
          <w:sz w:val="28"/>
          <w:szCs w:val="28"/>
          <w:lang w:eastAsia="ru-RU"/>
        </w:rPr>
        <w:t xml:space="preserve">» по ул. </w:t>
      </w:r>
      <w:proofErr w:type="spellStart"/>
      <w:r w:rsidRPr="001E2FDF">
        <w:rPr>
          <w:rFonts w:ascii="Times New Roman" w:eastAsia="Calibri" w:hAnsi="Times New Roman" w:cs="Times New Roman"/>
          <w:sz w:val="28"/>
          <w:szCs w:val="28"/>
          <w:lang w:eastAsia="ru-RU"/>
        </w:rPr>
        <w:t>Зеленодольская</w:t>
      </w:r>
      <w:proofErr w:type="spellEnd"/>
      <w:r w:rsidRPr="001E2FDF">
        <w:rPr>
          <w:rFonts w:ascii="Times New Roman" w:eastAsia="Calibri" w:hAnsi="Times New Roman" w:cs="Times New Roman"/>
          <w:sz w:val="28"/>
          <w:szCs w:val="28"/>
          <w:lang w:eastAsia="ru-RU"/>
        </w:rPr>
        <w:t>.</w:t>
      </w:r>
      <w:r w:rsidR="0097009C">
        <w:rPr>
          <w:rFonts w:ascii="Times New Roman" w:eastAsia="Times New Roman" w:hAnsi="Times New Roman" w:cs="Times New Roman"/>
          <w:sz w:val="28"/>
          <w:szCs w:val="28"/>
          <w:lang w:eastAsia="ru-RU"/>
        </w:rPr>
        <w:t>».</w:t>
      </w:r>
    </w:p>
    <w:p w:rsidR="007C4E30" w:rsidRPr="00053213" w:rsidRDefault="007C4E30" w:rsidP="00597F07">
      <w:pPr>
        <w:pStyle w:val="a3"/>
        <w:numPr>
          <w:ilvl w:val="1"/>
          <w:numId w:val="17"/>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53213">
        <w:rPr>
          <w:rFonts w:ascii="Times New Roman" w:eastAsia="Times New Roman" w:hAnsi="Times New Roman" w:cs="Times New Roman"/>
          <w:sz w:val="28"/>
          <w:szCs w:val="28"/>
          <w:lang w:eastAsia="ru-RU"/>
        </w:rPr>
        <w:t xml:space="preserve">Раздел </w:t>
      </w:r>
      <w:r w:rsidRPr="00053213">
        <w:rPr>
          <w:rFonts w:ascii="Times New Roman" w:eastAsia="Times New Roman" w:hAnsi="Times New Roman" w:cs="Times New Roman"/>
          <w:sz w:val="28"/>
          <w:szCs w:val="28"/>
          <w:lang w:val="en-US" w:eastAsia="ru-RU"/>
        </w:rPr>
        <w:t>IV</w:t>
      </w:r>
      <w:r w:rsidRPr="00053213">
        <w:rPr>
          <w:rFonts w:ascii="Times New Roman" w:eastAsia="Times New Roman" w:hAnsi="Times New Roman" w:cs="Times New Roman"/>
          <w:sz w:val="28"/>
          <w:szCs w:val="28"/>
          <w:lang w:eastAsia="ru-RU"/>
        </w:rPr>
        <w:t xml:space="preserve"> </w:t>
      </w:r>
      <w:r w:rsidR="00597F07">
        <w:rPr>
          <w:rFonts w:ascii="Times New Roman" w:eastAsia="Times New Roman" w:hAnsi="Times New Roman" w:cs="Times New Roman"/>
          <w:sz w:val="28"/>
          <w:szCs w:val="28"/>
          <w:lang w:eastAsia="ru-RU"/>
        </w:rPr>
        <w:t>приложения к постановлению</w:t>
      </w:r>
      <w:r w:rsidRPr="00053213">
        <w:rPr>
          <w:rFonts w:ascii="Times New Roman" w:eastAsia="Times New Roman" w:hAnsi="Times New Roman" w:cs="Times New Roman"/>
          <w:sz w:val="28"/>
          <w:szCs w:val="28"/>
          <w:lang w:eastAsia="ru-RU"/>
        </w:rPr>
        <w:t xml:space="preserve"> изложить в следующей редакции:</w:t>
      </w:r>
      <w:bookmarkStart w:id="0" w:name="_GoBack"/>
      <w:bookmarkEnd w:id="0"/>
    </w:p>
    <w:p w:rsidR="007C4E30" w:rsidRPr="00EB2499" w:rsidRDefault="007C4E30" w:rsidP="009752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C4E30">
        <w:rPr>
          <w:rFonts w:ascii="Times New Roman" w:hAnsi="Times New Roman" w:cs="Times New Roman"/>
          <w:sz w:val="28"/>
          <w:szCs w:val="28"/>
        </w:rPr>
        <w:t>Финансирование программы осуществляется за счет средств бюджета города Ханты-Мансийска, бюджета автономного округа и федерального бюджета. Объем бюджетных средств, необходимых для р</w:t>
      </w:r>
      <w:r>
        <w:rPr>
          <w:rFonts w:ascii="Times New Roman" w:hAnsi="Times New Roman" w:cs="Times New Roman"/>
          <w:sz w:val="28"/>
          <w:szCs w:val="28"/>
        </w:rPr>
        <w:t>е</w:t>
      </w:r>
      <w:r w:rsidR="001E2FDF">
        <w:rPr>
          <w:rFonts w:ascii="Times New Roman" w:hAnsi="Times New Roman" w:cs="Times New Roman"/>
          <w:sz w:val="28"/>
          <w:szCs w:val="28"/>
        </w:rPr>
        <w:t>ализации программы в 2016 - 2022</w:t>
      </w:r>
      <w:r w:rsidRPr="007C4E30">
        <w:rPr>
          <w:rFonts w:ascii="Times New Roman" w:hAnsi="Times New Roman" w:cs="Times New Roman"/>
          <w:sz w:val="28"/>
          <w:szCs w:val="28"/>
        </w:rPr>
        <w:t xml:space="preserve"> год</w:t>
      </w:r>
      <w:r>
        <w:rPr>
          <w:rFonts w:ascii="Times New Roman" w:hAnsi="Times New Roman" w:cs="Times New Roman"/>
          <w:sz w:val="28"/>
          <w:szCs w:val="28"/>
        </w:rPr>
        <w:t>ы</w:t>
      </w:r>
      <w:r w:rsidRPr="007C4E30">
        <w:rPr>
          <w:rFonts w:ascii="Times New Roman" w:hAnsi="Times New Roman" w:cs="Times New Roman"/>
          <w:sz w:val="28"/>
          <w:szCs w:val="28"/>
        </w:rPr>
        <w:t xml:space="preserve"> составляет </w:t>
      </w:r>
      <w:r w:rsidR="001E2FDF">
        <w:rPr>
          <w:rFonts w:ascii="Times New Roman" w:hAnsi="Times New Roman" w:cs="Times New Roman"/>
          <w:sz w:val="28"/>
          <w:szCs w:val="28"/>
        </w:rPr>
        <w:t>4901044279,80</w:t>
      </w:r>
      <w:r w:rsidRPr="00EB2499">
        <w:rPr>
          <w:rFonts w:ascii="Times New Roman" w:hAnsi="Times New Roman" w:cs="Times New Roman"/>
          <w:sz w:val="28"/>
          <w:szCs w:val="28"/>
        </w:rPr>
        <w:t xml:space="preserve"> руб.:</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2016 год - 811351128,16 руб., в том числе:</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бюджет города - 612769852,22 руб.;</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бюджет автономного округа - 198581275,94 руб.;</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2017 год – 824420774,86 руб., в том числе:</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бюджет города – 678587454,52 тыс. руб.;</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бюджет автономного округа – 129492883,34 руб.;</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федеральный бюджет - 16340437,00 руб.;</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2018 год - 652311931,11 руб., в том числе:</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бюджет города - 615354731,11 руб.;</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бюджет автономного округа - 36957200,00 руб.;</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2019 год - 653251531,11 руб., в том числе:</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бюджет города - 615354731,11 руб.;</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бюджет автономного округа - 37896800,00 руб.;</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2020 год - 653251531,11 руб., в том числе:</w:t>
      </w:r>
    </w:p>
    <w:p w:rsidR="007C4E30" w:rsidRPr="00EB2499"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бюджет города - 615354731,11 руб.;</w:t>
      </w:r>
    </w:p>
    <w:p w:rsidR="007C4E30" w:rsidRDefault="007C4E30"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2499">
        <w:rPr>
          <w:rFonts w:ascii="Times New Roman" w:eastAsia="Times New Roman" w:hAnsi="Times New Roman" w:cs="Times New Roman"/>
          <w:sz w:val="28"/>
          <w:szCs w:val="28"/>
          <w:lang w:eastAsia="ru-RU"/>
        </w:rPr>
        <w:t>бюджет автономного округа - 37896800,00 руб.</w:t>
      </w:r>
    </w:p>
    <w:p w:rsidR="001E2FDF" w:rsidRPr="001E2FDF" w:rsidRDefault="001E2FDF"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2021 год – 653 251 531,11 руб., в том числе:</w:t>
      </w:r>
    </w:p>
    <w:p w:rsidR="001E2FDF" w:rsidRPr="001E2FDF" w:rsidRDefault="001E2FDF"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бюджет города – 615 354 731,11 руб.;</w:t>
      </w:r>
    </w:p>
    <w:p w:rsidR="001E2FDF" w:rsidRPr="001E2FDF" w:rsidRDefault="001E2FDF"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бюджет автономного округа – 37 896 800,00 руб.;</w:t>
      </w:r>
    </w:p>
    <w:p w:rsidR="001E2FDF" w:rsidRPr="001E2FDF" w:rsidRDefault="001E2FDF"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2022 год – 653 251 531,11 руб., в том числе:</w:t>
      </w:r>
    </w:p>
    <w:p w:rsidR="001E2FDF" w:rsidRPr="001E2FDF" w:rsidRDefault="001E2FDF"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бюджет города – 615 354 731,11 руб.;</w:t>
      </w:r>
    </w:p>
    <w:p w:rsidR="001E2FDF" w:rsidRPr="00EB2499" w:rsidRDefault="001E2FDF" w:rsidP="009752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E2FDF">
        <w:rPr>
          <w:rFonts w:ascii="Times New Roman" w:eastAsia="Times New Roman" w:hAnsi="Times New Roman" w:cs="Times New Roman"/>
          <w:sz w:val="28"/>
          <w:szCs w:val="28"/>
          <w:lang w:eastAsia="ru-RU"/>
        </w:rPr>
        <w:t>бюджет автономного округа – 37 896 800,00 руб.</w:t>
      </w:r>
    </w:p>
    <w:p w:rsidR="00053213" w:rsidRPr="00053213" w:rsidRDefault="00053213" w:rsidP="00975208">
      <w:pPr>
        <w:pStyle w:val="a3"/>
        <w:widowControl w:val="0"/>
        <w:numPr>
          <w:ilvl w:val="1"/>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3213">
        <w:rPr>
          <w:rFonts w:ascii="Times New Roman" w:eastAsia="Times New Roman" w:hAnsi="Times New Roman" w:cs="Times New Roman"/>
          <w:sz w:val="28"/>
          <w:szCs w:val="28"/>
          <w:lang w:eastAsia="ru-RU"/>
        </w:rPr>
        <w:t xml:space="preserve">Приложение 1 </w:t>
      </w:r>
      <w:r w:rsidR="00975208">
        <w:rPr>
          <w:rFonts w:ascii="Times New Roman" w:eastAsia="Times New Roman" w:hAnsi="Times New Roman" w:cs="Times New Roman"/>
          <w:sz w:val="28"/>
          <w:szCs w:val="28"/>
          <w:lang w:eastAsia="ru-RU"/>
        </w:rPr>
        <w:t>к программе</w:t>
      </w:r>
      <w:r w:rsidRPr="00053213">
        <w:rPr>
          <w:rFonts w:ascii="Times New Roman" w:eastAsia="Times New Roman" w:hAnsi="Times New Roman" w:cs="Times New Roman"/>
          <w:sz w:val="28"/>
          <w:szCs w:val="28"/>
          <w:lang w:eastAsia="ru-RU"/>
        </w:rPr>
        <w:t xml:space="preserve"> изложить в новой редакции согласно приложению 1 к настоящему постановлению.</w:t>
      </w:r>
    </w:p>
    <w:p w:rsidR="00053213" w:rsidRDefault="00053213" w:rsidP="00975208">
      <w:pPr>
        <w:pStyle w:val="a3"/>
        <w:numPr>
          <w:ilvl w:val="1"/>
          <w:numId w:val="17"/>
        </w:numPr>
        <w:spacing w:after="0" w:line="24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3213">
        <w:rPr>
          <w:rFonts w:ascii="Times New Roman" w:eastAsia="Times New Roman" w:hAnsi="Times New Roman" w:cs="Times New Roman"/>
          <w:sz w:val="28"/>
          <w:szCs w:val="28"/>
          <w:lang w:eastAsia="ru-RU"/>
        </w:rPr>
        <w:t>Приложение 2</w:t>
      </w:r>
      <w:r w:rsidR="00975208">
        <w:rPr>
          <w:rFonts w:ascii="Times New Roman" w:eastAsia="Times New Roman" w:hAnsi="Times New Roman" w:cs="Times New Roman"/>
          <w:sz w:val="28"/>
          <w:szCs w:val="28"/>
          <w:lang w:eastAsia="ru-RU"/>
        </w:rPr>
        <w:t xml:space="preserve"> к программе</w:t>
      </w:r>
      <w:r w:rsidRPr="00053213">
        <w:rPr>
          <w:rFonts w:ascii="Times New Roman" w:eastAsia="Times New Roman" w:hAnsi="Times New Roman" w:cs="Times New Roman"/>
          <w:sz w:val="28"/>
          <w:szCs w:val="28"/>
          <w:lang w:eastAsia="ru-RU"/>
        </w:rPr>
        <w:t xml:space="preserve"> изложить в новой редакции согласно приложению 2 к настоящему постановлению.</w:t>
      </w:r>
    </w:p>
    <w:p w:rsidR="00DC436F" w:rsidRPr="00DC436F" w:rsidRDefault="00975208" w:rsidP="00975208">
      <w:pPr>
        <w:widowControl w:val="0"/>
        <w:tabs>
          <w:tab w:val="left" w:pos="993"/>
        </w:tabs>
        <w:autoSpaceDE w:val="0"/>
        <w:autoSpaceDN w:val="0"/>
        <w:adjustRightInd w:val="0"/>
        <w:spacing w:after="0" w:line="240" w:lineRule="auto"/>
        <w:ind w:firstLine="539"/>
        <w:jc w:val="both"/>
        <w:rPr>
          <w:rFonts w:ascii="Times New Roman" w:eastAsia="Calibri" w:hAnsi="Times New Roman" w:cs="Times New Roman"/>
          <w:color w:val="FF0000"/>
          <w:sz w:val="28"/>
          <w:szCs w:val="28"/>
        </w:rPr>
      </w:pPr>
      <w:r>
        <w:rPr>
          <w:rFonts w:ascii="Times New Roman" w:eastAsia="Calibri" w:hAnsi="Times New Roman" w:cs="Times New Roman"/>
          <w:color w:val="000000"/>
          <w:sz w:val="28"/>
          <w:szCs w:val="28"/>
        </w:rPr>
        <w:t>2</w:t>
      </w:r>
      <w:r w:rsidR="00DC436F" w:rsidRPr="00DC436F">
        <w:rPr>
          <w:rFonts w:ascii="Times New Roman" w:eastAsia="Calibri" w:hAnsi="Times New Roman" w:cs="Times New Roman"/>
          <w:color w:val="000000"/>
          <w:sz w:val="28"/>
          <w:szCs w:val="28"/>
        </w:rPr>
        <w:t xml:space="preserve">. </w:t>
      </w:r>
      <w:r w:rsidR="00DC436F" w:rsidRPr="00DC436F">
        <w:rPr>
          <w:rFonts w:ascii="Times New Roman" w:eastAsia="Calibri" w:hAnsi="Times New Roman" w:cs="Times New Roman"/>
          <w:sz w:val="28"/>
          <w:szCs w:val="28"/>
        </w:rPr>
        <w:t xml:space="preserve">Настоящее постановление вступает в силу после дня его официального опубликования. </w:t>
      </w:r>
    </w:p>
    <w:p w:rsidR="00DC436F" w:rsidRPr="00DC436F" w:rsidRDefault="00DC436F" w:rsidP="00975208">
      <w:pPr>
        <w:autoSpaceDE w:val="0"/>
        <w:autoSpaceDN w:val="0"/>
        <w:adjustRightInd w:val="0"/>
        <w:spacing w:after="0" w:line="240" w:lineRule="auto"/>
        <w:rPr>
          <w:rFonts w:ascii="Times New Roman" w:eastAsia="Calibri" w:hAnsi="Times New Roman" w:cs="Times New Roman"/>
          <w:sz w:val="28"/>
          <w:szCs w:val="28"/>
        </w:rPr>
      </w:pPr>
    </w:p>
    <w:p w:rsidR="00DC436F" w:rsidRPr="00DC436F" w:rsidRDefault="00DC436F" w:rsidP="00975208">
      <w:pPr>
        <w:autoSpaceDE w:val="0"/>
        <w:autoSpaceDN w:val="0"/>
        <w:adjustRightInd w:val="0"/>
        <w:spacing w:after="0" w:line="240" w:lineRule="auto"/>
        <w:rPr>
          <w:rFonts w:ascii="Times New Roman" w:eastAsia="Calibri" w:hAnsi="Times New Roman" w:cs="Times New Roman"/>
          <w:sz w:val="28"/>
          <w:szCs w:val="28"/>
        </w:rPr>
      </w:pPr>
      <w:r w:rsidRPr="00DC436F">
        <w:rPr>
          <w:rFonts w:ascii="Times New Roman" w:eastAsia="Calibri" w:hAnsi="Times New Roman" w:cs="Times New Roman"/>
          <w:sz w:val="28"/>
          <w:szCs w:val="28"/>
        </w:rPr>
        <w:t xml:space="preserve">Глава города </w:t>
      </w:r>
    </w:p>
    <w:p w:rsidR="00DC436F" w:rsidRPr="00DC436F" w:rsidRDefault="00DC436F" w:rsidP="00975208">
      <w:pPr>
        <w:autoSpaceDE w:val="0"/>
        <w:autoSpaceDN w:val="0"/>
        <w:adjustRightInd w:val="0"/>
        <w:spacing w:after="0" w:line="240" w:lineRule="auto"/>
        <w:rPr>
          <w:rFonts w:ascii="Times New Roman" w:eastAsia="Calibri" w:hAnsi="Times New Roman" w:cs="Times New Roman"/>
          <w:sz w:val="28"/>
          <w:szCs w:val="28"/>
        </w:rPr>
      </w:pPr>
      <w:r w:rsidRPr="00DC436F">
        <w:rPr>
          <w:rFonts w:ascii="Times New Roman" w:eastAsia="Calibri" w:hAnsi="Times New Roman" w:cs="Times New Roman"/>
          <w:sz w:val="28"/>
          <w:szCs w:val="28"/>
        </w:rPr>
        <w:lastRenderedPageBreak/>
        <w:t xml:space="preserve">Ханты-Мансийска                                                                                М.П. </w:t>
      </w:r>
      <w:proofErr w:type="spellStart"/>
      <w:r w:rsidRPr="00DC436F">
        <w:rPr>
          <w:rFonts w:ascii="Times New Roman" w:eastAsia="Calibri" w:hAnsi="Times New Roman" w:cs="Times New Roman"/>
          <w:sz w:val="28"/>
          <w:szCs w:val="28"/>
        </w:rPr>
        <w:t>Ряшин</w:t>
      </w:r>
      <w:proofErr w:type="spellEnd"/>
    </w:p>
    <w:p w:rsidR="00DC436F" w:rsidRPr="00DC436F" w:rsidRDefault="00DC436F" w:rsidP="00975208">
      <w:pPr>
        <w:spacing w:after="0" w:line="240" w:lineRule="auto"/>
        <w:rPr>
          <w:rFonts w:ascii="Times New Roman" w:eastAsia="Times New Roman" w:hAnsi="Times New Roman" w:cs="Times New Roman"/>
          <w:sz w:val="24"/>
          <w:szCs w:val="24"/>
          <w:lang w:eastAsia="ru-RU"/>
        </w:rPr>
        <w:sectPr w:rsidR="00DC436F" w:rsidRPr="00DC436F" w:rsidSect="006132A4">
          <w:pgSz w:w="11906" w:h="16838"/>
          <w:pgMar w:top="993" w:right="849" w:bottom="709" w:left="1701" w:header="709" w:footer="709" w:gutter="0"/>
          <w:cols w:space="708"/>
          <w:docGrid w:linePitch="360"/>
        </w:sectPr>
      </w:pPr>
    </w:p>
    <w:p w:rsidR="003E5171" w:rsidRPr="003E5171" w:rsidRDefault="003E5171" w:rsidP="003E5171">
      <w:pPr>
        <w:spacing w:after="0" w:line="240" w:lineRule="auto"/>
        <w:jc w:val="right"/>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lastRenderedPageBreak/>
        <w:t>Приложение  1</w:t>
      </w:r>
    </w:p>
    <w:p w:rsidR="003E5171" w:rsidRPr="003E5171" w:rsidRDefault="003E5171" w:rsidP="003E5171">
      <w:pPr>
        <w:spacing w:after="0" w:line="240" w:lineRule="auto"/>
        <w:jc w:val="right"/>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t>к муниципальной программе</w:t>
      </w:r>
    </w:p>
    <w:p w:rsidR="003E5171" w:rsidRPr="003E5171" w:rsidRDefault="003E5171" w:rsidP="003E5171">
      <w:pPr>
        <w:spacing w:after="0" w:line="240" w:lineRule="auto"/>
        <w:jc w:val="right"/>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t xml:space="preserve">"Развитие </w:t>
      </w:r>
      <w:proofErr w:type="gramStart"/>
      <w:r w:rsidRPr="003E5171">
        <w:rPr>
          <w:rFonts w:ascii="Times New Roman" w:eastAsia="Times New Roman" w:hAnsi="Times New Roman" w:cs="Times New Roman"/>
          <w:sz w:val="28"/>
          <w:szCs w:val="28"/>
          <w:lang w:eastAsia="ru-RU"/>
        </w:rPr>
        <w:t>жилищного</w:t>
      </w:r>
      <w:proofErr w:type="gramEnd"/>
      <w:r w:rsidRPr="003E5171">
        <w:rPr>
          <w:rFonts w:ascii="Times New Roman" w:eastAsia="Times New Roman" w:hAnsi="Times New Roman" w:cs="Times New Roman"/>
          <w:sz w:val="28"/>
          <w:szCs w:val="28"/>
          <w:lang w:eastAsia="ru-RU"/>
        </w:rPr>
        <w:t xml:space="preserve"> и дорожного</w:t>
      </w:r>
    </w:p>
    <w:p w:rsidR="003E5171" w:rsidRPr="003E5171" w:rsidRDefault="003E5171" w:rsidP="003E5171">
      <w:pPr>
        <w:spacing w:after="0" w:line="240" w:lineRule="auto"/>
        <w:jc w:val="right"/>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t>хозяйства, благоустройство города</w:t>
      </w:r>
    </w:p>
    <w:p w:rsidR="003E5171" w:rsidRPr="003E5171" w:rsidRDefault="003E5171" w:rsidP="003E5171">
      <w:pPr>
        <w:spacing w:after="0" w:line="240" w:lineRule="auto"/>
        <w:jc w:val="right"/>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t>Ханты-Мансийска на 2016 - 202</w:t>
      </w:r>
      <w:r w:rsidR="00334908">
        <w:rPr>
          <w:rFonts w:ascii="Times New Roman" w:eastAsia="Times New Roman" w:hAnsi="Times New Roman" w:cs="Times New Roman"/>
          <w:sz w:val="28"/>
          <w:szCs w:val="28"/>
          <w:lang w:eastAsia="ru-RU"/>
        </w:rPr>
        <w:t>2</w:t>
      </w:r>
      <w:r w:rsidRPr="003E5171">
        <w:rPr>
          <w:rFonts w:ascii="Times New Roman" w:eastAsia="Times New Roman" w:hAnsi="Times New Roman" w:cs="Times New Roman"/>
          <w:sz w:val="28"/>
          <w:szCs w:val="28"/>
          <w:lang w:eastAsia="ru-RU"/>
        </w:rPr>
        <w:t xml:space="preserve"> "</w:t>
      </w:r>
    </w:p>
    <w:p w:rsidR="003E5171" w:rsidRPr="003E5171" w:rsidRDefault="003E5171" w:rsidP="003E5171">
      <w:pPr>
        <w:autoSpaceDE w:val="0"/>
        <w:autoSpaceDN w:val="0"/>
        <w:adjustRightInd w:val="0"/>
        <w:spacing w:after="0" w:line="240" w:lineRule="auto"/>
        <w:outlineLvl w:val="0"/>
        <w:rPr>
          <w:rFonts w:ascii="Times New Roman" w:eastAsia="Calibri" w:hAnsi="Times New Roman" w:cs="Times New Roman"/>
          <w:sz w:val="28"/>
          <w:szCs w:val="28"/>
        </w:rPr>
      </w:pPr>
    </w:p>
    <w:p w:rsidR="003E5171" w:rsidRPr="003E5171" w:rsidRDefault="003E5171" w:rsidP="003E5171">
      <w:pPr>
        <w:autoSpaceDE w:val="0"/>
        <w:autoSpaceDN w:val="0"/>
        <w:adjustRightInd w:val="0"/>
        <w:spacing w:after="0" w:line="240" w:lineRule="auto"/>
        <w:jc w:val="center"/>
        <w:rPr>
          <w:rFonts w:ascii="Times New Roman" w:eastAsia="Calibri" w:hAnsi="Times New Roman" w:cs="Times New Roman"/>
          <w:b/>
          <w:bCs/>
          <w:sz w:val="28"/>
          <w:szCs w:val="28"/>
        </w:rPr>
      </w:pPr>
      <w:r w:rsidRPr="003E5171">
        <w:rPr>
          <w:rFonts w:ascii="Times New Roman" w:eastAsia="Calibri" w:hAnsi="Times New Roman" w:cs="Times New Roman"/>
          <w:bCs/>
          <w:sz w:val="28"/>
          <w:szCs w:val="28"/>
        </w:rPr>
        <w:t>Система показателей, характеризующих результаты реализации муниципальной программы</w:t>
      </w:r>
    </w:p>
    <w:p w:rsidR="003E5171" w:rsidRPr="003E5171" w:rsidRDefault="003E5171" w:rsidP="003E517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5171" w:rsidRPr="003E5171" w:rsidRDefault="003E5171" w:rsidP="003E5171">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5171">
        <w:rPr>
          <w:rFonts w:ascii="Times New Roman" w:eastAsia="Calibri" w:hAnsi="Times New Roman" w:cs="Times New Roman"/>
          <w:sz w:val="28"/>
          <w:szCs w:val="28"/>
        </w:rPr>
        <w:t>Наименование программы: "Развитие жилищного и дорожного хозяйства, благоустройство города Ханты-Мансийска на 2016 - 202</w:t>
      </w:r>
      <w:r w:rsidR="00334908">
        <w:rPr>
          <w:rFonts w:ascii="Times New Roman" w:eastAsia="Calibri" w:hAnsi="Times New Roman" w:cs="Times New Roman"/>
          <w:sz w:val="28"/>
          <w:szCs w:val="28"/>
        </w:rPr>
        <w:t>2</w:t>
      </w:r>
      <w:r w:rsidRPr="003E5171">
        <w:rPr>
          <w:rFonts w:ascii="Times New Roman" w:eastAsia="Calibri" w:hAnsi="Times New Roman" w:cs="Times New Roman"/>
          <w:sz w:val="28"/>
          <w:szCs w:val="28"/>
        </w:rPr>
        <w:t xml:space="preserve"> годы</w:t>
      </w:r>
      <w:r>
        <w:rPr>
          <w:rFonts w:ascii="Times New Roman" w:eastAsia="Calibri" w:hAnsi="Times New Roman" w:cs="Times New Roman"/>
          <w:sz w:val="28"/>
          <w:szCs w:val="28"/>
        </w:rPr>
        <w:t>"</w:t>
      </w:r>
    </w:p>
    <w:p w:rsidR="003E5171" w:rsidRDefault="003E5171" w:rsidP="003E5171">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5171">
        <w:rPr>
          <w:rFonts w:ascii="Times New Roman" w:eastAsia="Calibri" w:hAnsi="Times New Roman" w:cs="Times New Roman"/>
          <w:sz w:val="28"/>
          <w:szCs w:val="28"/>
        </w:rPr>
        <w:t>Координатор программы: Департамент городского хозяйства Администрации города Ханты-Мансийска.</w:t>
      </w:r>
    </w:p>
    <w:p w:rsidR="00334908" w:rsidRDefault="00334908" w:rsidP="003E5171">
      <w:pPr>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265"/>
        <w:gridCol w:w="850"/>
        <w:gridCol w:w="993"/>
        <w:gridCol w:w="992"/>
        <w:gridCol w:w="992"/>
        <w:gridCol w:w="1134"/>
        <w:gridCol w:w="992"/>
        <w:gridCol w:w="993"/>
        <w:gridCol w:w="1134"/>
        <w:gridCol w:w="850"/>
        <w:gridCol w:w="1276"/>
      </w:tblGrid>
      <w:tr w:rsidR="00334908" w:rsidRPr="00334908" w:rsidTr="00FD0E85">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Times New Roman" w:hAnsi="Times New Roman" w:cs="Times New Roman"/>
                <w:sz w:val="28"/>
                <w:szCs w:val="28"/>
                <w:lang w:eastAsia="ru-RU"/>
              </w:rPr>
              <w:tab/>
            </w:r>
            <w:r w:rsidRPr="00334908">
              <w:rPr>
                <w:rFonts w:ascii="Times New Roman" w:eastAsia="Calibri" w:hAnsi="Times New Roman" w:cs="Times New Roman"/>
                <w:sz w:val="20"/>
                <w:szCs w:val="20"/>
              </w:rPr>
              <w:t xml:space="preserve">№ </w:t>
            </w:r>
            <w:proofErr w:type="gramStart"/>
            <w:r w:rsidRPr="00334908">
              <w:rPr>
                <w:rFonts w:ascii="Times New Roman" w:eastAsia="Calibri" w:hAnsi="Times New Roman" w:cs="Times New Roman"/>
                <w:sz w:val="20"/>
                <w:szCs w:val="20"/>
              </w:rPr>
              <w:t>п</w:t>
            </w:r>
            <w:proofErr w:type="gramEnd"/>
            <w:r w:rsidRPr="00334908">
              <w:rPr>
                <w:rFonts w:ascii="Times New Roman" w:eastAsia="Calibri" w:hAnsi="Times New Roman" w:cs="Times New Roman"/>
                <w:sz w:val="20"/>
                <w:szCs w:val="20"/>
              </w:rPr>
              <w:t>/п</w:t>
            </w:r>
          </w:p>
        </w:tc>
        <w:tc>
          <w:tcPr>
            <w:tcW w:w="3265" w:type="dxa"/>
            <w:vMerge w:val="restart"/>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Наименование показателей результатов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Базовый показатель на начало реализации Программы</w:t>
            </w:r>
          </w:p>
        </w:tc>
        <w:tc>
          <w:tcPr>
            <w:tcW w:w="7087" w:type="dxa"/>
            <w:gridSpan w:val="7"/>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Значения показателя по годам</w:t>
            </w:r>
          </w:p>
        </w:tc>
        <w:tc>
          <w:tcPr>
            <w:tcW w:w="1276"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Целевое значение показателя на момент окончания действия Программы</w:t>
            </w:r>
          </w:p>
        </w:tc>
      </w:tr>
      <w:tr w:rsidR="00FD0E85" w:rsidRPr="00334908" w:rsidTr="00FD0E85">
        <w:tc>
          <w:tcPr>
            <w:tcW w:w="529" w:type="dxa"/>
            <w:vMerge/>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Calibri" w:hAnsi="Times New Roman" w:cs="Times New Roman"/>
                <w:sz w:val="24"/>
                <w:szCs w:val="24"/>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Calibri"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Calibri" w:hAnsi="Times New Roman" w:cs="Times New Roman"/>
                <w:sz w:val="24"/>
                <w:szCs w:val="24"/>
              </w:rPr>
            </w:pPr>
          </w:p>
        </w:tc>
      </w:tr>
      <w:tr w:rsidR="00FD0E85" w:rsidRPr="00334908" w:rsidTr="00FD0E85">
        <w:tc>
          <w:tcPr>
            <w:tcW w:w="529"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1</w:t>
            </w:r>
          </w:p>
        </w:tc>
        <w:tc>
          <w:tcPr>
            <w:tcW w:w="3265"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15</w:t>
            </w:r>
          </w:p>
        </w:tc>
      </w:tr>
      <w:tr w:rsidR="00FD0E85" w:rsidRPr="00334908" w:rsidTr="00FD0E85">
        <w:trPr>
          <w:trHeight w:val="53"/>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rPr>
                <w:rFonts w:ascii="Times New Roman" w:eastAsia="Calibri" w:hAnsi="Times New Roman" w:cs="Times New Roman"/>
                <w:sz w:val="20"/>
                <w:szCs w:val="20"/>
              </w:rPr>
            </w:pPr>
            <w:r w:rsidRPr="00334908">
              <w:rPr>
                <w:rFonts w:ascii="Times New Roman" w:eastAsia="Calibri" w:hAnsi="Times New Roman" w:cs="Times New Roman"/>
                <w:sz w:val="20"/>
                <w:szCs w:val="20"/>
              </w:rPr>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7,8</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7,05</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6,25</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5,4</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4,53</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3,3</w:t>
            </w:r>
          </w:p>
        </w:tc>
      </w:tr>
      <w:tr w:rsidR="00FD0E85" w:rsidRPr="00334908" w:rsidTr="00FD0E85">
        <w:trPr>
          <w:trHeight w:val="53"/>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2.</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Доля площади жилищного фонда, обеспеченного всеми видами благоустройства, в общей площади жилищного фонда города</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70,8</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70,9</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71,1</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71,3</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71,5</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71,7</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71,9</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72,2</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jc w:val="center"/>
              <w:rPr>
                <w:rFonts w:ascii="Times New Roman" w:eastAsia="Calibri" w:hAnsi="Times New Roman" w:cs="Times New Roman"/>
                <w:color w:val="000000"/>
                <w:sz w:val="20"/>
                <w:szCs w:val="20"/>
                <w:lang w:eastAsia="ru-RU"/>
              </w:rPr>
            </w:pPr>
            <w:r w:rsidRPr="00334908">
              <w:rPr>
                <w:rFonts w:ascii="Times New Roman" w:eastAsia="Calibri" w:hAnsi="Times New Roman" w:cs="Times New Roman"/>
                <w:color w:val="000000"/>
                <w:sz w:val="20"/>
                <w:szCs w:val="20"/>
              </w:rPr>
              <w:t>72,2</w:t>
            </w:r>
          </w:p>
        </w:tc>
      </w:tr>
      <w:tr w:rsidR="00FD0E85" w:rsidRPr="00334908" w:rsidTr="00FD0E85">
        <w:trPr>
          <w:trHeight w:val="53"/>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3.</w:t>
            </w:r>
          </w:p>
        </w:tc>
        <w:tc>
          <w:tcPr>
            <w:tcW w:w="3265"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line="240" w:lineRule="auto"/>
              <w:rPr>
                <w:rFonts w:ascii="Times New Roman" w:eastAsia="Times New Roman" w:hAnsi="Times New Roman" w:cs="Times New Roman"/>
                <w:sz w:val="24"/>
                <w:szCs w:val="24"/>
                <w:lang w:eastAsia="ru-RU"/>
              </w:rPr>
            </w:pPr>
            <w:r w:rsidRPr="00334908">
              <w:rPr>
                <w:rFonts w:ascii="Times New Roman" w:eastAsia="Times New Roman" w:hAnsi="Times New Roman" w:cs="Times New Roman"/>
                <w:sz w:val="20"/>
                <w:szCs w:val="20"/>
                <w:lang w:eastAsia="ru-RU"/>
              </w:rPr>
              <w:t xml:space="preserve">Количество отремонтированных жилых помещений </w:t>
            </w:r>
            <w:r w:rsidRPr="00334908">
              <w:rPr>
                <w:rFonts w:ascii="Times New Roman" w:eastAsia="Times New Roman" w:hAnsi="Times New Roman" w:cs="Times New Roman"/>
                <w:sz w:val="20"/>
                <w:szCs w:val="20"/>
                <w:lang w:eastAsia="ru-RU"/>
              </w:rPr>
              <w:lastRenderedPageBreak/>
              <w:t xml:space="preserve">муниципального жилого фонда  </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line="240" w:lineRule="auto"/>
              <w:jc w:val="center"/>
              <w:rPr>
                <w:rFonts w:ascii="Times New Roman" w:eastAsia="Times New Roman" w:hAnsi="Times New Roman" w:cs="Times New Roman"/>
                <w:sz w:val="24"/>
                <w:szCs w:val="24"/>
                <w:lang w:eastAsia="ru-RU"/>
              </w:rPr>
            </w:pPr>
            <w:r w:rsidRPr="00334908">
              <w:rPr>
                <w:rFonts w:ascii="Times New Roman" w:eastAsia="Times New Roman" w:hAnsi="Times New Roman" w:cs="Times New Roman"/>
                <w:sz w:val="20"/>
                <w:szCs w:val="20"/>
                <w:lang w:eastAsia="ru-RU"/>
              </w:rPr>
              <w:lastRenderedPageBreak/>
              <w:t>Ед.</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135</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137</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141</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120</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115</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105</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jc w:val="center"/>
              <w:rPr>
                <w:rFonts w:ascii="Times New Roman" w:eastAsia="Calibri" w:hAnsi="Times New Roman" w:cs="Times New Roman"/>
                <w:color w:val="000000"/>
                <w:sz w:val="20"/>
                <w:szCs w:val="20"/>
                <w:lang w:eastAsia="ru-RU"/>
              </w:rPr>
            </w:pPr>
            <w:r w:rsidRPr="00334908">
              <w:rPr>
                <w:rFonts w:ascii="Times New Roman" w:eastAsia="Calibri" w:hAnsi="Times New Roman" w:cs="Times New Roman"/>
                <w:color w:val="000000"/>
                <w:sz w:val="20"/>
                <w:szCs w:val="20"/>
              </w:rPr>
              <w:t>100</w:t>
            </w:r>
          </w:p>
        </w:tc>
      </w:tr>
      <w:tr w:rsidR="00FD0E85" w:rsidRPr="00334908" w:rsidTr="00FD0E85">
        <w:trPr>
          <w:trHeight w:val="53"/>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lastRenderedPageBreak/>
              <w:t>4.</w:t>
            </w:r>
          </w:p>
        </w:tc>
        <w:tc>
          <w:tcPr>
            <w:tcW w:w="3265"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line="240" w:lineRule="auto"/>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Капитальный ремонт специализированного жилищного фонда</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Ед.</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jc w:val="center"/>
              <w:rPr>
                <w:rFonts w:ascii="Times New Roman" w:eastAsia="Calibri" w:hAnsi="Times New Roman" w:cs="Times New Roman"/>
                <w:color w:val="000000"/>
                <w:sz w:val="20"/>
                <w:szCs w:val="20"/>
                <w:lang w:eastAsia="ru-RU"/>
              </w:rPr>
            </w:pPr>
            <w:r w:rsidRPr="00334908">
              <w:rPr>
                <w:rFonts w:ascii="Times New Roman" w:eastAsia="Calibri" w:hAnsi="Times New Roman" w:cs="Times New Roman"/>
                <w:color w:val="000000"/>
                <w:sz w:val="20"/>
                <w:szCs w:val="20"/>
                <w:lang w:eastAsia="ru-RU"/>
              </w:rPr>
              <w:t>3</w:t>
            </w:r>
          </w:p>
        </w:tc>
      </w:tr>
      <w:tr w:rsidR="00FD0E85" w:rsidRPr="00334908" w:rsidTr="00FD0E85">
        <w:trPr>
          <w:trHeight w:val="53"/>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5.</w:t>
            </w:r>
          </w:p>
        </w:tc>
        <w:tc>
          <w:tcPr>
            <w:tcW w:w="3265"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line="240" w:lineRule="auto"/>
              <w:rPr>
                <w:rFonts w:ascii="Times New Roman" w:eastAsia="Times New Roman" w:hAnsi="Times New Roman" w:cs="Times New Roman"/>
                <w:color w:val="000000"/>
                <w:sz w:val="24"/>
                <w:szCs w:val="24"/>
                <w:lang w:eastAsia="ru-RU"/>
              </w:rPr>
            </w:pPr>
            <w:r w:rsidRPr="00334908">
              <w:rPr>
                <w:rFonts w:ascii="Times New Roman" w:eastAsia="Times New Roman" w:hAnsi="Times New Roman" w:cs="Times New Roman"/>
                <w:color w:val="000000"/>
                <w:sz w:val="20"/>
                <w:szCs w:val="20"/>
                <w:lang w:eastAsia="ru-RU"/>
              </w:rPr>
              <w:t>Количество многоквартирных домов, подлежащих комплексному (выборочному) капитальному ремонту</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line="240" w:lineRule="auto"/>
              <w:jc w:val="center"/>
              <w:rPr>
                <w:rFonts w:ascii="Times New Roman" w:eastAsia="Times New Roman" w:hAnsi="Times New Roman" w:cs="Times New Roman"/>
                <w:sz w:val="24"/>
                <w:szCs w:val="24"/>
                <w:lang w:eastAsia="ru-RU"/>
              </w:rPr>
            </w:pPr>
            <w:r w:rsidRPr="00334908">
              <w:rPr>
                <w:rFonts w:ascii="Times New Roman" w:eastAsia="Times New Roman" w:hAnsi="Times New Roman" w:cs="Times New Roman"/>
                <w:sz w:val="20"/>
                <w:szCs w:val="20"/>
                <w:lang w:eastAsia="ru-RU"/>
              </w:rPr>
              <w:t>Ед.</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296</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289</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282</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275</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268</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261</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256</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253</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jc w:val="center"/>
              <w:rPr>
                <w:rFonts w:ascii="Times New Roman" w:eastAsia="Calibri" w:hAnsi="Times New Roman" w:cs="Times New Roman"/>
                <w:color w:val="000000"/>
                <w:sz w:val="20"/>
                <w:szCs w:val="20"/>
                <w:lang w:eastAsia="ru-RU"/>
              </w:rPr>
            </w:pPr>
            <w:r w:rsidRPr="00334908">
              <w:rPr>
                <w:rFonts w:ascii="Times New Roman" w:eastAsia="Calibri" w:hAnsi="Times New Roman" w:cs="Times New Roman"/>
                <w:color w:val="000000"/>
                <w:sz w:val="20"/>
                <w:szCs w:val="20"/>
              </w:rPr>
              <w:t>253</w:t>
            </w:r>
          </w:p>
        </w:tc>
      </w:tr>
      <w:tr w:rsidR="00FD0E85" w:rsidRPr="00334908" w:rsidTr="00FD0E85">
        <w:trPr>
          <w:trHeight w:val="53"/>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6.</w:t>
            </w:r>
          </w:p>
        </w:tc>
        <w:tc>
          <w:tcPr>
            <w:tcW w:w="3265"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line="240" w:lineRule="auto"/>
              <w:rPr>
                <w:rFonts w:ascii="Times New Roman" w:eastAsia="Times New Roman" w:hAnsi="Times New Roman" w:cs="Times New Roman"/>
                <w:sz w:val="24"/>
                <w:szCs w:val="24"/>
                <w:lang w:eastAsia="ru-RU"/>
              </w:rPr>
            </w:pPr>
            <w:r w:rsidRPr="00334908">
              <w:rPr>
                <w:rFonts w:ascii="Times New Roman" w:eastAsia="Times New Roman" w:hAnsi="Times New Roman" w:cs="Times New Roman"/>
                <w:sz w:val="20"/>
                <w:szCs w:val="20"/>
                <w:lang w:eastAsia="ru-RU"/>
              </w:rPr>
              <w:t>Доля аварийного жилищного фонда в общем объеме муниципального жилищного фонда города</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line="240" w:lineRule="auto"/>
              <w:jc w:val="center"/>
              <w:rPr>
                <w:rFonts w:ascii="Times New Roman" w:eastAsia="Times New Roman" w:hAnsi="Times New Roman" w:cs="Times New Roman"/>
                <w:sz w:val="24"/>
                <w:szCs w:val="24"/>
                <w:lang w:eastAsia="ru-RU"/>
              </w:rPr>
            </w:pPr>
            <w:r w:rsidRPr="00334908">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4,6</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4,4</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4,3</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4,2</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4,1</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jc w:val="center"/>
              <w:rPr>
                <w:rFonts w:ascii="Times New Roman" w:eastAsia="Calibri" w:hAnsi="Times New Roman" w:cs="Times New Roman"/>
                <w:color w:val="000000"/>
                <w:sz w:val="20"/>
                <w:szCs w:val="20"/>
                <w:lang w:eastAsia="ru-RU"/>
              </w:rPr>
            </w:pPr>
            <w:r w:rsidRPr="00334908">
              <w:rPr>
                <w:rFonts w:ascii="Times New Roman" w:eastAsia="Calibri" w:hAnsi="Times New Roman" w:cs="Times New Roman"/>
                <w:color w:val="000000"/>
                <w:sz w:val="20"/>
                <w:szCs w:val="20"/>
              </w:rPr>
              <w:t>3,9</w:t>
            </w:r>
          </w:p>
        </w:tc>
      </w:tr>
      <w:tr w:rsidR="00FD0E85" w:rsidRPr="00334908" w:rsidTr="00FD0E85">
        <w:trPr>
          <w:trHeight w:val="53"/>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7.</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spacing w:before="100" w:beforeAutospacing="1" w:after="100" w:afterAutospacing="1" w:line="45" w:lineRule="atLeast"/>
              <w:rPr>
                <w:rFonts w:ascii="Times New Roman" w:eastAsia="Times New Roman" w:hAnsi="Times New Roman" w:cs="Times New Roman"/>
                <w:color w:val="000000"/>
                <w:sz w:val="24"/>
                <w:szCs w:val="24"/>
                <w:lang w:eastAsia="ru-RU"/>
              </w:rPr>
            </w:pPr>
            <w:r w:rsidRPr="00334908">
              <w:rPr>
                <w:rFonts w:ascii="Times New Roman" w:eastAsia="Times New Roman" w:hAnsi="Times New Roman" w:cs="Times New Roman"/>
                <w:color w:val="000000"/>
                <w:sz w:val="20"/>
                <w:szCs w:val="20"/>
                <w:lang w:eastAsia="ru-RU"/>
              </w:rPr>
              <w:t xml:space="preserve">Доля </w:t>
            </w:r>
            <w:proofErr w:type="gramStart"/>
            <w:r w:rsidRPr="00334908">
              <w:rPr>
                <w:rFonts w:ascii="Times New Roman" w:eastAsia="Times New Roman" w:hAnsi="Times New Roman" w:cs="Times New Roman"/>
                <w:color w:val="000000"/>
                <w:sz w:val="20"/>
                <w:szCs w:val="20"/>
                <w:lang w:eastAsia="ru-RU"/>
              </w:rPr>
              <w:t>общей протяженности освещенных частей улиц города в общей площади улично-дорожной сети</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before="100" w:beforeAutospacing="1" w:after="100" w:afterAutospacing="1" w:line="45" w:lineRule="atLeast"/>
              <w:jc w:val="center"/>
              <w:rPr>
                <w:rFonts w:ascii="Georgia" w:eastAsia="Times New Roman" w:hAnsi="Georgia" w:cs="Times New Roman"/>
                <w:color w:val="000000"/>
                <w:sz w:val="24"/>
                <w:szCs w:val="24"/>
                <w:lang w:eastAsia="ru-RU"/>
              </w:rPr>
            </w:pPr>
            <w:r w:rsidRPr="00334908">
              <w:rPr>
                <w:rFonts w:ascii="Georgia" w:eastAsia="Times New Roman" w:hAnsi="Georgia" w:cs="Times New Roman"/>
                <w:color w:val="000000"/>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99</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99,2</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99,4</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99,6</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99,8</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99,9</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jc w:val="center"/>
              <w:rPr>
                <w:rFonts w:ascii="Times New Roman" w:eastAsia="Calibri" w:hAnsi="Times New Roman" w:cs="Times New Roman"/>
                <w:color w:val="000000"/>
                <w:sz w:val="24"/>
                <w:szCs w:val="24"/>
                <w:lang w:eastAsia="ru-RU"/>
              </w:rPr>
            </w:pPr>
            <w:r w:rsidRPr="00334908">
              <w:rPr>
                <w:rFonts w:ascii="Times New Roman" w:eastAsia="Calibri" w:hAnsi="Times New Roman" w:cs="Times New Roman"/>
                <w:color w:val="000000"/>
                <w:sz w:val="20"/>
                <w:szCs w:val="20"/>
                <w:lang w:eastAsia="ru-RU"/>
              </w:rPr>
              <w:t>100</w:t>
            </w:r>
          </w:p>
        </w:tc>
      </w:tr>
      <w:tr w:rsidR="00FD0E85" w:rsidRPr="00334908" w:rsidTr="00FD0E85">
        <w:trPr>
          <w:trHeight w:val="53"/>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8.</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spacing w:before="100" w:beforeAutospacing="1" w:after="100" w:afterAutospacing="1" w:line="45" w:lineRule="atLeast"/>
              <w:rPr>
                <w:rFonts w:ascii="Times New Roman" w:eastAsia="Times New Roman" w:hAnsi="Times New Roman" w:cs="Times New Roman"/>
                <w:color w:val="000000"/>
                <w:sz w:val="20"/>
                <w:szCs w:val="20"/>
                <w:lang w:eastAsia="ru-RU"/>
              </w:rPr>
            </w:pPr>
            <w:r w:rsidRPr="00334908">
              <w:rPr>
                <w:rFonts w:ascii="Times New Roman" w:eastAsia="Times New Roman" w:hAnsi="Times New Roman" w:cs="Times New Roman"/>
                <w:sz w:val="20"/>
                <w:szCs w:val="20"/>
                <w:lang w:eastAsia="ru-RU"/>
              </w:rPr>
              <w:t>Протяженность линий освещения на автомобильных дорогах и  искусственных сооружениях</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before="100" w:beforeAutospacing="1" w:after="100" w:afterAutospacing="1" w:line="45" w:lineRule="atLeast"/>
              <w:jc w:val="center"/>
              <w:rPr>
                <w:rFonts w:ascii="Georgia" w:eastAsia="Times New Roman" w:hAnsi="Georgia" w:cs="Times New Roman"/>
                <w:color w:val="000000"/>
                <w:sz w:val="20"/>
                <w:szCs w:val="20"/>
                <w:lang w:eastAsia="ru-RU"/>
              </w:rPr>
            </w:pPr>
            <w:proofErr w:type="gramStart"/>
            <w:r w:rsidRPr="00334908">
              <w:rPr>
                <w:rFonts w:ascii="Georgia" w:eastAsia="Times New Roman" w:hAnsi="Georgia" w:cs="Times New Roman"/>
                <w:color w:val="000000"/>
                <w:sz w:val="20"/>
                <w:szCs w:val="20"/>
                <w:lang w:eastAsia="ru-RU"/>
              </w:rPr>
              <w:t>км</w:t>
            </w:r>
            <w:proofErr w:type="gramEnd"/>
            <w:r w:rsidRPr="00334908">
              <w:rPr>
                <w:rFonts w:ascii="Georgia" w:eastAsia="Times New Roman" w:hAnsi="Georgia" w:cs="Times New Roman"/>
                <w:color w:val="000000"/>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298,4</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298,4</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313,4</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313,4</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328,4</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328,4</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343,4</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343,4</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jc w:val="center"/>
              <w:rPr>
                <w:rFonts w:ascii="Times New Roman" w:eastAsia="Calibri" w:hAnsi="Times New Roman" w:cs="Times New Roman"/>
                <w:color w:val="000000"/>
                <w:sz w:val="20"/>
                <w:szCs w:val="20"/>
                <w:lang w:eastAsia="ru-RU"/>
              </w:rPr>
            </w:pPr>
            <w:r w:rsidRPr="00334908">
              <w:rPr>
                <w:rFonts w:ascii="Times New Roman" w:eastAsia="Calibri" w:hAnsi="Times New Roman" w:cs="Times New Roman"/>
                <w:color w:val="000000"/>
                <w:sz w:val="20"/>
                <w:szCs w:val="20"/>
              </w:rPr>
              <w:t>343,4</w:t>
            </w:r>
          </w:p>
        </w:tc>
      </w:tr>
      <w:tr w:rsidR="00FD0E85" w:rsidRPr="00334908" w:rsidTr="00FD0E85">
        <w:tc>
          <w:tcPr>
            <w:tcW w:w="529" w:type="dxa"/>
            <w:tcBorders>
              <w:top w:val="single" w:sz="4" w:space="0" w:color="auto"/>
              <w:left w:val="single" w:sz="4" w:space="0" w:color="auto"/>
              <w:bottom w:val="single" w:sz="4" w:space="0" w:color="auto"/>
              <w:right w:val="single" w:sz="4" w:space="0" w:color="auto"/>
            </w:tcBorders>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4"/>
                <w:szCs w:val="24"/>
              </w:rPr>
            </w:pPr>
            <w:r w:rsidRPr="00334908">
              <w:rPr>
                <w:rFonts w:ascii="Times New Roman" w:eastAsia="Calibri" w:hAnsi="Times New Roman" w:cs="Times New Roman"/>
                <w:sz w:val="20"/>
                <w:szCs w:val="20"/>
              </w:rPr>
              <w:t>9.</w:t>
            </w:r>
          </w:p>
        </w:tc>
        <w:tc>
          <w:tcPr>
            <w:tcW w:w="3265"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spacing w:after="0" w:line="240" w:lineRule="auto"/>
              <w:rPr>
                <w:rFonts w:ascii="Times New Roman" w:eastAsia="Times New Roman" w:hAnsi="Times New Roman" w:cs="Times New Roman"/>
                <w:color w:val="000000"/>
                <w:sz w:val="24"/>
                <w:szCs w:val="24"/>
                <w:lang w:eastAsia="ru-RU"/>
              </w:rPr>
            </w:pPr>
            <w:r w:rsidRPr="00334908">
              <w:rPr>
                <w:rFonts w:ascii="Times New Roman" w:eastAsia="Times New Roman" w:hAnsi="Times New Roman" w:cs="Times New Roman"/>
                <w:color w:val="000000"/>
                <w:sz w:val="20"/>
                <w:szCs w:val="20"/>
                <w:lang w:eastAsia="ru-RU"/>
              </w:rPr>
              <w:t>Протяженность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proofErr w:type="gramStart"/>
            <w:r w:rsidRPr="00334908">
              <w:rPr>
                <w:rFonts w:ascii="Times New Roman" w:eastAsia="Calibri" w:hAnsi="Times New Roman" w:cs="Times New Roman"/>
                <w:color w:val="000000"/>
                <w:sz w:val="20"/>
                <w:szCs w:val="20"/>
              </w:rPr>
              <w:t>км</w:t>
            </w:r>
            <w:proofErr w:type="gramEnd"/>
            <w:r w:rsidRPr="00334908">
              <w:rPr>
                <w:rFonts w:ascii="Times New Roman" w:eastAsia="Calibri"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149,2</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151,7</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162,2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171,0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179,0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34908">
              <w:rPr>
                <w:rFonts w:ascii="Times New Roman" w:eastAsia="Calibri" w:hAnsi="Times New Roman" w:cs="Times New Roman"/>
                <w:color w:val="000000"/>
                <w:sz w:val="20"/>
                <w:szCs w:val="20"/>
              </w:rPr>
              <w:t>182,0</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183</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4908" w:rsidRPr="00334908" w:rsidRDefault="00334908" w:rsidP="00334908">
            <w:pPr>
              <w:jc w:val="center"/>
              <w:rPr>
                <w:rFonts w:ascii="Times New Roman" w:eastAsia="Calibri" w:hAnsi="Times New Roman" w:cs="Times New Roman"/>
                <w:color w:val="000000"/>
                <w:sz w:val="24"/>
                <w:szCs w:val="24"/>
                <w:lang w:eastAsia="ru-RU"/>
              </w:rPr>
            </w:pPr>
            <w:r w:rsidRPr="00334908">
              <w:rPr>
                <w:rFonts w:ascii="Times New Roman" w:eastAsia="Calibri" w:hAnsi="Times New Roman" w:cs="Times New Roman"/>
                <w:color w:val="000000"/>
                <w:sz w:val="20"/>
                <w:szCs w:val="20"/>
              </w:rPr>
              <w:t>184</w:t>
            </w:r>
          </w:p>
        </w:tc>
      </w:tr>
      <w:tr w:rsidR="00FD0E85" w:rsidRPr="00334908" w:rsidTr="00FD0E85">
        <w:trPr>
          <w:trHeight w:val="812"/>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10.</w:t>
            </w:r>
          </w:p>
        </w:tc>
        <w:tc>
          <w:tcPr>
            <w:tcW w:w="3265"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line="240" w:lineRule="auto"/>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334908">
              <w:rPr>
                <w:rFonts w:ascii="Times New Roman" w:eastAsia="Calibri" w:hAnsi="Times New Roman" w:cs="Times New Roman"/>
                <w:color w:val="000000"/>
                <w:sz w:val="20"/>
                <w:szCs w:val="20"/>
              </w:rPr>
              <w:t>км</w:t>
            </w:r>
            <w:proofErr w:type="gramEnd"/>
            <w:r w:rsidRPr="00334908">
              <w:rPr>
                <w:rFonts w:ascii="Times New Roman" w:eastAsia="Calibri"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jc w:val="center"/>
              <w:rPr>
                <w:rFonts w:ascii="Times New Roman" w:eastAsia="Calibri" w:hAnsi="Times New Roman" w:cs="Times New Roman"/>
                <w:color w:val="000000"/>
                <w:sz w:val="20"/>
                <w:szCs w:val="20"/>
                <w:lang w:eastAsia="ru-RU"/>
              </w:rPr>
            </w:pPr>
            <w:r w:rsidRPr="00334908">
              <w:rPr>
                <w:rFonts w:ascii="Times New Roman" w:eastAsia="Calibri" w:hAnsi="Times New Roman" w:cs="Times New Roman"/>
                <w:color w:val="000000"/>
                <w:sz w:val="20"/>
                <w:szCs w:val="20"/>
                <w:lang w:eastAsia="ru-RU"/>
              </w:rPr>
              <w:t>0</w:t>
            </w:r>
          </w:p>
        </w:tc>
      </w:tr>
      <w:tr w:rsidR="00FD0E85" w:rsidRPr="00334908" w:rsidTr="00FD0E85">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11.</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 xml:space="preserve">Протяженность дорог 1 категории </w:t>
            </w:r>
            <w:r w:rsidRPr="00334908">
              <w:rPr>
                <w:rFonts w:ascii="Times New Roman" w:eastAsia="Times New Roman" w:hAnsi="Times New Roman" w:cs="Times New Roman"/>
                <w:bCs/>
                <w:sz w:val="20"/>
                <w:szCs w:val="20"/>
                <w:lang w:eastAsia="ru-RU"/>
              </w:rPr>
              <w:t>(магистральные дороги регулируемого движения)</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334908">
              <w:rPr>
                <w:rFonts w:ascii="Times New Roman" w:eastAsia="Calibri" w:hAnsi="Times New Roman" w:cs="Times New Roman"/>
                <w:color w:val="000000"/>
                <w:sz w:val="20"/>
                <w:szCs w:val="20"/>
              </w:rPr>
              <w:t>км</w:t>
            </w:r>
            <w:proofErr w:type="gramEnd"/>
            <w:r w:rsidRPr="00334908">
              <w:rPr>
                <w:rFonts w:ascii="Times New Roman" w:eastAsia="Calibri"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40,01</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40,01</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40,01</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40,15</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40,20</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40,30</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40,35</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40,40</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jc w:val="center"/>
              <w:rPr>
                <w:rFonts w:ascii="Times New Roman" w:eastAsia="Calibri" w:hAnsi="Times New Roman" w:cs="Times New Roman"/>
                <w:color w:val="000000"/>
                <w:sz w:val="20"/>
                <w:szCs w:val="20"/>
                <w:lang w:eastAsia="ru-RU"/>
              </w:rPr>
            </w:pPr>
            <w:r w:rsidRPr="00334908">
              <w:rPr>
                <w:rFonts w:ascii="Times New Roman" w:eastAsia="Calibri" w:hAnsi="Times New Roman" w:cs="Times New Roman"/>
                <w:color w:val="000000"/>
                <w:sz w:val="20"/>
                <w:szCs w:val="20"/>
              </w:rPr>
              <w:t>40,40</w:t>
            </w:r>
          </w:p>
        </w:tc>
      </w:tr>
      <w:tr w:rsidR="00FD0E85" w:rsidRPr="00334908" w:rsidTr="00FD0E85">
        <w:trPr>
          <w:trHeight w:val="242"/>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12.</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 xml:space="preserve">Протяженность дорог 2 категории </w:t>
            </w:r>
            <w:r w:rsidRPr="00334908">
              <w:rPr>
                <w:rFonts w:ascii="Times New Roman" w:eastAsia="Times New Roman" w:hAnsi="Times New Roman" w:cs="Times New Roman"/>
                <w:bCs/>
                <w:sz w:val="20"/>
                <w:szCs w:val="20"/>
                <w:lang w:eastAsia="ru-RU"/>
              </w:rPr>
              <w:t>(магистральные улицы общегородского значения регулируемого движения</w:t>
            </w:r>
            <w:r w:rsidRPr="00334908">
              <w:rPr>
                <w:rFonts w:ascii="Times New Roman" w:eastAsia="Times New Roman" w:hAnsi="Times New Roman" w:cs="Times New Roman"/>
                <w:b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p>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334908">
              <w:rPr>
                <w:rFonts w:ascii="Times New Roman" w:eastAsia="Calibri" w:hAnsi="Times New Roman" w:cs="Times New Roman"/>
                <w:color w:val="000000"/>
                <w:sz w:val="20"/>
                <w:szCs w:val="20"/>
              </w:rPr>
              <w:t>км</w:t>
            </w:r>
            <w:proofErr w:type="gramEnd"/>
            <w:r w:rsidRPr="00334908">
              <w:rPr>
                <w:rFonts w:ascii="Times New Roman" w:eastAsia="Calibri"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36,7</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36,7</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39,3</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39,6</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40,5</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40,7</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jc w:val="center"/>
              <w:rPr>
                <w:rFonts w:ascii="Times New Roman" w:eastAsia="Calibri" w:hAnsi="Times New Roman" w:cs="Times New Roman"/>
                <w:color w:val="000000"/>
                <w:sz w:val="20"/>
                <w:szCs w:val="20"/>
                <w:lang w:eastAsia="ru-RU"/>
              </w:rPr>
            </w:pPr>
            <w:r w:rsidRPr="00334908">
              <w:rPr>
                <w:rFonts w:ascii="Times New Roman" w:eastAsia="Calibri" w:hAnsi="Times New Roman" w:cs="Times New Roman"/>
                <w:color w:val="000000"/>
                <w:sz w:val="20"/>
                <w:szCs w:val="20"/>
              </w:rPr>
              <w:t>40,7</w:t>
            </w:r>
          </w:p>
        </w:tc>
      </w:tr>
      <w:tr w:rsidR="00FD0E85" w:rsidRPr="00334908" w:rsidTr="00FD0E85">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13.</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rPr>
                <w:rFonts w:ascii="Times New Roman" w:eastAsia="Calibri" w:hAnsi="Times New Roman" w:cs="Times New Roman"/>
                <w:sz w:val="20"/>
                <w:szCs w:val="20"/>
              </w:rPr>
            </w:pPr>
            <w:r w:rsidRPr="00334908">
              <w:rPr>
                <w:rFonts w:ascii="Times New Roman" w:eastAsia="Calibri" w:hAnsi="Times New Roman" w:cs="Times New Roman"/>
                <w:sz w:val="20"/>
                <w:szCs w:val="20"/>
              </w:rPr>
              <w:t>Доля восстановленных газонов в соответствии с критериями оценки качества содержания зеленого хозяйства</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jc w:val="center"/>
              <w:rPr>
                <w:rFonts w:ascii="Times New Roman" w:eastAsia="Calibri" w:hAnsi="Times New Roman" w:cs="Times New Roman"/>
                <w:sz w:val="20"/>
                <w:szCs w:val="20"/>
                <w:lang w:eastAsia="ru-RU"/>
              </w:rPr>
            </w:pPr>
            <w:r w:rsidRPr="00334908">
              <w:rPr>
                <w:rFonts w:ascii="Times New Roman" w:eastAsia="Calibri" w:hAnsi="Times New Roman" w:cs="Times New Roman"/>
                <w:sz w:val="20"/>
                <w:szCs w:val="20"/>
              </w:rPr>
              <w:t>40</w:t>
            </w:r>
          </w:p>
        </w:tc>
      </w:tr>
      <w:tr w:rsidR="00FD0E85" w:rsidRPr="00334908" w:rsidTr="00FD0E85">
        <w:trPr>
          <w:trHeight w:val="528"/>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lastRenderedPageBreak/>
              <w:t>14.</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rPr>
                <w:rFonts w:ascii="Times New Roman" w:eastAsia="Calibri" w:hAnsi="Times New Roman" w:cs="Times New Roman"/>
                <w:sz w:val="20"/>
                <w:szCs w:val="20"/>
              </w:rPr>
            </w:pPr>
            <w:r w:rsidRPr="00334908">
              <w:rPr>
                <w:rFonts w:ascii="Times New Roman" w:eastAsia="Calibri" w:hAnsi="Times New Roman" w:cs="Times New Roman"/>
                <w:sz w:val="20"/>
                <w:szCs w:val="20"/>
              </w:rPr>
              <w:t>Доля городских лесов, в отношении которых проведены мероприятия, направленные на устранение последствий воздействия на зеленные насаждения негативных причин и устранение самих причин, а также мероприятия по повышению уровня благоустройства</w:t>
            </w:r>
          </w:p>
          <w:p w:rsidR="00334908" w:rsidRPr="00334908" w:rsidRDefault="00334908" w:rsidP="00334908">
            <w:pPr>
              <w:autoSpaceDE w:val="0"/>
              <w:autoSpaceDN w:val="0"/>
              <w:adjustRightInd w:val="0"/>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35</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55</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color w:val="000000"/>
                <w:sz w:val="20"/>
                <w:szCs w:val="20"/>
              </w:rPr>
            </w:pPr>
            <w:r w:rsidRPr="00334908">
              <w:rPr>
                <w:rFonts w:ascii="Times New Roman" w:eastAsia="Calibri" w:hAnsi="Times New Roman" w:cs="Times New Roman"/>
                <w:color w:val="000000"/>
                <w:sz w:val="20"/>
                <w:szCs w:val="20"/>
              </w:rPr>
              <w:t>90</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spacing w:after="0"/>
              <w:jc w:val="center"/>
              <w:rPr>
                <w:rFonts w:ascii="Times New Roman" w:eastAsia="Calibri" w:hAnsi="Times New Roman" w:cs="Times New Roman"/>
                <w:color w:val="000000"/>
                <w:sz w:val="20"/>
                <w:szCs w:val="20"/>
                <w:lang w:eastAsia="ru-RU"/>
              </w:rPr>
            </w:pPr>
            <w:r w:rsidRPr="00334908">
              <w:rPr>
                <w:rFonts w:ascii="Times New Roman" w:eastAsia="Calibri" w:hAnsi="Times New Roman" w:cs="Times New Roman"/>
                <w:color w:val="000000"/>
                <w:sz w:val="20"/>
                <w:szCs w:val="20"/>
              </w:rPr>
              <w:t>90</w:t>
            </w:r>
          </w:p>
        </w:tc>
      </w:tr>
      <w:tr w:rsidR="00FD0E85" w:rsidRPr="00334908" w:rsidTr="00FD0E85">
        <w:trPr>
          <w:trHeight w:val="135"/>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15.</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rPr>
                <w:rFonts w:ascii="Times New Roman" w:eastAsia="Calibri" w:hAnsi="Times New Roman" w:cs="Times New Roman"/>
                <w:sz w:val="20"/>
                <w:szCs w:val="20"/>
              </w:rPr>
            </w:pPr>
            <w:r w:rsidRPr="00334908">
              <w:rPr>
                <w:rFonts w:ascii="Times New Roman" w:eastAsia="Calibri" w:hAnsi="Times New Roman" w:cs="Times New Roman"/>
                <w:sz w:val="20"/>
                <w:szCs w:val="20"/>
              </w:rPr>
              <w:t>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Ед.</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960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960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965</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970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999</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1014</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1021</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1032</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1032</w:t>
            </w:r>
          </w:p>
        </w:tc>
      </w:tr>
      <w:tr w:rsidR="00FD0E85" w:rsidRPr="00334908" w:rsidTr="00FD0E85">
        <w:trPr>
          <w:trHeight w:val="70"/>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16.</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rPr>
                <w:rFonts w:ascii="Times New Roman" w:eastAsia="Calibri" w:hAnsi="Times New Roman" w:cs="Times New Roman"/>
                <w:sz w:val="20"/>
                <w:szCs w:val="20"/>
              </w:rPr>
            </w:pPr>
            <w:r w:rsidRPr="00334908">
              <w:rPr>
                <w:rFonts w:ascii="Times New Roman" w:eastAsia="Calibri" w:hAnsi="Times New Roman" w:cs="Times New Roman"/>
                <w:sz w:val="20"/>
                <w:szCs w:val="20"/>
              </w:rPr>
              <w:t>Доля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93,0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93,0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93,5</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93,9</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96,8</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98,2</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98,9</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100</w:t>
            </w:r>
          </w:p>
        </w:tc>
      </w:tr>
      <w:tr w:rsidR="00FD0E85" w:rsidRPr="00334908" w:rsidTr="00FD0E85">
        <w:trPr>
          <w:trHeight w:val="968"/>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lang w:eastAsia="ru-RU"/>
              </w:rPr>
              <w:t>17.</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ind w:right="459"/>
              <w:rPr>
                <w:rFonts w:ascii="Times New Roman" w:eastAsia="Calibri" w:hAnsi="Times New Roman" w:cs="Times New Roman"/>
                <w:sz w:val="20"/>
                <w:szCs w:val="20"/>
              </w:rPr>
            </w:pPr>
            <w:r w:rsidRPr="00334908">
              <w:rPr>
                <w:rFonts w:ascii="Times New Roman" w:eastAsia="Calibri" w:hAnsi="Times New Roman" w:cs="Times New Roman"/>
                <w:sz w:val="20"/>
                <w:szCs w:val="20"/>
              </w:rPr>
              <w:t>Площадь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Times New Roman" w:hAnsi="Times New Roman" w:cs="Times New Roman"/>
                <w:sz w:val="20"/>
                <w:szCs w:val="20"/>
                <w:lang w:eastAsia="ru-RU"/>
              </w:rPr>
              <w:t>кв. м</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246582</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 xml:space="preserve">  246582</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257972</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262967</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302967</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314123</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319523</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325323</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325323</w:t>
            </w:r>
          </w:p>
        </w:tc>
      </w:tr>
      <w:tr w:rsidR="00FD0E85" w:rsidRPr="00334908" w:rsidTr="00FD0E85">
        <w:trPr>
          <w:trHeight w:val="255"/>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lang w:eastAsia="ru-RU"/>
              </w:rPr>
              <w:t>18.</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rPr>
                <w:rFonts w:ascii="Times New Roman" w:eastAsia="Calibri" w:hAnsi="Times New Roman" w:cs="Times New Roman"/>
                <w:sz w:val="20"/>
                <w:szCs w:val="20"/>
              </w:rPr>
            </w:pPr>
            <w:r w:rsidRPr="00334908">
              <w:rPr>
                <w:rFonts w:ascii="Times New Roman" w:eastAsia="Calibri" w:hAnsi="Times New Roman" w:cs="Times New Roman"/>
                <w:sz w:val="20"/>
                <w:szCs w:val="20"/>
              </w:rPr>
              <w:t>Доля площади благоустроенных общественных территорий к общей площади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75,7</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75,7</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79,2</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80,8</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Calibri" w:hAnsi="Times New Roman" w:cs="Times New Roman"/>
                <w:sz w:val="20"/>
                <w:szCs w:val="20"/>
                <w:lang w:eastAsia="ru-RU"/>
              </w:rPr>
              <w:t>93,1</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Calibri" w:hAnsi="Times New Roman" w:cs="Times New Roman"/>
                <w:sz w:val="20"/>
                <w:szCs w:val="20"/>
                <w:lang w:eastAsia="ru-RU"/>
              </w:rPr>
              <w:t>96,5</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Calibri" w:hAnsi="Times New Roman" w:cs="Times New Roman"/>
                <w:sz w:val="20"/>
                <w:szCs w:val="20"/>
                <w:lang w:eastAsia="ru-RU"/>
              </w:rPr>
              <w:t>98,2</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Calibri"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100</w:t>
            </w:r>
          </w:p>
        </w:tc>
      </w:tr>
      <w:tr w:rsidR="00FD0E85" w:rsidRPr="00334908" w:rsidTr="00FD0E85">
        <w:trPr>
          <w:trHeight w:val="225"/>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lang w:eastAsia="ru-RU"/>
              </w:rPr>
              <w:t>19.</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spacing w:after="0" w:line="240" w:lineRule="auto"/>
              <w:rPr>
                <w:rFonts w:ascii="Times New Roman" w:eastAsia="Calibri" w:hAnsi="Times New Roman" w:cs="Times New Roman"/>
                <w:sz w:val="20"/>
                <w:szCs w:val="20"/>
                <w:lang w:eastAsia="ru-RU"/>
              </w:rPr>
            </w:pPr>
            <w:r w:rsidRPr="00334908">
              <w:rPr>
                <w:rFonts w:ascii="Times New Roman" w:eastAsia="Calibri" w:hAnsi="Times New Roman" w:cs="Times New Roman"/>
                <w:sz w:val="20"/>
                <w:szCs w:val="20"/>
                <w:lang w:eastAsia="ru-RU"/>
              </w:rPr>
              <w:t>Объем трудового участия заинтересованных лиц в выполнении работ по благоустройству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Чел/час</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43279C"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239</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1360</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Calibri" w:hAnsi="Times New Roman" w:cs="Times New Roman"/>
                <w:sz w:val="20"/>
                <w:szCs w:val="20"/>
                <w:lang w:eastAsia="ru-RU"/>
              </w:rPr>
              <w:t>678</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Calibri" w:hAnsi="Times New Roman" w:cs="Times New Roman"/>
                <w:sz w:val="20"/>
                <w:szCs w:val="20"/>
                <w:lang w:eastAsia="ru-RU"/>
              </w:rPr>
              <w:t>292,5</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Calibri" w:hAnsi="Times New Roman" w:cs="Times New Roman"/>
                <w:sz w:val="20"/>
                <w:szCs w:val="20"/>
                <w:lang w:eastAsia="ru-RU"/>
              </w:rPr>
              <w:t>357</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357</w:t>
            </w:r>
          </w:p>
        </w:tc>
      </w:tr>
      <w:tr w:rsidR="00FD0E85" w:rsidRPr="00334908" w:rsidTr="00FD0E85">
        <w:trPr>
          <w:trHeight w:val="240"/>
        </w:trPr>
        <w:tc>
          <w:tcPr>
            <w:tcW w:w="529"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autoSpaceDE w:val="0"/>
              <w:autoSpaceDN w:val="0"/>
              <w:adjustRightInd w:val="0"/>
              <w:spacing w:after="0" w:line="240" w:lineRule="auto"/>
              <w:jc w:val="center"/>
              <w:rPr>
                <w:rFonts w:ascii="Times New Roman" w:eastAsia="Calibri" w:hAnsi="Times New Roman" w:cs="Times New Roman"/>
                <w:sz w:val="20"/>
                <w:szCs w:val="20"/>
              </w:rPr>
            </w:pPr>
            <w:r w:rsidRPr="00334908">
              <w:rPr>
                <w:rFonts w:ascii="Times New Roman" w:eastAsia="Calibri" w:hAnsi="Times New Roman" w:cs="Times New Roman"/>
                <w:sz w:val="20"/>
                <w:szCs w:val="20"/>
                <w:lang w:eastAsia="ru-RU"/>
              </w:rPr>
              <w:t>20.</w:t>
            </w:r>
          </w:p>
        </w:tc>
        <w:tc>
          <w:tcPr>
            <w:tcW w:w="3265" w:type="dxa"/>
            <w:tcBorders>
              <w:top w:val="single" w:sz="4" w:space="0" w:color="auto"/>
              <w:left w:val="single" w:sz="4" w:space="0" w:color="auto"/>
              <w:bottom w:val="single" w:sz="4" w:space="0" w:color="auto"/>
              <w:right w:val="single" w:sz="4" w:space="0" w:color="auto"/>
            </w:tcBorders>
          </w:tcPr>
          <w:p w:rsidR="00334908" w:rsidRPr="00334908" w:rsidRDefault="00334908" w:rsidP="00334908">
            <w:pPr>
              <w:spacing w:after="0" w:line="240" w:lineRule="auto"/>
              <w:rPr>
                <w:rFonts w:ascii="Times New Roman" w:eastAsia="Calibri" w:hAnsi="Times New Roman" w:cs="Times New Roman"/>
                <w:sz w:val="20"/>
                <w:szCs w:val="20"/>
                <w:lang w:eastAsia="ru-RU"/>
              </w:rPr>
            </w:pPr>
            <w:r w:rsidRPr="00334908">
              <w:rPr>
                <w:rFonts w:ascii="Times New Roman" w:eastAsia="Calibri" w:hAnsi="Times New Roman" w:cs="Times New Roman"/>
                <w:sz w:val="20"/>
                <w:szCs w:val="20"/>
                <w:lang w:eastAsia="ru-RU"/>
              </w:rPr>
              <w:t>Доля финансового участия заинтересованных лиц в выполнении работ по благоустройству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Calibri"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Calibri"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Calibri" w:hAnsi="Times New Roman" w:cs="Times New Roman"/>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334908" w:rsidRPr="00334908" w:rsidRDefault="00334908" w:rsidP="003349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4908">
              <w:rPr>
                <w:rFonts w:ascii="Times New Roman" w:eastAsia="Times New Roman" w:hAnsi="Times New Roman" w:cs="Times New Roman"/>
                <w:sz w:val="20"/>
                <w:szCs w:val="20"/>
                <w:lang w:eastAsia="ru-RU"/>
              </w:rPr>
              <w:t>9</w:t>
            </w:r>
          </w:p>
        </w:tc>
      </w:tr>
    </w:tbl>
    <w:p w:rsidR="00334908" w:rsidRDefault="00334908" w:rsidP="003E517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34908" w:rsidRDefault="00334908" w:rsidP="003E517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34908" w:rsidRPr="003E5171" w:rsidRDefault="00334908" w:rsidP="003E517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5171" w:rsidRPr="003E5171" w:rsidRDefault="003E5171" w:rsidP="003E517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5171" w:rsidRPr="003E5171" w:rsidRDefault="003E5171" w:rsidP="003E5171">
      <w:pPr>
        <w:spacing w:after="0" w:line="240" w:lineRule="auto"/>
        <w:rPr>
          <w:rFonts w:ascii="Times New Roman" w:eastAsia="Calibri" w:hAnsi="Times New Roman" w:cs="Times New Roman"/>
          <w:sz w:val="20"/>
          <w:szCs w:val="20"/>
        </w:rPr>
      </w:pPr>
    </w:p>
    <w:p w:rsidR="000B576D" w:rsidRDefault="000B576D" w:rsidP="000B576D">
      <w:pPr>
        <w:tabs>
          <w:tab w:val="left" w:pos="13665"/>
          <w:tab w:val="right" w:pos="14570"/>
        </w:tabs>
        <w:spacing w:after="0" w:line="240" w:lineRule="auto"/>
        <w:jc w:val="right"/>
        <w:rPr>
          <w:rFonts w:ascii="Times New Roman" w:eastAsia="Times New Roman" w:hAnsi="Times New Roman" w:cs="Times New Roman"/>
          <w:sz w:val="28"/>
          <w:szCs w:val="28"/>
          <w:lang w:eastAsia="ru-RU"/>
        </w:rPr>
      </w:pPr>
    </w:p>
    <w:p w:rsidR="003E5171" w:rsidRPr="003E5171" w:rsidRDefault="003E5171" w:rsidP="000B576D">
      <w:pPr>
        <w:tabs>
          <w:tab w:val="left" w:pos="13665"/>
          <w:tab w:val="right" w:pos="14570"/>
        </w:tabs>
        <w:spacing w:after="0" w:line="240" w:lineRule="auto"/>
        <w:jc w:val="right"/>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lastRenderedPageBreak/>
        <w:t xml:space="preserve">Приложение </w:t>
      </w:r>
      <w:r w:rsidR="000B576D">
        <w:rPr>
          <w:rFonts w:ascii="Times New Roman" w:eastAsia="Times New Roman" w:hAnsi="Times New Roman" w:cs="Times New Roman"/>
          <w:sz w:val="28"/>
          <w:szCs w:val="28"/>
          <w:lang w:eastAsia="ru-RU"/>
        </w:rPr>
        <w:t>2</w:t>
      </w:r>
      <w:r w:rsidRPr="003E5171">
        <w:rPr>
          <w:rFonts w:ascii="Times New Roman" w:eastAsia="Times New Roman" w:hAnsi="Times New Roman" w:cs="Times New Roman"/>
          <w:sz w:val="28"/>
          <w:szCs w:val="28"/>
          <w:lang w:eastAsia="ru-RU"/>
        </w:rPr>
        <w:t xml:space="preserve"> </w:t>
      </w:r>
    </w:p>
    <w:p w:rsidR="000B576D" w:rsidRPr="003E5171" w:rsidRDefault="000B576D" w:rsidP="000B576D">
      <w:pPr>
        <w:spacing w:after="0" w:line="240" w:lineRule="auto"/>
        <w:jc w:val="right"/>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t>к муниципальной программе</w:t>
      </w:r>
    </w:p>
    <w:p w:rsidR="000B576D" w:rsidRPr="003E5171" w:rsidRDefault="000B576D" w:rsidP="000B576D">
      <w:pPr>
        <w:spacing w:after="0" w:line="240" w:lineRule="auto"/>
        <w:jc w:val="right"/>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t xml:space="preserve">"Развитие </w:t>
      </w:r>
      <w:proofErr w:type="gramStart"/>
      <w:r w:rsidRPr="003E5171">
        <w:rPr>
          <w:rFonts w:ascii="Times New Roman" w:eastAsia="Times New Roman" w:hAnsi="Times New Roman" w:cs="Times New Roman"/>
          <w:sz w:val="28"/>
          <w:szCs w:val="28"/>
          <w:lang w:eastAsia="ru-RU"/>
        </w:rPr>
        <w:t>жилищного</w:t>
      </w:r>
      <w:proofErr w:type="gramEnd"/>
      <w:r w:rsidRPr="003E5171">
        <w:rPr>
          <w:rFonts w:ascii="Times New Roman" w:eastAsia="Times New Roman" w:hAnsi="Times New Roman" w:cs="Times New Roman"/>
          <w:sz w:val="28"/>
          <w:szCs w:val="28"/>
          <w:lang w:eastAsia="ru-RU"/>
        </w:rPr>
        <w:t xml:space="preserve"> и дорожного</w:t>
      </w:r>
    </w:p>
    <w:p w:rsidR="000B576D" w:rsidRPr="003E5171" w:rsidRDefault="000B576D" w:rsidP="000B576D">
      <w:pPr>
        <w:spacing w:after="0" w:line="240" w:lineRule="auto"/>
        <w:jc w:val="right"/>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t>хозяйства, благоустройство города</w:t>
      </w:r>
    </w:p>
    <w:p w:rsidR="000B576D" w:rsidRPr="003E5171" w:rsidRDefault="000B576D" w:rsidP="000B576D">
      <w:pPr>
        <w:spacing w:after="0" w:line="240" w:lineRule="auto"/>
        <w:jc w:val="right"/>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t>Ханты-Мансийска на 2016 - 202</w:t>
      </w:r>
      <w:r w:rsidR="00334908">
        <w:rPr>
          <w:rFonts w:ascii="Times New Roman" w:eastAsia="Times New Roman" w:hAnsi="Times New Roman" w:cs="Times New Roman"/>
          <w:sz w:val="28"/>
          <w:szCs w:val="28"/>
          <w:lang w:eastAsia="ru-RU"/>
        </w:rPr>
        <w:t>2</w:t>
      </w:r>
      <w:r w:rsidRPr="003E5171">
        <w:rPr>
          <w:rFonts w:ascii="Times New Roman" w:eastAsia="Times New Roman" w:hAnsi="Times New Roman" w:cs="Times New Roman"/>
          <w:sz w:val="28"/>
          <w:szCs w:val="28"/>
          <w:lang w:eastAsia="ru-RU"/>
        </w:rPr>
        <w:t>"</w:t>
      </w:r>
    </w:p>
    <w:p w:rsidR="003E5171" w:rsidRPr="003E5171" w:rsidRDefault="003E5171" w:rsidP="003E5171">
      <w:pPr>
        <w:spacing w:after="0" w:line="240" w:lineRule="auto"/>
        <w:jc w:val="center"/>
        <w:rPr>
          <w:rFonts w:ascii="Times New Roman" w:eastAsia="Times New Roman" w:hAnsi="Times New Roman" w:cs="Times New Roman"/>
          <w:sz w:val="28"/>
          <w:szCs w:val="28"/>
          <w:lang w:eastAsia="ru-RU"/>
        </w:rPr>
      </w:pPr>
      <w:r w:rsidRPr="003E5171">
        <w:rPr>
          <w:rFonts w:ascii="Times New Roman" w:eastAsia="Times New Roman" w:hAnsi="Times New Roman" w:cs="Times New Roman"/>
          <w:sz w:val="28"/>
          <w:szCs w:val="28"/>
          <w:lang w:eastAsia="ru-RU"/>
        </w:rPr>
        <w:t>Перечень основных мероприятий</w:t>
      </w:r>
    </w:p>
    <w:p w:rsidR="003E5171" w:rsidRDefault="003E5171" w:rsidP="003E5171">
      <w:pPr>
        <w:spacing w:after="0" w:line="240" w:lineRule="auto"/>
        <w:jc w:val="center"/>
        <w:rPr>
          <w:rFonts w:ascii="Calibri" w:eastAsia="Times New Roman" w:hAnsi="Calibri" w:cs="Calibri"/>
          <w:sz w:val="28"/>
          <w:szCs w:val="28"/>
          <w:lang w:eastAsia="ru-RU"/>
        </w:rPr>
      </w:pPr>
    </w:p>
    <w:tbl>
      <w:tblPr>
        <w:tblW w:w="151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
        <w:gridCol w:w="1267"/>
        <w:gridCol w:w="1130"/>
        <w:gridCol w:w="1450"/>
        <w:gridCol w:w="1701"/>
        <w:gridCol w:w="1276"/>
        <w:gridCol w:w="1275"/>
        <w:gridCol w:w="1134"/>
        <w:gridCol w:w="1134"/>
        <w:gridCol w:w="1134"/>
        <w:gridCol w:w="1134"/>
        <w:gridCol w:w="1134"/>
        <w:gridCol w:w="1134"/>
      </w:tblGrid>
      <w:tr w:rsidR="00334908" w:rsidRPr="00334908" w:rsidTr="00355EFC">
        <w:tc>
          <w:tcPr>
            <w:tcW w:w="265" w:type="dxa"/>
            <w:vMerge w:val="restart"/>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 xml:space="preserve">N </w:t>
            </w:r>
            <w:proofErr w:type="gramStart"/>
            <w:r w:rsidRPr="00334908">
              <w:rPr>
                <w:rFonts w:ascii="Times New Roman" w:eastAsia="Calibri" w:hAnsi="Times New Roman" w:cs="Times New Roman"/>
                <w:sz w:val="16"/>
                <w:szCs w:val="16"/>
              </w:rPr>
              <w:t>п</w:t>
            </w:r>
            <w:proofErr w:type="gramEnd"/>
            <w:r w:rsidRPr="00334908">
              <w:rPr>
                <w:rFonts w:ascii="Times New Roman" w:eastAsia="Calibri" w:hAnsi="Times New Roman" w:cs="Times New Roman"/>
                <w:sz w:val="16"/>
                <w:szCs w:val="16"/>
              </w:rPr>
              <w:t>/п</w:t>
            </w:r>
          </w:p>
        </w:tc>
        <w:tc>
          <w:tcPr>
            <w:tcW w:w="1267" w:type="dxa"/>
            <w:vMerge w:val="restart"/>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Основные мероприятия программы (связь мероприятий с показателями программы)</w:t>
            </w:r>
          </w:p>
        </w:tc>
        <w:tc>
          <w:tcPr>
            <w:tcW w:w="1130" w:type="dxa"/>
            <w:vMerge w:val="restart"/>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Главный распорядитель бюджетных средств</w:t>
            </w:r>
          </w:p>
        </w:tc>
        <w:tc>
          <w:tcPr>
            <w:tcW w:w="1450" w:type="dxa"/>
            <w:vMerge w:val="restart"/>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Исполнители программы</w:t>
            </w:r>
          </w:p>
        </w:tc>
        <w:tc>
          <w:tcPr>
            <w:tcW w:w="1701" w:type="dxa"/>
            <w:vMerge w:val="restart"/>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Источники финансирования</w:t>
            </w:r>
          </w:p>
        </w:tc>
        <w:tc>
          <w:tcPr>
            <w:tcW w:w="9355" w:type="dxa"/>
            <w:gridSpan w:val="8"/>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Финансовые затраты на реализацию, рублей.</w:t>
            </w:r>
          </w:p>
        </w:tc>
      </w:tr>
      <w:tr w:rsidR="00334908"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76" w:type="dxa"/>
            <w:vMerge w:val="restart"/>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Всего</w:t>
            </w:r>
          </w:p>
        </w:tc>
        <w:tc>
          <w:tcPr>
            <w:tcW w:w="8079" w:type="dxa"/>
            <w:gridSpan w:val="7"/>
            <w:vAlign w:val="center"/>
          </w:tcPr>
          <w:p w:rsidR="00334908" w:rsidRPr="00334908" w:rsidRDefault="00334908" w:rsidP="00334908">
            <w:pPr>
              <w:spacing w:after="0" w:line="240" w:lineRule="auto"/>
              <w:rPr>
                <w:rFonts w:ascii="Times New Roman" w:eastAsia="Calibri" w:hAnsi="Times New Roman" w:cs="Times New Roman"/>
                <w:sz w:val="16"/>
                <w:szCs w:val="16"/>
              </w:rPr>
            </w:pP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76"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2016 год</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2017 год</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2018 год</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2019 год</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2020 год</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2021 год</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2022 год</w:t>
            </w:r>
          </w:p>
        </w:tc>
      </w:tr>
      <w:tr w:rsidR="00355EFC" w:rsidRPr="00334908" w:rsidTr="00355EFC">
        <w:tc>
          <w:tcPr>
            <w:tcW w:w="265"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1</w:t>
            </w:r>
          </w:p>
        </w:tc>
        <w:tc>
          <w:tcPr>
            <w:tcW w:w="1267"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2</w:t>
            </w:r>
          </w:p>
        </w:tc>
        <w:tc>
          <w:tcPr>
            <w:tcW w:w="1130"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3</w:t>
            </w:r>
          </w:p>
        </w:tc>
        <w:tc>
          <w:tcPr>
            <w:tcW w:w="1450"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4</w:t>
            </w:r>
          </w:p>
        </w:tc>
        <w:tc>
          <w:tcPr>
            <w:tcW w:w="1701"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5</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6"/>
                <w:szCs w:val="16"/>
              </w:rPr>
            </w:pPr>
            <w:r w:rsidRPr="001E2FDF">
              <w:rPr>
                <w:rFonts w:ascii="Times New Roman" w:eastAsia="Calibri" w:hAnsi="Times New Roman" w:cs="Times New Roman"/>
                <w:sz w:val="16"/>
                <w:szCs w:val="16"/>
              </w:rPr>
              <w:t>6</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7</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9</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10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12</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13</w:t>
            </w:r>
          </w:p>
        </w:tc>
      </w:tr>
      <w:tr w:rsidR="00355EFC" w:rsidRPr="00334908" w:rsidTr="00355EFC">
        <w:tc>
          <w:tcPr>
            <w:tcW w:w="265"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1.</w:t>
            </w:r>
          </w:p>
        </w:tc>
        <w:tc>
          <w:tcPr>
            <w:tcW w:w="1267"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Организация жилищного хозяйства и содержание объектов жилищно-коммунальной инфраструктуры (N показателя п. 1, 2, 3, 4, 5, 6)</w:t>
            </w:r>
          </w:p>
        </w:tc>
        <w:tc>
          <w:tcPr>
            <w:tcW w:w="1130"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городского хозяйства;</w:t>
            </w:r>
          </w:p>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муниципальной собственности</w:t>
            </w:r>
          </w:p>
        </w:tc>
        <w:tc>
          <w:tcPr>
            <w:tcW w:w="1450"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городского хозяйства;</w:t>
            </w:r>
          </w:p>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МКУ "Служба муниципального заказа в ЖКХ";</w:t>
            </w:r>
          </w:p>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муниципальной собственности МБУ "Управление эксплуатации служебных зданий"</w:t>
            </w: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Всего</w:t>
            </w:r>
          </w:p>
        </w:tc>
        <w:tc>
          <w:tcPr>
            <w:tcW w:w="1276" w:type="dxa"/>
            <w:vAlign w:val="center"/>
          </w:tcPr>
          <w:p w:rsidR="00334908" w:rsidRPr="001E2FDF" w:rsidRDefault="00355EFC"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1699115118,07</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211982261,02</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244148895,90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248596792,23</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248596792,23</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248596792,23</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248596792,23</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248596792,23</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федеральный бюджет</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автономного округа</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города</w:t>
            </w:r>
          </w:p>
        </w:tc>
        <w:tc>
          <w:tcPr>
            <w:tcW w:w="1276" w:type="dxa"/>
            <w:vAlign w:val="center"/>
          </w:tcPr>
          <w:p w:rsidR="00334908" w:rsidRPr="001E2FDF" w:rsidRDefault="00355EFC"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1699115118,07</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211982261,02</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244148895,90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248596792,23</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248596792,23</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248596792,23</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248596792,23</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248596792,23</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внебюджетные источники</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2.</w:t>
            </w:r>
          </w:p>
        </w:tc>
        <w:tc>
          <w:tcPr>
            <w:tcW w:w="1267"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Создание условий для обеспечения качественными коммунальными, бытовыми услугами</w:t>
            </w:r>
          </w:p>
        </w:tc>
        <w:tc>
          <w:tcPr>
            <w:tcW w:w="1130"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городского хозяйства</w:t>
            </w:r>
          </w:p>
        </w:tc>
        <w:tc>
          <w:tcPr>
            <w:tcW w:w="1450"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городского хозяйства;</w:t>
            </w:r>
          </w:p>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МКУ "Служба муниципального заказа в ЖКХ"</w:t>
            </w: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Всего</w:t>
            </w:r>
          </w:p>
        </w:tc>
        <w:tc>
          <w:tcPr>
            <w:tcW w:w="1276" w:type="dxa"/>
            <w:vAlign w:val="center"/>
          </w:tcPr>
          <w:p w:rsidR="00334908" w:rsidRPr="001E2FDF" w:rsidRDefault="00355EFC"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421519504,83</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67642841,51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59128763,32</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58197900,00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59137500,00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59137500,00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59137500,00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59137500,00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федеральный бюджет</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автономного округа</w:t>
            </w:r>
          </w:p>
        </w:tc>
        <w:tc>
          <w:tcPr>
            <w:tcW w:w="1276" w:type="dxa"/>
            <w:vAlign w:val="center"/>
          </w:tcPr>
          <w:p w:rsidR="00334908" w:rsidRPr="001E2FDF" w:rsidRDefault="00355EFC"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218844090,00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26240400,00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32305790,00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31307900,00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32247500,00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32247500,00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32247500,00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32247500,00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города</w:t>
            </w:r>
          </w:p>
        </w:tc>
        <w:tc>
          <w:tcPr>
            <w:tcW w:w="1276" w:type="dxa"/>
            <w:vAlign w:val="center"/>
          </w:tcPr>
          <w:p w:rsidR="00334908" w:rsidRPr="001E2FDF" w:rsidRDefault="00355EFC"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202675414,83</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41402441,51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26822973,32</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26890000,00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26890000,00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26890000,00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26890000,00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26890000,00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внебюджетные источники</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3.</w:t>
            </w:r>
          </w:p>
        </w:tc>
        <w:tc>
          <w:tcPr>
            <w:tcW w:w="1267"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 xml:space="preserve">Содержание и </w:t>
            </w:r>
            <w:r w:rsidRPr="00334908">
              <w:rPr>
                <w:rFonts w:ascii="Times New Roman" w:eastAsia="Calibri" w:hAnsi="Times New Roman" w:cs="Times New Roman"/>
                <w:sz w:val="16"/>
                <w:szCs w:val="16"/>
              </w:rPr>
              <w:lastRenderedPageBreak/>
              <w:t>ремонт объектов дорожного хозяйства и инженерно-технических сооружений, расположенных на них (N показателя п. 7, 8, 9, 10, 11, 12)</w:t>
            </w:r>
          </w:p>
        </w:tc>
        <w:tc>
          <w:tcPr>
            <w:tcW w:w="1130"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lastRenderedPageBreak/>
              <w:t xml:space="preserve">Департамент </w:t>
            </w:r>
            <w:r w:rsidRPr="00334908">
              <w:rPr>
                <w:rFonts w:ascii="Times New Roman" w:eastAsia="Calibri" w:hAnsi="Times New Roman" w:cs="Times New Roman"/>
                <w:sz w:val="16"/>
                <w:szCs w:val="16"/>
              </w:rPr>
              <w:lastRenderedPageBreak/>
              <w:t>городского хозяйства</w:t>
            </w:r>
          </w:p>
        </w:tc>
        <w:tc>
          <w:tcPr>
            <w:tcW w:w="1450"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lastRenderedPageBreak/>
              <w:t xml:space="preserve">МКУ "Служба </w:t>
            </w:r>
            <w:r w:rsidRPr="00334908">
              <w:rPr>
                <w:rFonts w:ascii="Times New Roman" w:eastAsia="Calibri" w:hAnsi="Times New Roman" w:cs="Times New Roman"/>
                <w:sz w:val="16"/>
                <w:szCs w:val="16"/>
              </w:rPr>
              <w:lastRenderedPageBreak/>
              <w:t>муниципального заказа в ЖКХ"</w:t>
            </w: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lastRenderedPageBreak/>
              <w:t>Всего</w:t>
            </w:r>
          </w:p>
        </w:tc>
        <w:tc>
          <w:tcPr>
            <w:tcW w:w="1276" w:type="dxa"/>
            <w:vAlign w:val="center"/>
          </w:tcPr>
          <w:p w:rsidR="00334908" w:rsidRPr="001E2FDF" w:rsidRDefault="00355EFC"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1599858917,38</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334325255,52</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253233661,86</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202460000,00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202460000,00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202460000,00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202460000,00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202460000,00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федеральный бюджет</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автономного округа</w:t>
            </w:r>
          </w:p>
        </w:tc>
        <w:tc>
          <w:tcPr>
            <w:tcW w:w="1276" w:type="dxa"/>
            <w:vAlign w:val="center"/>
          </w:tcPr>
          <w:p w:rsidR="00334908" w:rsidRPr="001E2FDF" w:rsidRDefault="001E2FDF"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156041606,28</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134190875,94</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21850730,34</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города</w:t>
            </w:r>
          </w:p>
        </w:tc>
        <w:tc>
          <w:tcPr>
            <w:tcW w:w="1276" w:type="dxa"/>
            <w:vAlign w:val="center"/>
          </w:tcPr>
          <w:p w:rsidR="00334908" w:rsidRPr="001E2FDF" w:rsidRDefault="001E2FDF"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1443817,10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200134379,58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231382931,52</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202460000,00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202460000,00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202460000,00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202460000,00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202460000,00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внебюджетные источники</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4.</w:t>
            </w:r>
          </w:p>
        </w:tc>
        <w:tc>
          <w:tcPr>
            <w:tcW w:w="1267"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Обеспечение санитарного состояния и благоустройство, озеленения территории города (N показателя п. 13, 14)</w:t>
            </w:r>
          </w:p>
        </w:tc>
        <w:tc>
          <w:tcPr>
            <w:tcW w:w="1130"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городского хозяйства;</w:t>
            </w:r>
          </w:p>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муниципальной собственности</w:t>
            </w:r>
          </w:p>
        </w:tc>
        <w:tc>
          <w:tcPr>
            <w:tcW w:w="1450"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городского хозяйства;</w:t>
            </w:r>
          </w:p>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МКУ "Служба муниципального заказа в ЖКХ";</w:t>
            </w:r>
          </w:p>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МКУ "Дирекция по содержанию имущества казны"; МБУ "Ритуальные услуги"; МБУ "</w:t>
            </w:r>
            <w:proofErr w:type="spellStart"/>
            <w:r w:rsidRPr="00334908">
              <w:rPr>
                <w:rFonts w:ascii="Times New Roman" w:eastAsia="Calibri" w:hAnsi="Times New Roman" w:cs="Times New Roman"/>
                <w:sz w:val="16"/>
                <w:szCs w:val="16"/>
              </w:rPr>
              <w:t>Горсвет</w:t>
            </w:r>
            <w:proofErr w:type="spellEnd"/>
            <w:r w:rsidRPr="00334908">
              <w:rPr>
                <w:rFonts w:ascii="Times New Roman" w:eastAsia="Calibri" w:hAnsi="Times New Roman" w:cs="Times New Roman"/>
                <w:sz w:val="16"/>
                <w:szCs w:val="16"/>
              </w:rPr>
              <w:t>"</w:t>
            </w: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Всего</w:t>
            </w:r>
          </w:p>
        </w:tc>
        <w:tc>
          <w:tcPr>
            <w:tcW w:w="1276" w:type="dxa"/>
            <w:vAlign w:val="center"/>
          </w:tcPr>
          <w:p w:rsidR="00334908" w:rsidRPr="001E2FDF" w:rsidRDefault="001E2FDF"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1091091434,59</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197400770,11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178404470,88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143057238,88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143057238,88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143057238,88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143057238,88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143057238,88</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федеральный бюджет</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автономного округа</w:t>
            </w:r>
          </w:p>
        </w:tc>
        <w:tc>
          <w:tcPr>
            <w:tcW w:w="1276" w:type="dxa"/>
            <w:vAlign w:val="center"/>
          </w:tcPr>
          <w:p w:rsidR="00334908" w:rsidRPr="001E2FDF" w:rsidRDefault="001E2FDF"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7207100,00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38150000,00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5674500,00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5649300,00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5649300,00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5649300,00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5649300,00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5649300,00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города</w:t>
            </w:r>
          </w:p>
        </w:tc>
        <w:tc>
          <w:tcPr>
            <w:tcW w:w="1276" w:type="dxa"/>
            <w:vAlign w:val="center"/>
          </w:tcPr>
          <w:p w:rsidR="00334908" w:rsidRPr="001E2FDF" w:rsidRDefault="001E2FDF"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1019020434,59</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159250770,11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172729970,08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137407938,88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137407938,88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137407938,88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137407938,88</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137407938,88</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внебюджетные источники</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5.</w:t>
            </w:r>
          </w:p>
        </w:tc>
        <w:tc>
          <w:tcPr>
            <w:tcW w:w="1267"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Формирование современной городской среды (N показателя п. 15, 16, 17, 18, 19, 20)</w:t>
            </w:r>
          </w:p>
        </w:tc>
        <w:tc>
          <w:tcPr>
            <w:tcW w:w="1130"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городского хозяйства</w:t>
            </w:r>
          </w:p>
        </w:tc>
        <w:tc>
          <w:tcPr>
            <w:tcW w:w="1450" w:type="dxa"/>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Департамент городского хозяйства;</w:t>
            </w:r>
          </w:p>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МКУ "Служба муниципального заказа в ЖКХ"</w:t>
            </w: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Всего</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89459304,93</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89459304,93</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федеральный бюджет</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16340437,00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16340437,00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автономного округа</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69661863,00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69661863,00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города</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3457004,93</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3457004,93</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265"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267"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13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450" w:type="dxa"/>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внебюджетные источники</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4112" w:type="dxa"/>
            <w:gridSpan w:val="4"/>
            <w:vMerge w:val="restart"/>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Всего по программе:</w:t>
            </w: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Всего</w:t>
            </w:r>
          </w:p>
        </w:tc>
        <w:tc>
          <w:tcPr>
            <w:tcW w:w="1276" w:type="dxa"/>
            <w:vAlign w:val="center"/>
          </w:tcPr>
          <w:p w:rsidR="00334908" w:rsidRPr="001E2FDF" w:rsidRDefault="001E2FDF"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4901044279,80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811351128,16</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824375096,09</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652311931,11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653251531,11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653251531,11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653251531,11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653251531,11</w:t>
            </w:r>
          </w:p>
        </w:tc>
      </w:tr>
      <w:tr w:rsidR="00355EFC" w:rsidRPr="00334908" w:rsidTr="00355EFC">
        <w:tc>
          <w:tcPr>
            <w:tcW w:w="4112" w:type="dxa"/>
            <w:gridSpan w:val="4"/>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федеральный бюджет</w:t>
            </w:r>
          </w:p>
        </w:tc>
        <w:tc>
          <w:tcPr>
            <w:tcW w:w="1276" w:type="dxa"/>
            <w:vAlign w:val="center"/>
          </w:tcPr>
          <w:p w:rsidR="00334908" w:rsidRPr="001E2FDF" w:rsidRDefault="001E2FDF"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16340437,00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16340437,00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r w:rsidR="00355EFC" w:rsidRPr="00334908" w:rsidTr="00355EFC">
        <w:tc>
          <w:tcPr>
            <w:tcW w:w="4112" w:type="dxa"/>
            <w:gridSpan w:val="4"/>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автономного округа</w:t>
            </w:r>
          </w:p>
        </w:tc>
        <w:tc>
          <w:tcPr>
            <w:tcW w:w="1276" w:type="dxa"/>
            <w:vAlign w:val="center"/>
          </w:tcPr>
          <w:p w:rsidR="00334908" w:rsidRPr="001E2FDF" w:rsidRDefault="001E2FDF"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516618559,28</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198581275,94</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129492883,34</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36957200,00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37896800,00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37896800,00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37896800,00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37896800,00</w:t>
            </w:r>
          </w:p>
        </w:tc>
      </w:tr>
      <w:tr w:rsidR="00355EFC" w:rsidRPr="00334908" w:rsidTr="00355EFC">
        <w:tc>
          <w:tcPr>
            <w:tcW w:w="4112" w:type="dxa"/>
            <w:gridSpan w:val="4"/>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бюджет города</w:t>
            </w:r>
          </w:p>
        </w:tc>
        <w:tc>
          <w:tcPr>
            <w:tcW w:w="1276" w:type="dxa"/>
            <w:vAlign w:val="center"/>
          </w:tcPr>
          <w:p w:rsidR="00334908" w:rsidRPr="001E2FDF" w:rsidRDefault="001E2FDF"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4368085283,52</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612769852,22</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678541775,75</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615354731,11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615354731,11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615354731,11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615354731,11</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615354731,11</w:t>
            </w:r>
          </w:p>
        </w:tc>
      </w:tr>
      <w:tr w:rsidR="00355EFC" w:rsidRPr="00334908" w:rsidTr="00355EFC">
        <w:tc>
          <w:tcPr>
            <w:tcW w:w="4112" w:type="dxa"/>
            <w:gridSpan w:val="4"/>
            <w:vMerge/>
          </w:tcPr>
          <w:p w:rsidR="00334908" w:rsidRPr="00334908" w:rsidRDefault="00334908" w:rsidP="00334908">
            <w:pPr>
              <w:spacing w:after="0" w:line="240" w:lineRule="auto"/>
              <w:rPr>
                <w:rFonts w:ascii="Times New Roman" w:eastAsia="Calibri" w:hAnsi="Times New Roman" w:cs="Times New Roman"/>
                <w:sz w:val="16"/>
                <w:szCs w:val="16"/>
              </w:rPr>
            </w:pPr>
          </w:p>
        </w:tc>
        <w:tc>
          <w:tcPr>
            <w:tcW w:w="1701" w:type="dxa"/>
          </w:tcPr>
          <w:p w:rsidR="00334908" w:rsidRPr="00334908" w:rsidRDefault="00334908" w:rsidP="00334908">
            <w:pPr>
              <w:spacing w:after="0" w:line="240" w:lineRule="auto"/>
              <w:rPr>
                <w:rFonts w:ascii="Times New Roman" w:eastAsia="Calibri" w:hAnsi="Times New Roman" w:cs="Times New Roman"/>
                <w:sz w:val="16"/>
                <w:szCs w:val="16"/>
              </w:rPr>
            </w:pPr>
            <w:r w:rsidRPr="00334908">
              <w:rPr>
                <w:rFonts w:ascii="Times New Roman" w:eastAsia="Calibri" w:hAnsi="Times New Roman" w:cs="Times New Roman"/>
                <w:sz w:val="16"/>
                <w:szCs w:val="16"/>
              </w:rPr>
              <w:t>внебюджетные источники</w:t>
            </w:r>
          </w:p>
        </w:tc>
        <w:tc>
          <w:tcPr>
            <w:tcW w:w="1276" w:type="dxa"/>
            <w:vAlign w:val="center"/>
          </w:tcPr>
          <w:p w:rsidR="00334908" w:rsidRPr="001E2FDF" w:rsidRDefault="00334908" w:rsidP="00334908">
            <w:pPr>
              <w:spacing w:after="0" w:line="240" w:lineRule="auto"/>
              <w:rPr>
                <w:rFonts w:ascii="Times New Roman" w:eastAsia="Calibri" w:hAnsi="Times New Roman" w:cs="Times New Roman"/>
                <w:sz w:val="14"/>
                <w:szCs w:val="14"/>
              </w:rPr>
            </w:pPr>
            <w:r w:rsidRPr="001E2FDF">
              <w:rPr>
                <w:rFonts w:ascii="Times New Roman" w:eastAsia="Calibri" w:hAnsi="Times New Roman" w:cs="Times New Roman"/>
                <w:sz w:val="14"/>
                <w:szCs w:val="14"/>
              </w:rPr>
              <w:t>0,00</w:t>
            </w:r>
          </w:p>
        </w:tc>
        <w:tc>
          <w:tcPr>
            <w:tcW w:w="1275"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c>
          <w:tcPr>
            <w:tcW w:w="1134" w:type="dxa"/>
            <w:vAlign w:val="center"/>
          </w:tcPr>
          <w:p w:rsidR="00334908" w:rsidRPr="00334908" w:rsidRDefault="00334908" w:rsidP="00334908">
            <w:pPr>
              <w:spacing w:after="0" w:line="240" w:lineRule="auto"/>
              <w:rPr>
                <w:rFonts w:ascii="Times New Roman" w:eastAsia="Calibri" w:hAnsi="Times New Roman" w:cs="Times New Roman"/>
                <w:sz w:val="14"/>
                <w:szCs w:val="14"/>
              </w:rPr>
            </w:pPr>
            <w:r w:rsidRPr="00334908">
              <w:rPr>
                <w:rFonts w:ascii="Times New Roman" w:eastAsia="Calibri" w:hAnsi="Times New Roman" w:cs="Times New Roman"/>
                <w:sz w:val="14"/>
                <w:szCs w:val="14"/>
              </w:rPr>
              <w:t>0,00</w:t>
            </w:r>
          </w:p>
        </w:tc>
      </w:tr>
    </w:tbl>
    <w:p w:rsidR="00334908" w:rsidRDefault="00334908" w:rsidP="003E5171">
      <w:pPr>
        <w:spacing w:after="0" w:line="240" w:lineRule="auto"/>
        <w:jc w:val="center"/>
        <w:rPr>
          <w:rFonts w:ascii="Calibri" w:eastAsia="Times New Roman" w:hAnsi="Calibri" w:cs="Calibri"/>
          <w:sz w:val="28"/>
          <w:szCs w:val="28"/>
          <w:lang w:eastAsia="ru-RU"/>
        </w:rPr>
      </w:pPr>
    </w:p>
    <w:p w:rsidR="00334908" w:rsidRPr="003E5171" w:rsidRDefault="00334908" w:rsidP="003E5171">
      <w:pPr>
        <w:spacing w:after="0" w:line="240" w:lineRule="auto"/>
        <w:jc w:val="center"/>
        <w:rPr>
          <w:rFonts w:ascii="Calibri" w:eastAsia="Times New Roman" w:hAnsi="Calibri" w:cs="Calibri"/>
          <w:sz w:val="28"/>
          <w:szCs w:val="28"/>
          <w:lang w:eastAsia="ru-RU"/>
        </w:rPr>
      </w:pPr>
    </w:p>
    <w:p w:rsidR="003E5171" w:rsidRPr="003E5171" w:rsidRDefault="003E5171" w:rsidP="003E5171">
      <w:pPr>
        <w:spacing w:after="0" w:line="240" w:lineRule="auto"/>
        <w:rPr>
          <w:rFonts w:ascii="Times New Roman" w:eastAsia="Times New Roman" w:hAnsi="Times New Roman" w:cs="Times New Roman"/>
          <w:sz w:val="24"/>
          <w:szCs w:val="24"/>
          <w:lang w:eastAsia="ru-RU"/>
        </w:rPr>
      </w:pPr>
    </w:p>
    <w:p w:rsidR="003E5171" w:rsidRPr="003E5171" w:rsidRDefault="003E5171" w:rsidP="003E5171">
      <w:pPr>
        <w:spacing w:after="0" w:line="240" w:lineRule="auto"/>
        <w:rPr>
          <w:rFonts w:ascii="Times New Roman" w:eastAsia="Calibri" w:hAnsi="Times New Roman" w:cs="Times New Roman"/>
          <w:sz w:val="20"/>
          <w:szCs w:val="20"/>
        </w:rPr>
      </w:pPr>
    </w:p>
    <w:p w:rsidR="003E5171" w:rsidRPr="003E5171" w:rsidRDefault="003E5171" w:rsidP="003E5171">
      <w:pPr>
        <w:spacing w:after="0" w:line="240" w:lineRule="auto"/>
        <w:rPr>
          <w:rFonts w:ascii="Times New Roman" w:eastAsia="Calibri" w:hAnsi="Times New Roman" w:cs="Times New Roman"/>
          <w:sz w:val="20"/>
          <w:szCs w:val="20"/>
        </w:rPr>
      </w:pPr>
    </w:p>
    <w:p w:rsidR="003E5171" w:rsidRPr="003E5171" w:rsidRDefault="003E5171" w:rsidP="003E5171">
      <w:pPr>
        <w:spacing w:after="0" w:line="240" w:lineRule="auto"/>
        <w:rPr>
          <w:rFonts w:ascii="Times New Roman" w:eastAsia="Calibri" w:hAnsi="Times New Roman" w:cs="Times New Roman"/>
          <w:sz w:val="20"/>
          <w:szCs w:val="20"/>
        </w:rPr>
      </w:pPr>
    </w:p>
    <w:p w:rsidR="003E5171" w:rsidRPr="003E5171" w:rsidRDefault="003E5171" w:rsidP="003E5171">
      <w:pPr>
        <w:spacing w:after="0" w:line="240" w:lineRule="auto"/>
        <w:rPr>
          <w:rFonts w:ascii="Times New Roman" w:eastAsia="Calibri" w:hAnsi="Times New Roman" w:cs="Times New Roman"/>
          <w:sz w:val="20"/>
          <w:szCs w:val="20"/>
        </w:rPr>
      </w:pPr>
    </w:p>
    <w:p w:rsidR="003E5171" w:rsidRPr="003E5171" w:rsidRDefault="003E5171" w:rsidP="003E5171">
      <w:pPr>
        <w:spacing w:after="0" w:line="240" w:lineRule="auto"/>
        <w:rPr>
          <w:rFonts w:ascii="Times New Roman" w:eastAsia="Calibri" w:hAnsi="Times New Roman" w:cs="Times New Roman"/>
          <w:sz w:val="20"/>
          <w:szCs w:val="20"/>
        </w:rPr>
      </w:pPr>
    </w:p>
    <w:p w:rsidR="003E5171" w:rsidRDefault="003E5171"/>
    <w:sectPr w:rsidR="003E5171" w:rsidSect="001E2FDF">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F5" w:rsidRDefault="000761F5" w:rsidP="000B576D">
      <w:pPr>
        <w:spacing w:after="0" w:line="240" w:lineRule="auto"/>
      </w:pPr>
      <w:r>
        <w:separator/>
      </w:r>
    </w:p>
  </w:endnote>
  <w:endnote w:type="continuationSeparator" w:id="0">
    <w:p w:rsidR="000761F5" w:rsidRDefault="000761F5" w:rsidP="000B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F5" w:rsidRDefault="000761F5" w:rsidP="000B576D">
      <w:pPr>
        <w:spacing w:after="0" w:line="240" w:lineRule="auto"/>
      </w:pPr>
      <w:r>
        <w:separator/>
      </w:r>
    </w:p>
  </w:footnote>
  <w:footnote w:type="continuationSeparator" w:id="0">
    <w:p w:rsidR="000761F5" w:rsidRDefault="000761F5" w:rsidP="000B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84E"/>
    <w:multiLevelType w:val="multilevel"/>
    <w:tmpl w:val="E282424A"/>
    <w:lvl w:ilvl="0">
      <w:start w:val="2"/>
      <w:numFmt w:val="decimal"/>
      <w:lvlText w:val="%1."/>
      <w:lvlJc w:val="left"/>
      <w:pPr>
        <w:ind w:left="450" w:hanging="450"/>
      </w:pPr>
      <w:rPr>
        <w:rFonts w:hint="default"/>
      </w:rPr>
    </w:lvl>
    <w:lvl w:ilvl="1">
      <w:start w:val="6"/>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nsid w:val="096D48F3"/>
    <w:multiLevelType w:val="hybridMultilevel"/>
    <w:tmpl w:val="CB562906"/>
    <w:lvl w:ilvl="0" w:tplc="E3B09AC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D871764"/>
    <w:multiLevelType w:val="multilevel"/>
    <w:tmpl w:val="81807B18"/>
    <w:lvl w:ilvl="0">
      <w:start w:val="1"/>
      <w:numFmt w:val="decimal"/>
      <w:lvlText w:val="%1."/>
      <w:lvlJc w:val="left"/>
      <w:pPr>
        <w:ind w:left="899" w:hanging="360"/>
      </w:pPr>
      <w:rPr>
        <w:rFonts w:hint="default"/>
      </w:rPr>
    </w:lvl>
    <w:lvl w:ilvl="1">
      <w:start w:val="1"/>
      <w:numFmt w:val="decimal"/>
      <w:isLgl/>
      <w:lvlText w:val="%2."/>
      <w:lvlJc w:val="left"/>
      <w:pPr>
        <w:ind w:left="1259" w:hanging="720"/>
      </w:pPr>
      <w:rPr>
        <w:rFonts w:ascii="Times New Roman" w:eastAsia="Calibri" w:hAnsi="Times New Roman" w:cs="Times New Roman"/>
        <w:color w:val="auto"/>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
    <w:nsid w:val="20F7660D"/>
    <w:multiLevelType w:val="hybridMultilevel"/>
    <w:tmpl w:val="84F2A3FA"/>
    <w:lvl w:ilvl="0" w:tplc="BA9EF402">
      <w:start w:val="2"/>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27BC200E"/>
    <w:multiLevelType w:val="hybridMultilevel"/>
    <w:tmpl w:val="87A8D7EE"/>
    <w:lvl w:ilvl="0" w:tplc="D8409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594D55"/>
    <w:multiLevelType w:val="hybridMultilevel"/>
    <w:tmpl w:val="CB8C4374"/>
    <w:lvl w:ilvl="0" w:tplc="5D68C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7142F4"/>
    <w:multiLevelType w:val="hybridMultilevel"/>
    <w:tmpl w:val="C3DEC052"/>
    <w:lvl w:ilvl="0" w:tplc="33769B0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8F6DAA"/>
    <w:multiLevelType w:val="hybridMultilevel"/>
    <w:tmpl w:val="7DFEE5DA"/>
    <w:lvl w:ilvl="0" w:tplc="786ADCB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1A7954"/>
    <w:multiLevelType w:val="hybridMultilevel"/>
    <w:tmpl w:val="8E0259EA"/>
    <w:lvl w:ilvl="0" w:tplc="EA963F04">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F60B4B"/>
    <w:multiLevelType w:val="hybridMultilevel"/>
    <w:tmpl w:val="E24401EC"/>
    <w:lvl w:ilvl="0" w:tplc="8D9E7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181281"/>
    <w:multiLevelType w:val="multilevel"/>
    <w:tmpl w:val="0444154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F045FE0"/>
    <w:multiLevelType w:val="multilevel"/>
    <w:tmpl w:val="E0C8DDA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85B4BA6"/>
    <w:multiLevelType w:val="hybridMultilevel"/>
    <w:tmpl w:val="999A3578"/>
    <w:lvl w:ilvl="0" w:tplc="1A4E89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C2754DB"/>
    <w:multiLevelType w:val="hybridMultilevel"/>
    <w:tmpl w:val="C23E4FD6"/>
    <w:lvl w:ilvl="0" w:tplc="59B031E0">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62B1267"/>
    <w:multiLevelType w:val="multilevel"/>
    <w:tmpl w:val="7C0EA968"/>
    <w:lvl w:ilvl="0">
      <w:start w:val="1"/>
      <w:numFmt w:val="decimal"/>
      <w:lvlText w:val="%1."/>
      <w:lvlJc w:val="left"/>
      <w:pPr>
        <w:ind w:left="450" w:hanging="450"/>
      </w:pPr>
      <w:rPr>
        <w:rFonts w:hint="default"/>
      </w:rPr>
    </w:lvl>
    <w:lvl w:ilvl="1">
      <w:start w:val="4"/>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5">
    <w:nsid w:val="78CC08F8"/>
    <w:multiLevelType w:val="multilevel"/>
    <w:tmpl w:val="6D164C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E140B55"/>
    <w:multiLevelType w:val="multilevel"/>
    <w:tmpl w:val="C03670AA"/>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8"/>
  </w:num>
  <w:num w:numId="3">
    <w:abstractNumId w:val="3"/>
  </w:num>
  <w:num w:numId="4">
    <w:abstractNumId w:val="14"/>
  </w:num>
  <w:num w:numId="5">
    <w:abstractNumId w:val="6"/>
  </w:num>
  <w:num w:numId="6">
    <w:abstractNumId w:val="1"/>
  </w:num>
  <w:num w:numId="7">
    <w:abstractNumId w:val="13"/>
  </w:num>
  <w:num w:numId="8">
    <w:abstractNumId w:val="5"/>
  </w:num>
  <w:num w:numId="9">
    <w:abstractNumId w:val="7"/>
  </w:num>
  <w:num w:numId="10">
    <w:abstractNumId w:val="12"/>
  </w:num>
  <w:num w:numId="11">
    <w:abstractNumId w:val="15"/>
  </w:num>
  <w:num w:numId="12">
    <w:abstractNumId w:val="9"/>
  </w:num>
  <w:num w:numId="13">
    <w:abstractNumId w:val="4"/>
  </w:num>
  <w:num w:numId="14">
    <w:abstractNumId w:val="0"/>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D3"/>
    <w:rsid w:val="00053213"/>
    <w:rsid w:val="00071E0E"/>
    <w:rsid w:val="000761F5"/>
    <w:rsid w:val="000B576D"/>
    <w:rsid w:val="001128D3"/>
    <w:rsid w:val="00123456"/>
    <w:rsid w:val="00123771"/>
    <w:rsid w:val="00194AF2"/>
    <w:rsid w:val="001E2FDF"/>
    <w:rsid w:val="001F02A7"/>
    <w:rsid w:val="002E2121"/>
    <w:rsid w:val="00334908"/>
    <w:rsid w:val="00355EFC"/>
    <w:rsid w:val="00394187"/>
    <w:rsid w:val="003B525C"/>
    <w:rsid w:val="003C29EA"/>
    <w:rsid w:val="003E5171"/>
    <w:rsid w:val="0043279C"/>
    <w:rsid w:val="00556CDD"/>
    <w:rsid w:val="00597F07"/>
    <w:rsid w:val="006132A4"/>
    <w:rsid w:val="0066600A"/>
    <w:rsid w:val="007C1779"/>
    <w:rsid w:val="007C4E30"/>
    <w:rsid w:val="008A4C1D"/>
    <w:rsid w:val="008B330B"/>
    <w:rsid w:val="0097009C"/>
    <w:rsid w:val="00975208"/>
    <w:rsid w:val="00990AFD"/>
    <w:rsid w:val="00AA4EC5"/>
    <w:rsid w:val="00AD2E3C"/>
    <w:rsid w:val="00B80B9E"/>
    <w:rsid w:val="00BE1C10"/>
    <w:rsid w:val="00CC1829"/>
    <w:rsid w:val="00CF1E4C"/>
    <w:rsid w:val="00D927E0"/>
    <w:rsid w:val="00DA3CE2"/>
    <w:rsid w:val="00DC037A"/>
    <w:rsid w:val="00DC1CF9"/>
    <w:rsid w:val="00DC436F"/>
    <w:rsid w:val="00DD69C3"/>
    <w:rsid w:val="00E66B83"/>
    <w:rsid w:val="00EB2499"/>
    <w:rsid w:val="00FD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C29EA"/>
    <w:pPr>
      <w:ind w:left="720"/>
      <w:contextualSpacing/>
    </w:pPr>
  </w:style>
  <w:style w:type="paragraph" w:styleId="a4">
    <w:name w:val="header"/>
    <w:basedOn w:val="a"/>
    <w:link w:val="a5"/>
    <w:uiPriority w:val="99"/>
    <w:unhideWhenUsed/>
    <w:rsid w:val="000B57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576D"/>
  </w:style>
  <w:style w:type="paragraph" w:styleId="a6">
    <w:name w:val="footer"/>
    <w:basedOn w:val="a"/>
    <w:link w:val="a7"/>
    <w:uiPriority w:val="99"/>
    <w:unhideWhenUsed/>
    <w:rsid w:val="000B57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576D"/>
  </w:style>
  <w:style w:type="paragraph" w:styleId="a8">
    <w:name w:val="Balloon Text"/>
    <w:basedOn w:val="a"/>
    <w:link w:val="a9"/>
    <w:uiPriority w:val="99"/>
    <w:semiHidden/>
    <w:unhideWhenUsed/>
    <w:rsid w:val="004327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2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C29EA"/>
    <w:pPr>
      <w:ind w:left="720"/>
      <w:contextualSpacing/>
    </w:pPr>
  </w:style>
  <w:style w:type="paragraph" w:styleId="a4">
    <w:name w:val="header"/>
    <w:basedOn w:val="a"/>
    <w:link w:val="a5"/>
    <w:uiPriority w:val="99"/>
    <w:unhideWhenUsed/>
    <w:rsid w:val="000B57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576D"/>
  </w:style>
  <w:style w:type="paragraph" w:styleId="a6">
    <w:name w:val="footer"/>
    <w:basedOn w:val="a"/>
    <w:link w:val="a7"/>
    <w:uiPriority w:val="99"/>
    <w:unhideWhenUsed/>
    <w:rsid w:val="000B57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576D"/>
  </w:style>
  <w:style w:type="paragraph" w:styleId="a8">
    <w:name w:val="Balloon Text"/>
    <w:basedOn w:val="a"/>
    <w:link w:val="a9"/>
    <w:uiPriority w:val="99"/>
    <w:semiHidden/>
    <w:unhideWhenUsed/>
    <w:rsid w:val="004327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2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5B9C0588C94E0A983FB7AF9DE1512EAF451CD5259CDBC22BD044445534DF905YFx7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18</Pages>
  <Words>5092</Words>
  <Characters>29027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Проняева Людмила Андреевна</dc:creator>
  <cp:keywords/>
  <dc:description/>
  <cp:lastModifiedBy>Проняева Людмила Андреевна</cp:lastModifiedBy>
  <cp:revision>7</cp:revision>
  <cp:lastPrinted>2017-12-13T12:21:00Z</cp:lastPrinted>
  <dcterms:created xsi:type="dcterms:W3CDTF">2017-12-11T04:43:00Z</dcterms:created>
  <dcterms:modified xsi:type="dcterms:W3CDTF">2017-12-13T12:34:00Z</dcterms:modified>
</cp:coreProperties>
</file>