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CD19BF">
        <w:rPr>
          <w:rFonts w:ascii="Times New Roman" w:hAnsi="Times New Roman" w:cs="Times New Roman"/>
          <w:b/>
          <w:sz w:val="28"/>
          <w:szCs w:val="28"/>
        </w:rPr>
        <w:t xml:space="preserve">проекту </w:t>
      </w:r>
      <w:r w:rsidR="00465BA6" w:rsidRPr="002B233F">
        <w:rPr>
          <w:rFonts w:ascii="Times New Roman" w:hAnsi="Times New Roman" w:cs="Times New Roman"/>
          <w:b/>
          <w:sz w:val="28"/>
          <w:szCs w:val="28"/>
        </w:rPr>
        <w:t>постановлени</w:t>
      </w:r>
      <w:r w:rsidR="00CD19BF">
        <w:rPr>
          <w:rFonts w:ascii="Times New Roman" w:hAnsi="Times New Roman" w:cs="Times New Roman"/>
          <w:b/>
          <w:sz w:val="28"/>
          <w:szCs w:val="28"/>
        </w:rPr>
        <w:t>я</w:t>
      </w:r>
      <w:r w:rsidR="00465BA6" w:rsidRPr="002B233F">
        <w:rPr>
          <w:rFonts w:ascii="Times New Roman" w:hAnsi="Times New Roman" w:cs="Times New Roman"/>
          <w:b/>
          <w:sz w:val="28"/>
          <w:szCs w:val="28"/>
        </w:rPr>
        <w:t xml:space="preserve"> Администрации</w:t>
      </w:r>
      <w:r w:rsidRPr="002B233F">
        <w:rPr>
          <w:rFonts w:ascii="Times New Roman" w:hAnsi="Times New Roman" w:cs="Times New Roman"/>
          <w:b/>
          <w:sz w:val="28"/>
          <w:szCs w:val="28"/>
        </w:rPr>
        <w:t xml:space="preserve"> города Ханты-Мансийска</w:t>
      </w:r>
    </w:p>
    <w:p w:rsidR="00616FC1" w:rsidRPr="002B233F"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 xml:space="preserve">«Об </w:t>
      </w:r>
      <w:r w:rsidR="00826840" w:rsidRPr="002B233F">
        <w:rPr>
          <w:rFonts w:ascii="Times New Roman" w:hAnsi="Times New Roman" w:cs="Times New Roman"/>
          <w:sz w:val="28"/>
          <w:szCs w:val="28"/>
        </w:rPr>
        <w:t>о</w:t>
      </w:r>
      <w:r w:rsidRPr="002B233F">
        <w:rPr>
          <w:rFonts w:ascii="Times New Roman" w:hAnsi="Times New Roman" w:cs="Times New Roman"/>
          <w:sz w:val="28"/>
          <w:szCs w:val="28"/>
        </w:rPr>
        <w:t>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т</w:t>
      </w:r>
      <w:r w:rsidR="00826840" w:rsidRPr="002B233F">
        <w:rPr>
          <w:rFonts w:ascii="Times New Roman" w:hAnsi="Times New Roman" w:cs="Times New Roman"/>
          <w:sz w:val="28"/>
          <w:szCs w:val="28"/>
        </w:rPr>
        <w:t>е</w:t>
      </w:r>
      <w:r w:rsidRPr="002B233F">
        <w:rPr>
          <w:rFonts w:ascii="Times New Roman" w:hAnsi="Times New Roman" w:cs="Times New Roman"/>
          <w:sz w:val="28"/>
          <w:szCs w:val="28"/>
        </w:rPr>
        <w:t xml:space="preserve"> об исполнении бюджета города</w:t>
      </w:r>
      <w:r w:rsidRPr="002B233F">
        <w:rPr>
          <w:rFonts w:ascii="Times New Roman" w:hAnsi="Times New Roman" w:cs="Times New Roman"/>
          <w:sz w:val="28"/>
          <w:szCs w:val="28"/>
        </w:rPr>
        <w:br/>
        <w:t>Ханты-Мансийска</w:t>
      </w:r>
      <w:r w:rsidR="00CA2B9A" w:rsidRPr="002B233F">
        <w:rPr>
          <w:rFonts w:ascii="Times New Roman" w:hAnsi="Times New Roman" w:cs="Times New Roman"/>
          <w:sz w:val="28"/>
          <w:szCs w:val="28"/>
        </w:rPr>
        <w:t xml:space="preserve"> за </w:t>
      </w:r>
      <w:r w:rsidR="00DA1D2F">
        <w:rPr>
          <w:rFonts w:ascii="Times New Roman" w:hAnsi="Times New Roman" w:cs="Times New Roman"/>
          <w:sz w:val="28"/>
          <w:szCs w:val="28"/>
        </w:rPr>
        <w:t>полугодие</w:t>
      </w:r>
      <w:r w:rsidRPr="002B233F">
        <w:rPr>
          <w:rFonts w:ascii="Times New Roman" w:hAnsi="Times New Roman" w:cs="Times New Roman"/>
          <w:sz w:val="28"/>
          <w:szCs w:val="28"/>
        </w:rPr>
        <w:t xml:space="preserve"> 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w:t>
      </w:r>
    </w:p>
    <w:p w:rsidR="00AF7CE6" w:rsidRPr="002B233F" w:rsidRDefault="00AF7CE6" w:rsidP="00192E59">
      <w:pPr>
        <w:spacing w:after="0"/>
        <w:ind w:firstLine="709"/>
        <w:jc w:val="both"/>
        <w:rPr>
          <w:rFonts w:ascii="Times New Roman" w:hAnsi="Times New Roman" w:cs="Times New Roman"/>
          <w:b/>
          <w:sz w:val="28"/>
          <w:szCs w:val="28"/>
        </w:rPr>
      </w:pPr>
    </w:p>
    <w:p w:rsidR="007025BC"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за </w:t>
      </w:r>
      <w:r w:rsidR="00DA1D2F">
        <w:rPr>
          <w:rFonts w:ascii="Times New Roman" w:hAnsi="Times New Roman" w:cs="Times New Roman"/>
          <w:sz w:val="28"/>
          <w:szCs w:val="28"/>
        </w:rPr>
        <w:t>полугодие</w:t>
      </w:r>
      <w:r w:rsidR="00943557" w:rsidRPr="002B233F">
        <w:rPr>
          <w:rFonts w:ascii="Times New Roman" w:hAnsi="Times New Roman" w:cs="Times New Roman"/>
          <w:sz w:val="28"/>
          <w:szCs w:val="28"/>
        </w:rPr>
        <w:t xml:space="preserve"> </w:t>
      </w:r>
      <w:r w:rsidRPr="002B233F">
        <w:rPr>
          <w:rFonts w:ascii="Times New Roman" w:hAnsi="Times New Roman" w:cs="Times New Roman"/>
          <w:sz w:val="28"/>
          <w:szCs w:val="28"/>
        </w:rPr>
        <w:t>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 подготовлен в </w:t>
      </w:r>
      <w:r w:rsidR="00633748" w:rsidRPr="002B233F">
        <w:rPr>
          <w:rFonts w:ascii="Times New Roman" w:hAnsi="Times New Roman" w:cs="Times New Roman"/>
          <w:sz w:val="28"/>
          <w:szCs w:val="28"/>
        </w:rPr>
        <w:t xml:space="preserve">соответствии со статьями 264.1 </w:t>
      </w:r>
      <w:r w:rsidRPr="002B233F">
        <w:rPr>
          <w:rFonts w:ascii="Times New Roman" w:hAnsi="Times New Roman" w:cs="Times New Roman"/>
          <w:sz w:val="28"/>
          <w:szCs w:val="28"/>
        </w:rPr>
        <w:t>и 264.2 Бюджетного кодекса Российской Федерации, решени</w:t>
      </w:r>
      <w:r w:rsidR="00633748" w:rsidRPr="002B233F">
        <w:rPr>
          <w:rFonts w:ascii="Times New Roman" w:hAnsi="Times New Roman" w:cs="Times New Roman"/>
          <w:sz w:val="28"/>
          <w:szCs w:val="28"/>
        </w:rPr>
        <w:t>ем Думы города Ханты-Мансийска</w:t>
      </w:r>
      <w:r w:rsidR="00633748" w:rsidRPr="002B233F">
        <w:rPr>
          <w:rFonts w:ascii="Times New Roman" w:hAnsi="Times New Roman" w:cs="Times New Roman"/>
          <w:sz w:val="28"/>
          <w:szCs w:val="28"/>
        </w:rPr>
        <w:br/>
      </w:r>
      <w:r w:rsidRPr="002B233F">
        <w:rPr>
          <w:rFonts w:ascii="Times New Roman" w:eastAsia="Times New Roman" w:hAnsi="Times New Roman" w:cs="Times New Roman"/>
          <w:sz w:val="28"/>
          <w:szCs w:val="28"/>
        </w:rPr>
        <w:t xml:space="preserve">№ </w:t>
      </w:r>
      <w:r w:rsidR="007025BC" w:rsidRPr="002B233F">
        <w:rPr>
          <w:rFonts w:ascii="Times New Roman" w:eastAsia="Times New Roman" w:hAnsi="Times New Roman" w:cs="Times New Roman"/>
          <w:sz w:val="28"/>
          <w:szCs w:val="28"/>
        </w:rPr>
        <w:t>141</w:t>
      </w:r>
      <w:r w:rsidRPr="002B233F">
        <w:rPr>
          <w:rFonts w:ascii="Times New Roman" w:eastAsia="Times New Roman" w:hAnsi="Times New Roman" w:cs="Times New Roman"/>
          <w:sz w:val="28"/>
          <w:szCs w:val="28"/>
        </w:rPr>
        <w:t>-</w:t>
      </w:r>
      <w:r w:rsidRPr="002B233F">
        <w:rPr>
          <w:rFonts w:ascii="Times New Roman" w:eastAsia="Times New Roman" w:hAnsi="Times New Roman" w:cs="Times New Roman"/>
          <w:sz w:val="28"/>
          <w:szCs w:val="28"/>
          <w:lang w:val="en-US"/>
        </w:rPr>
        <w:t>V</w:t>
      </w:r>
      <w:r w:rsidR="007025BC" w:rsidRPr="002B233F">
        <w:rPr>
          <w:rFonts w:ascii="Times New Roman" w:eastAsia="Times New Roman" w:hAnsi="Times New Roman" w:cs="Times New Roman"/>
          <w:sz w:val="28"/>
          <w:szCs w:val="28"/>
          <w:lang w:val="en-US"/>
        </w:rPr>
        <w:t>I</w:t>
      </w:r>
      <w:r w:rsidR="008E3D9C" w:rsidRPr="002B233F">
        <w:rPr>
          <w:rFonts w:ascii="Times New Roman" w:eastAsia="Times New Roman" w:hAnsi="Times New Roman" w:cs="Times New Roman"/>
          <w:sz w:val="28"/>
          <w:szCs w:val="28"/>
        </w:rPr>
        <w:t xml:space="preserve"> РД </w:t>
      </w:r>
      <w:r w:rsidRPr="002B233F">
        <w:rPr>
          <w:rFonts w:ascii="Times New Roman" w:eastAsia="Times New Roman" w:hAnsi="Times New Roman" w:cs="Times New Roman"/>
          <w:sz w:val="28"/>
          <w:szCs w:val="28"/>
        </w:rPr>
        <w:t xml:space="preserve">от </w:t>
      </w:r>
      <w:r w:rsidR="007025BC" w:rsidRPr="002B233F">
        <w:rPr>
          <w:rFonts w:ascii="Times New Roman" w:eastAsia="Times New Roman" w:hAnsi="Times New Roman" w:cs="Times New Roman"/>
          <w:sz w:val="28"/>
          <w:szCs w:val="28"/>
        </w:rPr>
        <w:t xml:space="preserve">30.06.2017 </w:t>
      </w:r>
      <w:r w:rsidR="008E3D9C" w:rsidRPr="002B233F">
        <w:rPr>
          <w:rFonts w:ascii="Times New Roman" w:hAnsi="Times New Roman" w:cs="Times New Roman"/>
          <w:sz w:val="28"/>
          <w:szCs w:val="28"/>
        </w:rPr>
        <w:t xml:space="preserve">«О Положении об </w:t>
      </w:r>
      <w:r w:rsidRPr="002B233F">
        <w:rPr>
          <w:rFonts w:ascii="Times New Roman" w:hAnsi="Times New Roman" w:cs="Times New Roman"/>
          <w:sz w:val="28"/>
          <w:szCs w:val="28"/>
        </w:rPr>
        <w:t>отдельных вопросах организации и осуществлен</w:t>
      </w:r>
      <w:r w:rsidR="008E3D9C" w:rsidRPr="002B233F">
        <w:rPr>
          <w:rFonts w:ascii="Times New Roman" w:hAnsi="Times New Roman" w:cs="Times New Roman"/>
          <w:sz w:val="28"/>
          <w:szCs w:val="28"/>
        </w:rPr>
        <w:t>ия бюджетного процесса в городе</w:t>
      </w:r>
      <w:r w:rsidR="008E3D9C" w:rsidRPr="002B233F">
        <w:rPr>
          <w:rFonts w:ascii="Times New Roman" w:hAnsi="Times New Roman" w:cs="Times New Roman"/>
          <w:sz w:val="28"/>
          <w:szCs w:val="28"/>
        </w:rPr>
        <w:br/>
      </w:r>
      <w:r w:rsidRPr="002B233F">
        <w:rPr>
          <w:rFonts w:ascii="Times New Roman" w:hAnsi="Times New Roman" w:cs="Times New Roman"/>
          <w:sz w:val="28"/>
          <w:szCs w:val="28"/>
        </w:rPr>
        <w:t>Ханты-Мансийске»</w:t>
      </w:r>
      <w:r w:rsidR="007025BC" w:rsidRPr="002B233F">
        <w:rPr>
          <w:rFonts w:ascii="Times New Roman" w:hAnsi="Times New Roman" w:cs="Times New Roman"/>
          <w:sz w:val="28"/>
          <w:szCs w:val="28"/>
        </w:rPr>
        <w:t>.</w:t>
      </w:r>
    </w:p>
    <w:p w:rsidR="00D74A3B"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города </w:t>
      </w:r>
      <w:r w:rsidR="001F0A57" w:rsidRPr="002B233F">
        <w:rPr>
          <w:rFonts w:ascii="Times New Roman" w:hAnsi="Times New Roman" w:cs="Times New Roman"/>
          <w:sz w:val="28"/>
          <w:szCs w:val="28"/>
        </w:rPr>
        <w:t xml:space="preserve">за </w:t>
      </w:r>
      <w:r w:rsidR="008B4CFB">
        <w:rPr>
          <w:rFonts w:ascii="Times New Roman" w:hAnsi="Times New Roman" w:cs="Times New Roman"/>
          <w:sz w:val="28"/>
          <w:szCs w:val="28"/>
        </w:rPr>
        <w:t>полугодие</w:t>
      </w:r>
      <w:r w:rsidR="00501DA4" w:rsidRPr="002B233F">
        <w:rPr>
          <w:rFonts w:ascii="Times New Roman" w:hAnsi="Times New Roman" w:cs="Times New Roman"/>
          <w:sz w:val="28"/>
          <w:szCs w:val="28"/>
        </w:rPr>
        <w:t xml:space="preserve"> 202</w:t>
      </w:r>
      <w:r w:rsidR="003B670E" w:rsidRPr="002B233F">
        <w:rPr>
          <w:rFonts w:ascii="Times New Roman" w:hAnsi="Times New Roman" w:cs="Times New Roman"/>
          <w:sz w:val="28"/>
          <w:szCs w:val="28"/>
        </w:rPr>
        <w:t>4</w:t>
      </w:r>
      <w:r w:rsidR="00A21010" w:rsidRPr="002B233F">
        <w:rPr>
          <w:rFonts w:ascii="Times New Roman" w:hAnsi="Times New Roman" w:cs="Times New Roman"/>
          <w:sz w:val="28"/>
          <w:szCs w:val="28"/>
        </w:rPr>
        <w:t xml:space="preserve"> года </w:t>
      </w:r>
      <w:r w:rsidRPr="002B233F">
        <w:rPr>
          <w:rFonts w:ascii="Times New Roman" w:hAnsi="Times New Roman" w:cs="Times New Roman"/>
          <w:sz w:val="28"/>
          <w:szCs w:val="28"/>
        </w:rPr>
        <w:t>соста</w:t>
      </w:r>
      <w:r w:rsidR="00F606AA" w:rsidRPr="002B233F">
        <w:rPr>
          <w:rFonts w:ascii="Times New Roman" w:hAnsi="Times New Roman" w:cs="Times New Roman"/>
          <w:sz w:val="28"/>
          <w:szCs w:val="28"/>
        </w:rPr>
        <w:t xml:space="preserve">влен в соответствии с приказом </w:t>
      </w:r>
      <w:r w:rsidRPr="002B233F">
        <w:rPr>
          <w:rFonts w:ascii="Times New Roman" w:hAnsi="Times New Roman" w:cs="Times New Roman"/>
          <w:sz w:val="28"/>
          <w:szCs w:val="28"/>
        </w:rPr>
        <w:t>Министерства Финансов Российской Федерации</w:t>
      </w:r>
      <w:r w:rsidR="008E3D9C" w:rsidRPr="002B233F">
        <w:rPr>
          <w:rFonts w:ascii="Times New Roman" w:hAnsi="Times New Roman" w:cs="Times New Roman"/>
          <w:sz w:val="28"/>
          <w:szCs w:val="28"/>
        </w:rPr>
        <w:t xml:space="preserve"> от </w:t>
      </w:r>
      <w:r w:rsidRPr="002B233F">
        <w:rPr>
          <w:rFonts w:ascii="Times New Roman" w:hAnsi="Times New Roman" w:cs="Times New Roman"/>
          <w:sz w:val="28"/>
          <w:szCs w:val="28"/>
        </w:rPr>
        <w:t>2</w:t>
      </w:r>
      <w:r w:rsidR="00762834" w:rsidRPr="002B233F">
        <w:rPr>
          <w:rFonts w:ascii="Times New Roman" w:hAnsi="Times New Roman" w:cs="Times New Roman"/>
          <w:sz w:val="28"/>
          <w:szCs w:val="28"/>
        </w:rPr>
        <w:t>8</w:t>
      </w:r>
      <w:r w:rsidR="008E3D9C" w:rsidRPr="002B233F">
        <w:rPr>
          <w:rFonts w:ascii="Times New Roman" w:hAnsi="Times New Roman" w:cs="Times New Roman"/>
          <w:sz w:val="28"/>
          <w:szCs w:val="28"/>
        </w:rPr>
        <w:t>.12.</w:t>
      </w:r>
      <w:r w:rsidRPr="002B233F">
        <w:rPr>
          <w:rFonts w:ascii="Times New Roman" w:hAnsi="Times New Roman" w:cs="Times New Roman"/>
          <w:sz w:val="28"/>
          <w:szCs w:val="28"/>
        </w:rPr>
        <w:t xml:space="preserve">2010 </w:t>
      </w:r>
      <w:r w:rsidR="008E3D9C" w:rsidRPr="002B233F">
        <w:rPr>
          <w:rFonts w:ascii="Times New Roman" w:hAnsi="Times New Roman" w:cs="Times New Roman"/>
          <w:sz w:val="28"/>
          <w:szCs w:val="28"/>
        </w:rPr>
        <w:t>№</w:t>
      </w:r>
      <w:r w:rsidRPr="002B233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2B233F" w:rsidRDefault="00D74A3B" w:rsidP="00192E59">
      <w:pPr>
        <w:pStyle w:val="ConsPlusNormal"/>
        <w:spacing w:line="276" w:lineRule="auto"/>
        <w:ind w:firstLine="709"/>
        <w:jc w:val="both"/>
        <w:rPr>
          <w:rFonts w:ascii="Times New Roman" w:hAnsi="Times New Roman" w:cs="Times New Roman"/>
          <w:sz w:val="28"/>
          <w:szCs w:val="28"/>
        </w:rPr>
      </w:pPr>
      <w:r w:rsidRPr="002B233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600304"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2B233F">
        <w:rPr>
          <w:rFonts w:ascii="Times New Roman" w:hAnsi="Times New Roman" w:cs="Times New Roman"/>
          <w:sz w:val="28"/>
          <w:szCs w:val="28"/>
        </w:rPr>
        <w:t>В представленном отч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 xml:space="preserve">те уточнённые бюджетные назначения отличаются от плана, </w:t>
      </w:r>
      <w:r w:rsidR="00B55D53" w:rsidRPr="002B233F">
        <w:rPr>
          <w:rFonts w:ascii="Times New Roman" w:hAnsi="Times New Roman" w:cs="Times New Roman"/>
          <w:sz w:val="28"/>
          <w:szCs w:val="28"/>
        </w:rPr>
        <w:t>утвержденного</w:t>
      </w:r>
      <w:r w:rsidRPr="002B233F">
        <w:rPr>
          <w:rFonts w:ascii="Times New Roman" w:hAnsi="Times New Roman" w:cs="Times New Roman"/>
          <w:sz w:val="28"/>
          <w:szCs w:val="28"/>
        </w:rPr>
        <w:t xml:space="preserve"> Решением Думы города</w:t>
      </w:r>
      <w:r w:rsidR="00233B2F" w:rsidRPr="002B233F">
        <w:rPr>
          <w:rFonts w:ascii="Times New Roman" w:hAnsi="Times New Roman" w:cs="Times New Roman"/>
          <w:sz w:val="28"/>
          <w:szCs w:val="28"/>
        </w:rPr>
        <w:br/>
      </w:r>
      <w:r w:rsidRPr="002B233F">
        <w:rPr>
          <w:rFonts w:ascii="Times New Roman" w:hAnsi="Times New Roman" w:cs="Times New Roman"/>
          <w:sz w:val="28"/>
          <w:szCs w:val="28"/>
        </w:rPr>
        <w:t xml:space="preserve">Ханты-Мансийска </w:t>
      </w:r>
      <w:r w:rsidR="006B770C" w:rsidRPr="002B233F">
        <w:rPr>
          <w:rFonts w:ascii="Times New Roman" w:eastAsia="Times New Roman" w:hAnsi="Times New Roman" w:cs="Times New Roman"/>
          <w:sz w:val="28"/>
          <w:szCs w:val="28"/>
        </w:rPr>
        <w:t>от 2</w:t>
      </w:r>
      <w:r w:rsidR="003B670E" w:rsidRPr="002B233F">
        <w:rPr>
          <w:rFonts w:ascii="Times New Roman" w:eastAsia="Times New Roman" w:hAnsi="Times New Roman" w:cs="Times New Roman"/>
          <w:sz w:val="28"/>
          <w:szCs w:val="28"/>
        </w:rPr>
        <w:t>2</w:t>
      </w:r>
      <w:r w:rsidR="006B770C"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w:t>
      </w:r>
      <w:r w:rsidR="006B770C" w:rsidRPr="002B233F">
        <w:rPr>
          <w:rFonts w:ascii="Times New Roman" w:eastAsia="Times New Roman" w:hAnsi="Times New Roman" w:cs="Times New Roman"/>
          <w:sz w:val="28"/>
          <w:szCs w:val="28"/>
        </w:rPr>
        <w:t xml:space="preserve"> №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15</w:t>
      </w:r>
      <w:r w:rsidR="006B770C" w:rsidRPr="002B233F">
        <w:rPr>
          <w:rFonts w:ascii="Times New Roman" w:eastAsia="Times New Roman" w:hAnsi="Times New Roman" w:cs="Times New Roman"/>
          <w:sz w:val="28"/>
          <w:szCs w:val="28"/>
        </w:rPr>
        <w:t>-</w:t>
      </w:r>
      <w:r w:rsidR="006B770C" w:rsidRPr="002B233F">
        <w:rPr>
          <w:rFonts w:ascii="Times New Roman" w:eastAsia="Times New Roman" w:hAnsi="Times New Roman" w:cs="Times New Roman"/>
          <w:sz w:val="28"/>
          <w:szCs w:val="28"/>
          <w:lang w:val="en-US"/>
        </w:rPr>
        <w:t>VII</w:t>
      </w:r>
      <w:r w:rsidR="006B770C" w:rsidRPr="002B233F">
        <w:rPr>
          <w:rFonts w:ascii="Times New Roman" w:eastAsia="Times New Roman" w:hAnsi="Times New Roman" w:cs="Times New Roman"/>
          <w:sz w:val="28"/>
          <w:szCs w:val="28"/>
        </w:rPr>
        <w:t xml:space="preserve"> РД</w:t>
      </w:r>
      <w:r w:rsidR="00233B2F" w:rsidRPr="002B233F">
        <w:rPr>
          <w:rFonts w:ascii="Times New Roman" w:hAnsi="Times New Roman" w:cs="Times New Roman"/>
          <w:sz w:val="28"/>
          <w:szCs w:val="28"/>
        </w:rPr>
        <w:t xml:space="preserve">. </w:t>
      </w:r>
      <w:r w:rsidRPr="002B233F">
        <w:rPr>
          <w:rFonts w:ascii="Times New Roman" w:hAnsi="Times New Roman" w:cs="Times New Roman"/>
          <w:sz w:val="28"/>
          <w:szCs w:val="28"/>
        </w:rPr>
        <w:t>В соответствии со стать</w:t>
      </w:r>
      <w:r w:rsidR="00F606AA" w:rsidRPr="002B233F">
        <w:rPr>
          <w:rFonts w:ascii="Times New Roman" w:hAnsi="Times New Roman" w:cs="Times New Roman"/>
          <w:sz w:val="28"/>
          <w:szCs w:val="28"/>
        </w:rPr>
        <w:t>е</w:t>
      </w:r>
      <w:r w:rsidRPr="002B233F">
        <w:rPr>
          <w:rFonts w:ascii="Times New Roman" w:hAnsi="Times New Roman" w:cs="Times New Roman"/>
          <w:sz w:val="28"/>
          <w:szCs w:val="28"/>
        </w:rPr>
        <w:t>й 217 Бюджетного кодекса Р</w:t>
      </w:r>
      <w:r w:rsidR="00233B2F" w:rsidRPr="002B233F">
        <w:rPr>
          <w:rFonts w:ascii="Times New Roman" w:hAnsi="Times New Roman" w:cs="Times New Roman"/>
          <w:sz w:val="28"/>
          <w:szCs w:val="28"/>
        </w:rPr>
        <w:t>оссийской Федерации</w:t>
      </w:r>
      <w:r w:rsidR="002B1006" w:rsidRPr="002B233F">
        <w:rPr>
          <w:rFonts w:ascii="Times New Roman" w:hAnsi="Times New Roman" w:cs="Times New Roman"/>
          <w:sz w:val="28"/>
          <w:szCs w:val="28"/>
        </w:rPr>
        <w:t xml:space="preserve">, </w:t>
      </w:r>
      <w:r w:rsidR="002B1006" w:rsidRPr="00600304">
        <w:rPr>
          <w:rFonts w:ascii="Times New Roman" w:hAnsi="Times New Roman" w:cs="Times New Roman"/>
          <w:sz w:val="28"/>
          <w:szCs w:val="28"/>
        </w:rPr>
        <w:t>стать</w:t>
      </w:r>
      <w:r w:rsidR="001960C0" w:rsidRPr="00600304">
        <w:rPr>
          <w:rFonts w:ascii="Times New Roman" w:hAnsi="Times New Roman" w:cs="Times New Roman"/>
          <w:sz w:val="28"/>
          <w:szCs w:val="28"/>
        </w:rPr>
        <w:t>е</w:t>
      </w:r>
      <w:r w:rsidR="002B1006" w:rsidRPr="00600304">
        <w:rPr>
          <w:rFonts w:ascii="Times New Roman" w:hAnsi="Times New Roman" w:cs="Times New Roman"/>
          <w:sz w:val="28"/>
          <w:szCs w:val="28"/>
        </w:rPr>
        <w:t>й 1</w:t>
      </w:r>
      <w:r w:rsidR="00501DA4" w:rsidRPr="00600304">
        <w:rPr>
          <w:rFonts w:ascii="Times New Roman" w:hAnsi="Times New Roman" w:cs="Times New Roman"/>
          <w:sz w:val="28"/>
          <w:szCs w:val="28"/>
        </w:rPr>
        <w:t>2</w:t>
      </w:r>
      <w:r w:rsidR="002B1006" w:rsidRPr="00600304">
        <w:rPr>
          <w:rFonts w:ascii="Times New Roman" w:hAnsi="Times New Roman" w:cs="Times New Roman"/>
          <w:sz w:val="28"/>
          <w:szCs w:val="28"/>
        </w:rPr>
        <w:t xml:space="preserve"> Решения</w:t>
      </w:r>
      <w:r w:rsidRPr="00600304">
        <w:rPr>
          <w:rFonts w:ascii="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Думы города </w:t>
      </w:r>
      <w:r w:rsidR="002B1006" w:rsidRPr="00600304">
        <w:rPr>
          <w:rFonts w:ascii="Times New Roman" w:eastAsia="Times New Roman" w:hAnsi="Times New Roman" w:cs="Times New Roman"/>
          <w:sz w:val="28"/>
          <w:szCs w:val="28"/>
        </w:rPr>
        <w:t xml:space="preserve">Ханты-Мансийска от </w:t>
      </w:r>
      <w:r w:rsidR="00501DA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2</w:t>
      </w:r>
      <w:r w:rsidR="00501DA4" w:rsidRPr="00600304">
        <w:rPr>
          <w:rFonts w:ascii="Times New Roman" w:eastAsia="Times New Roman" w:hAnsi="Times New Roman" w:cs="Times New Roman"/>
          <w:sz w:val="28"/>
          <w:szCs w:val="28"/>
        </w:rPr>
        <w:t>.12.202</w:t>
      </w:r>
      <w:r w:rsidR="003B670E" w:rsidRPr="00600304">
        <w:rPr>
          <w:rFonts w:ascii="Times New Roman" w:eastAsia="Times New Roman" w:hAnsi="Times New Roman" w:cs="Times New Roman"/>
          <w:sz w:val="28"/>
          <w:szCs w:val="28"/>
        </w:rPr>
        <w:t>3 № 215</w:t>
      </w:r>
      <w:r w:rsidR="00501DA4" w:rsidRPr="00600304">
        <w:rPr>
          <w:rFonts w:ascii="Times New Roman" w:eastAsia="Times New Roman" w:hAnsi="Times New Roman" w:cs="Times New Roman"/>
          <w:sz w:val="28"/>
          <w:szCs w:val="28"/>
        </w:rPr>
        <w:t>-</w:t>
      </w:r>
      <w:r w:rsidR="00501DA4" w:rsidRPr="00600304">
        <w:rPr>
          <w:rFonts w:ascii="Times New Roman" w:eastAsia="Times New Roman" w:hAnsi="Times New Roman" w:cs="Times New Roman"/>
          <w:sz w:val="28"/>
          <w:szCs w:val="28"/>
          <w:lang w:val="en-US"/>
        </w:rPr>
        <w:t>VII</w:t>
      </w:r>
      <w:r w:rsidR="003B670E" w:rsidRPr="00600304">
        <w:rPr>
          <w:rFonts w:ascii="Times New Roman" w:eastAsia="Times New Roman" w:hAnsi="Times New Roman" w:cs="Times New Roman"/>
          <w:sz w:val="28"/>
          <w:szCs w:val="28"/>
        </w:rPr>
        <w:t xml:space="preserve"> РД</w:t>
      </w:r>
      <w:r w:rsidR="00501DA4" w:rsidRPr="00600304">
        <w:rPr>
          <w:rFonts w:ascii="Times New Roman" w:eastAsia="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«О бюджете города </w:t>
      </w:r>
      <w:r w:rsidR="00EE7D81" w:rsidRPr="00600304">
        <w:rPr>
          <w:rFonts w:ascii="Times New Roman" w:eastAsia="Times New Roman" w:hAnsi="Times New Roman" w:cs="Times New Roman"/>
          <w:sz w:val="28"/>
          <w:szCs w:val="28"/>
        </w:rPr>
        <w:t>Ханты-Мансийска на 202</w:t>
      </w:r>
      <w:r w:rsidR="003B670E" w:rsidRPr="00600304">
        <w:rPr>
          <w:rFonts w:ascii="Times New Roman" w:eastAsia="Times New Roman" w:hAnsi="Times New Roman" w:cs="Times New Roman"/>
          <w:sz w:val="28"/>
          <w:szCs w:val="28"/>
        </w:rPr>
        <w:t>4</w:t>
      </w:r>
      <w:r w:rsidR="00233B2F" w:rsidRPr="00600304">
        <w:rPr>
          <w:rFonts w:ascii="Times New Roman" w:eastAsia="Times New Roman" w:hAnsi="Times New Roman" w:cs="Times New Roman"/>
          <w:sz w:val="28"/>
          <w:szCs w:val="28"/>
        </w:rPr>
        <w:t xml:space="preserve"> год и плановый период</w:t>
      </w:r>
      <w:r w:rsidR="00233B2F" w:rsidRPr="00600304">
        <w:rPr>
          <w:rFonts w:ascii="Times New Roman" w:eastAsia="Times New Roman" w:hAnsi="Times New Roman" w:cs="Times New Roman"/>
          <w:sz w:val="28"/>
          <w:szCs w:val="28"/>
        </w:rPr>
        <w:br/>
      </w:r>
      <w:r w:rsidR="002B1006" w:rsidRPr="00600304">
        <w:rPr>
          <w:rFonts w:ascii="Times New Roman" w:eastAsia="Times New Roman" w:hAnsi="Times New Roman" w:cs="Times New Roman"/>
          <w:sz w:val="28"/>
          <w:szCs w:val="28"/>
        </w:rPr>
        <w:t>20</w:t>
      </w:r>
      <w:r w:rsidR="00FA4EA2"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5</w:t>
      </w:r>
      <w:r w:rsidR="002B1006" w:rsidRPr="00600304">
        <w:rPr>
          <w:rFonts w:ascii="Times New Roman" w:eastAsia="Times New Roman" w:hAnsi="Times New Roman" w:cs="Times New Roman"/>
          <w:sz w:val="28"/>
          <w:szCs w:val="28"/>
        </w:rPr>
        <w:t xml:space="preserve"> и 20</w:t>
      </w:r>
      <w:r w:rsidR="0076283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6</w:t>
      </w:r>
      <w:r w:rsidR="002B1006" w:rsidRPr="00600304">
        <w:rPr>
          <w:rFonts w:ascii="Times New Roman" w:eastAsia="Times New Roman" w:hAnsi="Times New Roman" w:cs="Times New Roman"/>
          <w:sz w:val="28"/>
          <w:szCs w:val="28"/>
        </w:rPr>
        <w:t xml:space="preserve"> годов» </w:t>
      </w:r>
      <w:r w:rsidRPr="0060030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600304">
        <w:rPr>
          <w:rFonts w:ascii="Times New Roman" w:hAnsi="Times New Roman" w:cs="Times New Roman"/>
          <w:sz w:val="28"/>
          <w:szCs w:val="28"/>
        </w:rPr>
        <w:t>изменением объема</w:t>
      </w:r>
      <w:r w:rsidRPr="00600304">
        <w:rPr>
          <w:rFonts w:ascii="Times New Roman" w:hAnsi="Times New Roman" w:cs="Times New Roman"/>
          <w:sz w:val="28"/>
          <w:szCs w:val="28"/>
        </w:rPr>
        <w:t xml:space="preserve"> </w:t>
      </w:r>
      <w:r w:rsidR="00E772D0" w:rsidRPr="00600304">
        <w:rPr>
          <w:rFonts w:ascii="Times New Roman" w:hAnsi="Times New Roman" w:cs="Times New Roman"/>
          <w:sz w:val="28"/>
          <w:szCs w:val="28"/>
        </w:rPr>
        <w:t>иных межбюджетных трансфертов</w:t>
      </w:r>
      <w:r w:rsidRPr="00600304">
        <w:rPr>
          <w:rFonts w:ascii="Times New Roman" w:hAnsi="Times New Roman" w:cs="Times New Roman"/>
          <w:sz w:val="28"/>
          <w:szCs w:val="28"/>
        </w:rPr>
        <w:t xml:space="preserve"> из бюджета Ханты-М</w:t>
      </w:r>
      <w:r w:rsidR="00233B2F" w:rsidRPr="00600304">
        <w:rPr>
          <w:rFonts w:ascii="Times New Roman" w:hAnsi="Times New Roman" w:cs="Times New Roman"/>
          <w:sz w:val="28"/>
          <w:szCs w:val="28"/>
        </w:rPr>
        <w:t xml:space="preserve">ансийского автономного округа, </w:t>
      </w:r>
      <w:r w:rsidRPr="00600304">
        <w:rPr>
          <w:rFonts w:ascii="Times New Roman" w:hAnsi="Times New Roman" w:cs="Times New Roman"/>
          <w:sz w:val="28"/>
          <w:szCs w:val="28"/>
        </w:rPr>
        <w:t>имеющих целевое назначение,</w:t>
      </w:r>
      <w:r w:rsidR="0004199D" w:rsidRPr="00600304">
        <w:rPr>
          <w:rFonts w:ascii="Times New Roman" w:hAnsi="Times New Roman" w:cs="Times New Roman"/>
          <w:sz w:val="28"/>
          <w:szCs w:val="28"/>
        </w:rPr>
        <w:t xml:space="preserve"> </w:t>
      </w:r>
      <w:r w:rsidRPr="00600304">
        <w:rPr>
          <w:rFonts w:ascii="Times New Roman" w:hAnsi="Times New Roman" w:cs="Times New Roman"/>
          <w:sz w:val="28"/>
          <w:szCs w:val="28"/>
        </w:rPr>
        <w:t>сверх объемов, утвержденных Решением Думы города Ха</w:t>
      </w:r>
      <w:r w:rsidR="00233B2F" w:rsidRPr="00600304">
        <w:rPr>
          <w:rFonts w:ascii="Times New Roman" w:hAnsi="Times New Roman" w:cs="Times New Roman"/>
          <w:sz w:val="28"/>
          <w:szCs w:val="28"/>
        </w:rPr>
        <w:t>нты-Мансийска «О бюджете</w:t>
      </w:r>
      <w:r w:rsidR="00E75426" w:rsidRPr="00600304">
        <w:rPr>
          <w:rFonts w:ascii="Times New Roman" w:hAnsi="Times New Roman" w:cs="Times New Roman"/>
          <w:sz w:val="28"/>
          <w:szCs w:val="28"/>
        </w:rPr>
        <w:t xml:space="preserve"> </w:t>
      </w:r>
      <w:r w:rsidR="00233B2F" w:rsidRPr="00600304">
        <w:rPr>
          <w:rFonts w:ascii="Times New Roman" w:hAnsi="Times New Roman" w:cs="Times New Roman"/>
          <w:sz w:val="28"/>
          <w:szCs w:val="28"/>
        </w:rPr>
        <w:t>города</w:t>
      </w:r>
      <w:r w:rsidR="00E75426" w:rsidRPr="00600304">
        <w:rPr>
          <w:rFonts w:ascii="Times New Roman" w:hAnsi="Times New Roman" w:cs="Times New Roman"/>
          <w:sz w:val="28"/>
          <w:szCs w:val="28"/>
        </w:rPr>
        <w:t xml:space="preserve"> </w:t>
      </w:r>
      <w:r w:rsidR="00EE7D81" w:rsidRPr="00600304">
        <w:rPr>
          <w:rFonts w:ascii="Times New Roman" w:hAnsi="Times New Roman" w:cs="Times New Roman"/>
          <w:sz w:val="28"/>
          <w:szCs w:val="28"/>
        </w:rPr>
        <w:t>Ханты-Мансийска на 202</w:t>
      </w:r>
      <w:r w:rsidR="003B670E" w:rsidRPr="00600304">
        <w:rPr>
          <w:rFonts w:ascii="Times New Roman" w:hAnsi="Times New Roman" w:cs="Times New Roman"/>
          <w:sz w:val="28"/>
          <w:szCs w:val="28"/>
        </w:rPr>
        <w:t>4</w:t>
      </w:r>
      <w:r w:rsidRPr="00600304">
        <w:rPr>
          <w:rFonts w:ascii="Times New Roman" w:hAnsi="Times New Roman" w:cs="Times New Roman"/>
          <w:sz w:val="28"/>
          <w:szCs w:val="28"/>
        </w:rPr>
        <w:t xml:space="preserve"> год и плановый период</w:t>
      </w:r>
      <w:r w:rsidR="00EE7D81" w:rsidRPr="00600304">
        <w:rPr>
          <w:rFonts w:ascii="Times New Roman" w:hAnsi="Times New Roman" w:cs="Times New Roman"/>
          <w:sz w:val="28"/>
          <w:szCs w:val="28"/>
        </w:rPr>
        <w:t xml:space="preserve"> 202</w:t>
      </w:r>
      <w:r w:rsidR="003B670E" w:rsidRPr="00600304">
        <w:rPr>
          <w:rFonts w:ascii="Times New Roman" w:hAnsi="Times New Roman" w:cs="Times New Roman"/>
          <w:sz w:val="28"/>
          <w:szCs w:val="28"/>
        </w:rPr>
        <w:t>5</w:t>
      </w:r>
      <w:r w:rsidR="00762834" w:rsidRPr="00600304">
        <w:rPr>
          <w:rFonts w:ascii="Times New Roman" w:hAnsi="Times New Roman" w:cs="Times New Roman"/>
          <w:sz w:val="28"/>
          <w:szCs w:val="28"/>
        </w:rPr>
        <w:t xml:space="preserve"> </w:t>
      </w:r>
      <w:r w:rsidR="00EC70A8" w:rsidRPr="00600304">
        <w:rPr>
          <w:rFonts w:ascii="Times New Roman" w:hAnsi="Times New Roman" w:cs="Times New Roman"/>
          <w:sz w:val="28"/>
          <w:szCs w:val="28"/>
        </w:rPr>
        <w:t xml:space="preserve">и </w:t>
      </w:r>
      <w:r w:rsidR="00762834" w:rsidRPr="00600304">
        <w:rPr>
          <w:rFonts w:ascii="Times New Roman" w:hAnsi="Times New Roman" w:cs="Times New Roman"/>
          <w:sz w:val="28"/>
          <w:szCs w:val="28"/>
        </w:rPr>
        <w:t>202</w:t>
      </w:r>
      <w:r w:rsidR="003B670E" w:rsidRPr="00600304">
        <w:rPr>
          <w:rFonts w:ascii="Times New Roman" w:hAnsi="Times New Roman" w:cs="Times New Roman"/>
          <w:sz w:val="28"/>
          <w:szCs w:val="28"/>
        </w:rPr>
        <w:t>6</w:t>
      </w:r>
      <w:r w:rsidR="00E75426" w:rsidRPr="00600304">
        <w:rPr>
          <w:rFonts w:ascii="Times New Roman" w:hAnsi="Times New Roman" w:cs="Times New Roman"/>
          <w:sz w:val="28"/>
          <w:szCs w:val="28"/>
        </w:rPr>
        <w:t xml:space="preserve"> </w:t>
      </w:r>
      <w:r w:rsidR="00762834" w:rsidRPr="00600304">
        <w:rPr>
          <w:rFonts w:ascii="Times New Roman" w:hAnsi="Times New Roman" w:cs="Times New Roman"/>
          <w:sz w:val="28"/>
          <w:szCs w:val="28"/>
        </w:rPr>
        <w:t>годов</w:t>
      </w:r>
      <w:r w:rsidR="00C1773C" w:rsidRPr="00600304">
        <w:rPr>
          <w:rFonts w:ascii="Times New Roman" w:hAnsi="Times New Roman" w:cs="Times New Roman"/>
          <w:sz w:val="28"/>
          <w:szCs w:val="28"/>
        </w:rPr>
        <w:t xml:space="preserve">, а также восстановлены </w:t>
      </w:r>
      <w:r w:rsidR="006B0F90" w:rsidRPr="00600304">
        <w:rPr>
          <w:rFonts w:ascii="Times New Roman" w:hAnsi="Times New Roman" w:cs="Times New Roman"/>
          <w:sz w:val="28"/>
          <w:szCs w:val="28"/>
        </w:rPr>
        <w:t>остатк</w:t>
      </w:r>
      <w:r w:rsidR="00C1773C" w:rsidRPr="00600304">
        <w:rPr>
          <w:rFonts w:ascii="Times New Roman" w:hAnsi="Times New Roman" w:cs="Times New Roman"/>
          <w:sz w:val="28"/>
          <w:szCs w:val="28"/>
        </w:rPr>
        <w:t>и</w:t>
      </w:r>
      <w:r w:rsidR="006B0F90" w:rsidRPr="00600304">
        <w:rPr>
          <w:rFonts w:ascii="Times New Roman" w:hAnsi="Times New Roman" w:cs="Times New Roman"/>
          <w:sz w:val="28"/>
          <w:szCs w:val="28"/>
        </w:rPr>
        <w:t xml:space="preserve"> плановых бюджетных ассигнований прошлого года</w:t>
      </w:r>
      <w:r w:rsidR="00E75426" w:rsidRPr="00600304">
        <w:rPr>
          <w:rFonts w:ascii="Times New Roman" w:hAnsi="Times New Roman" w:cs="Times New Roman"/>
          <w:sz w:val="28"/>
          <w:szCs w:val="28"/>
        </w:rPr>
        <w:t xml:space="preserve"> </w:t>
      </w:r>
      <w:r w:rsidR="00C1773C" w:rsidRPr="00600304">
        <w:rPr>
          <w:rFonts w:ascii="Times New Roman" w:hAnsi="Times New Roman" w:cs="Times New Roman"/>
          <w:sz w:val="28"/>
          <w:szCs w:val="28"/>
        </w:rPr>
        <w:t xml:space="preserve">на оплату муниципальных контрактов </w:t>
      </w:r>
      <w:r w:rsidR="00F606AA" w:rsidRPr="00600304">
        <w:rPr>
          <w:rFonts w:ascii="Times New Roman" w:hAnsi="Times New Roman" w:cs="Times New Roman"/>
          <w:sz w:val="28"/>
          <w:szCs w:val="28"/>
        </w:rPr>
        <w:t xml:space="preserve">на </w:t>
      </w:r>
      <w:r w:rsidRPr="00600304">
        <w:rPr>
          <w:rFonts w:ascii="Times New Roman" w:hAnsi="Times New Roman" w:cs="Times New Roman"/>
          <w:sz w:val="28"/>
          <w:szCs w:val="28"/>
        </w:rPr>
        <w:t xml:space="preserve">сумму </w:t>
      </w:r>
      <w:r w:rsidR="006B0F90" w:rsidRPr="00600304">
        <w:rPr>
          <w:rFonts w:ascii="Times New Roman" w:hAnsi="Times New Roman" w:cs="Times New Roman"/>
          <w:sz w:val="28"/>
          <w:szCs w:val="28"/>
        </w:rPr>
        <w:t>–</w:t>
      </w:r>
      <w:r w:rsidR="002B233F" w:rsidRPr="00600304">
        <w:rPr>
          <w:rFonts w:ascii="Times New Roman" w:hAnsi="Times New Roman" w:cs="Times New Roman"/>
          <w:sz w:val="28"/>
          <w:szCs w:val="28"/>
        </w:rPr>
        <w:t xml:space="preserve"> </w:t>
      </w:r>
      <w:r w:rsidR="00600304" w:rsidRPr="00600304">
        <w:rPr>
          <w:rFonts w:ascii="Times New Roman" w:eastAsia="Times New Roman" w:hAnsi="Times New Roman" w:cs="Times New Roman"/>
          <w:sz w:val="28"/>
          <w:szCs w:val="28"/>
        </w:rPr>
        <w:t xml:space="preserve">57 175,4 </w:t>
      </w:r>
      <w:r w:rsidR="002B1006" w:rsidRPr="00600304">
        <w:rPr>
          <w:rFonts w:ascii="Times New Roman" w:eastAsia="Times New Roman" w:hAnsi="Times New Roman" w:cs="Times New Roman"/>
          <w:sz w:val="28"/>
          <w:szCs w:val="28"/>
        </w:rPr>
        <w:t>тыс.</w:t>
      </w:r>
      <w:r w:rsidR="00EC70A8" w:rsidRPr="00600304">
        <w:rPr>
          <w:rFonts w:ascii="Times New Roman" w:eastAsia="Times New Roman" w:hAnsi="Times New Roman" w:cs="Times New Roman"/>
          <w:sz w:val="28"/>
          <w:szCs w:val="28"/>
        </w:rPr>
        <w:t xml:space="preserve"> </w:t>
      </w:r>
      <w:r w:rsidR="00233B2F" w:rsidRPr="00600304">
        <w:rPr>
          <w:rFonts w:ascii="Times New Roman" w:hAnsi="Times New Roman" w:cs="Times New Roman"/>
          <w:sz w:val="28"/>
          <w:szCs w:val="28"/>
        </w:rPr>
        <w:t>рублей</w:t>
      </w:r>
      <w:r w:rsidRPr="00600304">
        <w:rPr>
          <w:rFonts w:ascii="Times New Roman" w:hAnsi="Times New Roman" w:cs="Times New Roman"/>
          <w:sz w:val="28"/>
          <w:szCs w:val="28"/>
        </w:rPr>
        <w:t>.</w:t>
      </w:r>
      <w:r w:rsidR="00271985" w:rsidRPr="00600304">
        <w:rPr>
          <w:rFonts w:ascii="Times New Roman" w:eastAsia="Times New Roman" w:hAnsi="Times New Roman" w:cs="Times New Roman"/>
          <w:sz w:val="28"/>
          <w:szCs w:val="28"/>
        </w:rPr>
        <w:t xml:space="preserve"> </w:t>
      </w: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600304" w:rsidRDefault="00D74A3B" w:rsidP="003B53D3">
      <w:pPr>
        <w:autoSpaceDE w:val="0"/>
        <w:autoSpaceDN w:val="0"/>
        <w:adjustRightInd w:val="0"/>
        <w:spacing w:after="0"/>
        <w:ind w:firstLine="540"/>
        <w:jc w:val="both"/>
        <w:rPr>
          <w:rFonts w:ascii="Times New Roman" w:hAnsi="Times New Roman" w:cs="Times New Roman"/>
          <w:sz w:val="28"/>
          <w:szCs w:val="28"/>
        </w:rPr>
      </w:pPr>
      <w:r w:rsidRPr="00600304">
        <w:rPr>
          <w:rFonts w:ascii="Times New Roman" w:hAnsi="Times New Roman" w:cs="Times New Roman"/>
          <w:sz w:val="28"/>
          <w:szCs w:val="28"/>
        </w:rPr>
        <w:lastRenderedPageBreak/>
        <w:t>Изменения, внес</w:t>
      </w:r>
      <w:r w:rsidR="001960C0" w:rsidRPr="00600304">
        <w:rPr>
          <w:rFonts w:ascii="Times New Roman" w:hAnsi="Times New Roman" w:cs="Times New Roman"/>
          <w:sz w:val="28"/>
          <w:szCs w:val="28"/>
        </w:rPr>
        <w:t>е</w:t>
      </w:r>
      <w:r w:rsidRPr="00600304">
        <w:rPr>
          <w:rFonts w:ascii="Times New Roman" w:hAnsi="Times New Roman" w:cs="Times New Roman"/>
          <w:sz w:val="28"/>
          <w:szCs w:val="28"/>
        </w:rPr>
        <w:t>нные в роспись бюджета города Ханты</w:t>
      </w:r>
      <w:r w:rsidR="007025BC" w:rsidRPr="00600304">
        <w:rPr>
          <w:rFonts w:ascii="Times New Roman" w:hAnsi="Times New Roman" w:cs="Times New Roman"/>
          <w:sz w:val="28"/>
          <w:szCs w:val="28"/>
        </w:rPr>
        <w:t xml:space="preserve">-Мансийска, </w:t>
      </w:r>
      <w:r w:rsidRPr="00600304">
        <w:rPr>
          <w:rFonts w:ascii="Times New Roman" w:hAnsi="Times New Roman" w:cs="Times New Roman"/>
          <w:sz w:val="28"/>
          <w:szCs w:val="28"/>
        </w:rPr>
        <w:t>отражены в таблице:</w:t>
      </w:r>
    </w:p>
    <w:p w:rsidR="004F3EBF" w:rsidRPr="00600304" w:rsidRDefault="00200270" w:rsidP="00200270">
      <w:pPr>
        <w:jc w:val="right"/>
        <w:rPr>
          <w:rFonts w:ascii="Times New Roman" w:hAnsi="Times New Roman" w:cs="Times New Roman"/>
          <w:sz w:val="24"/>
          <w:szCs w:val="24"/>
        </w:rPr>
      </w:pPr>
      <w:r w:rsidRPr="00600304">
        <w:rPr>
          <w:rFonts w:ascii="Times New Roman" w:hAnsi="Times New Roman" w:cs="Times New Roman"/>
          <w:sz w:val="24"/>
          <w:szCs w:val="24"/>
        </w:rPr>
        <w:t>рубли</w:t>
      </w:r>
    </w:p>
    <w:tbl>
      <w:tblPr>
        <w:tblW w:w="9209" w:type="dxa"/>
        <w:tblInd w:w="113" w:type="dxa"/>
        <w:tblLook w:val="04A0" w:firstRow="1" w:lastRow="0" w:firstColumn="1" w:lastColumn="0" w:noHBand="0" w:noVBand="1"/>
      </w:tblPr>
      <w:tblGrid>
        <w:gridCol w:w="7083"/>
        <w:gridCol w:w="2126"/>
      </w:tblGrid>
      <w:tr w:rsidR="00600304" w:rsidRPr="00600304" w:rsidTr="00600304">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Изменение расходной части</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Организация мероприятий по профилактике незаконного потребления наркотических средств и психотропных веществ, наркомании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624 000,00</w:t>
            </w:r>
          </w:p>
        </w:tc>
      </w:tr>
      <w:tr w:rsidR="00600304" w:rsidRPr="00600304" w:rsidTr="00600304">
        <w:trPr>
          <w:trHeight w:val="126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9 859 500,00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78,00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2 219 000,00</w:t>
            </w:r>
          </w:p>
        </w:tc>
      </w:tr>
      <w:tr w:rsidR="00600304" w:rsidRPr="00600304" w:rsidTr="00600304">
        <w:trPr>
          <w:trHeight w:val="189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55 393 286,00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Создание образовательных организаций, организаций для отдыха и оздоровления детей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8 989 800,00</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33 352 960,00</w:t>
            </w:r>
          </w:p>
        </w:tc>
      </w:tr>
      <w:tr w:rsidR="00600304" w:rsidRPr="00600304" w:rsidTr="00600304">
        <w:trPr>
          <w:trHeight w:val="220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-1 209 000,00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-128 300,00</w:t>
            </w:r>
          </w:p>
        </w:tc>
      </w:tr>
      <w:tr w:rsidR="00600304" w:rsidRPr="00600304" w:rsidTr="00600304">
        <w:trPr>
          <w:trHeight w:val="37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10 075 500,00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Иные межбюджетные трансферты на проведение конкурса "Лучший муниципалитет по цифровой трансформации"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900 000,00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Восстановление остатков плановых бюджетных ассигнований прошлого года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57 175 415,85</w:t>
            </w:r>
          </w:p>
        </w:tc>
      </w:tr>
      <w:tr w:rsidR="00600304" w:rsidRPr="00600304" w:rsidTr="00600304">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ИТОГО:</w:t>
            </w:r>
          </w:p>
        </w:tc>
        <w:tc>
          <w:tcPr>
            <w:tcW w:w="2126" w:type="dxa"/>
            <w:tcBorders>
              <w:top w:val="nil"/>
              <w:left w:val="nil"/>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177 252 239,85</w:t>
            </w:r>
          </w:p>
        </w:tc>
      </w:tr>
    </w:tbl>
    <w:p w:rsidR="00316C7C" w:rsidRPr="002B233F" w:rsidRDefault="00316C7C" w:rsidP="00A934B4">
      <w:pPr>
        <w:ind w:firstLine="851"/>
        <w:jc w:val="center"/>
        <w:rPr>
          <w:rFonts w:ascii="Times New Roman" w:hAnsi="Times New Roman" w:cs="Times New Roman"/>
          <w:b/>
          <w:sz w:val="28"/>
          <w:szCs w:val="28"/>
          <w:u w:val="single"/>
        </w:rPr>
      </w:pPr>
    </w:p>
    <w:p w:rsidR="00A934B4" w:rsidRPr="006F4183" w:rsidRDefault="00A934B4" w:rsidP="00A934B4">
      <w:pPr>
        <w:ind w:firstLine="851"/>
        <w:jc w:val="center"/>
        <w:rPr>
          <w:rFonts w:ascii="Times New Roman" w:hAnsi="Times New Roman" w:cs="Times New Roman"/>
          <w:b/>
          <w:sz w:val="28"/>
          <w:szCs w:val="28"/>
          <w:u w:val="single"/>
        </w:rPr>
      </w:pPr>
      <w:r w:rsidRPr="006F4183">
        <w:rPr>
          <w:rFonts w:ascii="Times New Roman" w:hAnsi="Times New Roman" w:cs="Times New Roman"/>
          <w:b/>
          <w:sz w:val="28"/>
          <w:szCs w:val="28"/>
          <w:u w:val="single"/>
        </w:rPr>
        <w:t>ДОХОДЫ</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7"/>
          <w:sz w:val="28"/>
          <w:szCs w:val="28"/>
        </w:rPr>
        <w:t xml:space="preserve">По состоянию на 01 </w:t>
      </w:r>
      <w:r w:rsidR="006F4183" w:rsidRPr="006F4183">
        <w:rPr>
          <w:rFonts w:ascii="Times New Roman" w:hAnsi="Times New Roman" w:cs="Times New Roman"/>
          <w:color w:val="000000"/>
          <w:spacing w:val="7"/>
          <w:sz w:val="28"/>
          <w:szCs w:val="28"/>
        </w:rPr>
        <w:t>июля</w:t>
      </w:r>
      <w:r w:rsidR="006B4A1E" w:rsidRPr="006F4183">
        <w:rPr>
          <w:rFonts w:ascii="Times New Roman" w:hAnsi="Times New Roman" w:cs="Times New Roman"/>
          <w:color w:val="000000"/>
          <w:spacing w:val="7"/>
          <w:sz w:val="28"/>
          <w:szCs w:val="28"/>
        </w:rPr>
        <w:t xml:space="preserve"> 202</w:t>
      </w:r>
      <w:r w:rsidR="000A4C7C" w:rsidRPr="006F4183">
        <w:rPr>
          <w:rFonts w:ascii="Times New Roman" w:hAnsi="Times New Roman" w:cs="Times New Roman"/>
          <w:color w:val="000000"/>
          <w:spacing w:val="7"/>
          <w:sz w:val="28"/>
          <w:szCs w:val="28"/>
        </w:rPr>
        <w:t>4</w:t>
      </w:r>
      <w:r w:rsidRPr="006F4183">
        <w:rPr>
          <w:rFonts w:ascii="Times New Roman" w:hAnsi="Times New Roman" w:cs="Times New Roman"/>
          <w:color w:val="000000"/>
          <w:spacing w:val="7"/>
          <w:sz w:val="28"/>
          <w:szCs w:val="28"/>
        </w:rPr>
        <w:t xml:space="preserve"> года в бюджет города </w:t>
      </w:r>
      <w:r w:rsidR="00112FF2" w:rsidRPr="006F4183">
        <w:rPr>
          <w:rFonts w:ascii="Times New Roman" w:hAnsi="Times New Roman" w:cs="Times New Roman"/>
          <w:color w:val="000000"/>
          <w:spacing w:val="7"/>
          <w:sz w:val="28"/>
          <w:szCs w:val="28"/>
        </w:rPr>
        <w:t xml:space="preserve">   </w:t>
      </w:r>
      <w:r w:rsidR="00157615">
        <w:rPr>
          <w:rFonts w:ascii="Times New Roman" w:hAnsi="Times New Roman" w:cs="Times New Roman"/>
          <w:color w:val="000000"/>
          <w:spacing w:val="7"/>
          <w:sz w:val="28"/>
          <w:szCs w:val="28"/>
        </w:rPr>
        <w:t xml:space="preserve">   </w:t>
      </w:r>
      <w:r w:rsidR="00112FF2"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Ханты-Мансийска поступили доходы в сумме </w:t>
      </w:r>
      <w:r w:rsidR="006F4183" w:rsidRPr="006F4183">
        <w:rPr>
          <w:rFonts w:ascii="Times New Roman" w:hAnsi="Times New Roman" w:cs="Times New Roman"/>
          <w:color w:val="000000"/>
          <w:spacing w:val="7"/>
          <w:sz w:val="28"/>
          <w:szCs w:val="28"/>
        </w:rPr>
        <w:t>6 277 214,5</w:t>
      </w:r>
      <w:r w:rsidR="000A4C7C"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тыс. </w:t>
      </w:r>
      <w:r w:rsidRPr="006F4183">
        <w:rPr>
          <w:rFonts w:ascii="Times New Roman" w:hAnsi="Times New Roman" w:cs="Times New Roman"/>
          <w:bCs/>
          <w:color w:val="000000"/>
          <w:spacing w:val="-2"/>
          <w:sz w:val="28"/>
          <w:szCs w:val="28"/>
        </w:rPr>
        <w:t>рублей при ут</w:t>
      </w:r>
      <w:r w:rsidR="006B4A1E" w:rsidRPr="006F4183">
        <w:rPr>
          <w:rFonts w:ascii="Times New Roman" w:hAnsi="Times New Roman" w:cs="Times New Roman"/>
          <w:bCs/>
          <w:color w:val="000000"/>
          <w:spacing w:val="-2"/>
          <w:sz w:val="28"/>
          <w:szCs w:val="28"/>
        </w:rPr>
        <w:t xml:space="preserve">вержденном </w:t>
      </w:r>
      <w:r w:rsidRPr="006F4183">
        <w:rPr>
          <w:rFonts w:ascii="Times New Roman" w:hAnsi="Times New Roman" w:cs="Times New Roman"/>
          <w:bCs/>
          <w:color w:val="000000"/>
          <w:spacing w:val="-2"/>
          <w:sz w:val="28"/>
          <w:szCs w:val="28"/>
        </w:rPr>
        <w:t>плане на 202</w:t>
      </w:r>
      <w:r w:rsidR="000A4C7C" w:rsidRPr="006F4183">
        <w:rPr>
          <w:rFonts w:ascii="Times New Roman" w:hAnsi="Times New Roman" w:cs="Times New Roman"/>
          <w:bCs/>
          <w:color w:val="000000"/>
          <w:spacing w:val="-2"/>
          <w:sz w:val="28"/>
          <w:szCs w:val="28"/>
        </w:rPr>
        <w:t>4</w:t>
      </w:r>
      <w:r w:rsidRPr="006F4183">
        <w:rPr>
          <w:rFonts w:ascii="Times New Roman" w:hAnsi="Times New Roman" w:cs="Times New Roman"/>
          <w:bCs/>
          <w:color w:val="000000"/>
          <w:spacing w:val="-2"/>
          <w:sz w:val="28"/>
          <w:szCs w:val="28"/>
        </w:rPr>
        <w:t xml:space="preserve"> год в сумме </w:t>
      </w:r>
      <w:r w:rsidR="000A4C7C" w:rsidRPr="006F4183">
        <w:rPr>
          <w:rFonts w:ascii="Times New Roman" w:hAnsi="Times New Roman" w:cs="Times New Roman"/>
          <w:bCs/>
          <w:color w:val="000000"/>
          <w:spacing w:val="-2"/>
          <w:sz w:val="28"/>
          <w:szCs w:val="28"/>
        </w:rPr>
        <w:t>13</w:t>
      </w:r>
      <w:r w:rsidR="00B179EE" w:rsidRPr="006F4183">
        <w:rPr>
          <w:rFonts w:ascii="Times New Roman" w:hAnsi="Times New Roman" w:cs="Times New Roman"/>
          <w:bCs/>
          <w:color w:val="000000"/>
          <w:spacing w:val="-2"/>
          <w:sz w:val="28"/>
          <w:szCs w:val="28"/>
        </w:rPr>
        <w:t> 636 833,0</w:t>
      </w:r>
      <w:r w:rsidRPr="006F4183">
        <w:rPr>
          <w:rFonts w:ascii="Times New Roman" w:hAnsi="Times New Roman" w:cs="Times New Roman"/>
          <w:bCs/>
          <w:color w:val="000000"/>
          <w:spacing w:val="-2"/>
          <w:sz w:val="28"/>
          <w:szCs w:val="28"/>
        </w:rPr>
        <w:t xml:space="preserve"> тыс. рублей, плановые назначения исполнены на </w:t>
      </w:r>
      <w:r w:rsidR="006F4183" w:rsidRPr="006F4183">
        <w:rPr>
          <w:rFonts w:ascii="Times New Roman" w:hAnsi="Times New Roman" w:cs="Times New Roman"/>
          <w:bCs/>
          <w:color w:val="000000"/>
          <w:spacing w:val="-2"/>
          <w:sz w:val="28"/>
          <w:szCs w:val="28"/>
        </w:rPr>
        <w:t>46,0</w:t>
      </w:r>
      <w:r w:rsidRPr="006F4183">
        <w:rPr>
          <w:rFonts w:ascii="Times New Roman" w:hAnsi="Times New Roman" w:cs="Times New Roman"/>
          <w:color w:val="000000"/>
          <w:spacing w:val="-2"/>
          <w:sz w:val="28"/>
          <w:szCs w:val="28"/>
        </w:rPr>
        <w:t xml:space="preserve">%. </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За отчётный период доходы бюджета города сложились из:</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налоговых доходов, поступивших в сумме </w:t>
      </w:r>
      <w:r w:rsidR="006F4183" w:rsidRPr="006F4183">
        <w:rPr>
          <w:rFonts w:ascii="Times New Roman" w:hAnsi="Times New Roman" w:cs="Times New Roman"/>
          <w:color w:val="000000"/>
          <w:spacing w:val="-2"/>
          <w:sz w:val="28"/>
          <w:szCs w:val="28"/>
        </w:rPr>
        <w:t>2 547 483,2</w:t>
      </w:r>
      <w:r w:rsidRPr="006F4183">
        <w:rPr>
          <w:rFonts w:ascii="Times New Roman CYR" w:eastAsia="Times New Roman" w:hAnsi="Times New Roman CYR" w:cs="Times New Roman CYR"/>
          <w:sz w:val="28"/>
          <w:szCs w:val="28"/>
        </w:rPr>
        <w:t xml:space="preserve"> </w:t>
      </w:r>
      <w:r w:rsidRPr="006F4183">
        <w:rPr>
          <w:rFonts w:ascii="Times New Roman" w:eastAsia="Times New Roman" w:hAnsi="Times New Roman" w:cs="Times New Roman"/>
          <w:sz w:val="28"/>
          <w:szCs w:val="28"/>
        </w:rPr>
        <w:t xml:space="preserve">тыс. </w:t>
      </w:r>
      <w:r w:rsidRPr="006F418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6F4183">
        <w:rPr>
          <w:rFonts w:ascii="Times New Roman" w:hAnsi="Times New Roman" w:cs="Times New Roman"/>
          <w:color w:val="000000"/>
          <w:spacing w:val="-2"/>
          <w:sz w:val="28"/>
          <w:szCs w:val="28"/>
        </w:rPr>
        <w:t>41</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неналоговых доходов в сумме </w:t>
      </w:r>
      <w:r w:rsidR="006F4183" w:rsidRPr="006F4183">
        <w:rPr>
          <w:rFonts w:ascii="Times New Roman" w:eastAsia="Times New Roman" w:hAnsi="Times New Roman" w:cs="Times New Roman"/>
          <w:sz w:val="28"/>
          <w:szCs w:val="28"/>
        </w:rPr>
        <w:t>156 636,8</w:t>
      </w:r>
      <w:r w:rsidRPr="006F4183">
        <w:rPr>
          <w:rFonts w:ascii="Times New Roman" w:eastAsia="Times New Roman" w:hAnsi="Times New Roman" w:cs="Times New Roman"/>
          <w:sz w:val="28"/>
          <w:szCs w:val="28"/>
        </w:rPr>
        <w:t xml:space="preserve"> тыс.</w:t>
      </w:r>
      <w:r w:rsidRPr="006F4183">
        <w:rPr>
          <w:rFonts w:ascii="Times New Roman" w:hAnsi="Times New Roman" w:cs="Times New Roman"/>
          <w:color w:val="000000"/>
          <w:spacing w:val="-2"/>
          <w:sz w:val="28"/>
          <w:szCs w:val="28"/>
        </w:rPr>
        <w:t xml:space="preserve"> рублей, занимающих в структуре бюджета </w:t>
      </w:r>
      <w:r w:rsidR="006F4183" w:rsidRPr="006F4183">
        <w:rPr>
          <w:rFonts w:ascii="Times New Roman" w:hAnsi="Times New Roman" w:cs="Times New Roman"/>
          <w:color w:val="000000"/>
          <w:spacing w:val="-2"/>
          <w:sz w:val="28"/>
          <w:szCs w:val="28"/>
        </w:rPr>
        <w:t>2</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безвозмездных поступлений в сумме </w:t>
      </w:r>
      <w:r w:rsidR="006F4183" w:rsidRPr="006F4183">
        <w:rPr>
          <w:rFonts w:ascii="Times New Roman" w:hAnsi="Times New Roman" w:cs="Times New Roman"/>
          <w:color w:val="000000"/>
          <w:spacing w:val="-2"/>
          <w:sz w:val="28"/>
          <w:szCs w:val="28"/>
        </w:rPr>
        <w:t>3 573 094,5</w:t>
      </w:r>
      <w:r w:rsidRPr="006F4183">
        <w:rPr>
          <w:rFonts w:ascii="Times New Roman" w:eastAsia="Times New Roman" w:hAnsi="Times New Roman" w:cs="Times New Roman"/>
          <w:sz w:val="28"/>
          <w:szCs w:val="28"/>
        </w:rPr>
        <w:t xml:space="preserve"> тыс. </w:t>
      </w:r>
      <w:r w:rsidRPr="006F4183">
        <w:rPr>
          <w:rFonts w:ascii="Times New Roman" w:hAnsi="Times New Roman" w:cs="Times New Roman"/>
          <w:color w:val="000000"/>
          <w:spacing w:val="-2"/>
          <w:sz w:val="28"/>
          <w:szCs w:val="28"/>
        </w:rPr>
        <w:t xml:space="preserve">рублей, занимающих </w:t>
      </w:r>
      <w:r w:rsidR="006F4183" w:rsidRPr="006F4183">
        <w:rPr>
          <w:rFonts w:ascii="Times New Roman" w:hAnsi="Times New Roman" w:cs="Times New Roman"/>
          <w:color w:val="000000"/>
          <w:spacing w:val="-2"/>
          <w:sz w:val="28"/>
          <w:szCs w:val="28"/>
        </w:rPr>
        <w:t>57</w:t>
      </w:r>
      <w:r w:rsidR="00F94B23" w:rsidRPr="006F4183">
        <w:rPr>
          <w:rFonts w:ascii="Times New Roman" w:hAnsi="Times New Roman" w:cs="Times New Roman"/>
          <w:color w:val="000000"/>
          <w:spacing w:val="-2"/>
          <w:sz w:val="28"/>
          <w:szCs w:val="28"/>
        </w:rPr>
        <w:t xml:space="preserve"> </w:t>
      </w:r>
      <w:r w:rsidRPr="006F4183">
        <w:rPr>
          <w:rFonts w:ascii="Times New Roman" w:hAnsi="Times New Roman" w:cs="Times New Roman"/>
          <w:color w:val="000000"/>
          <w:spacing w:val="-2"/>
          <w:sz w:val="28"/>
          <w:szCs w:val="28"/>
        </w:rPr>
        <w:t>% в структуре доходов бюджета.</w:t>
      </w:r>
    </w:p>
    <w:p w:rsidR="002410BB" w:rsidRPr="00DA1D2F"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C76ABA"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2"/>
          <w:sz w:val="28"/>
          <w:szCs w:val="28"/>
        </w:rPr>
        <w:t xml:space="preserve">Доходы бюджета города Ханты-Мансийска за  </w:t>
      </w:r>
    </w:p>
    <w:p w:rsidR="00A934B4" w:rsidRPr="00C76ABA" w:rsidRDefault="006F4183"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7"/>
          <w:sz w:val="28"/>
          <w:szCs w:val="28"/>
        </w:rPr>
        <w:t>полугодие</w:t>
      </w:r>
      <w:r w:rsidR="006B4A1E" w:rsidRPr="00C76ABA">
        <w:rPr>
          <w:rFonts w:ascii="Times New Roman" w:hAnsi="Times New Roman" w:cs="Times New Roman"/>
          <w:b/>
          <w:color w:val="000000"/>
          <w:spacing w:val="7"/>
          <w:sz w:val="28"/>
          <w:szCs w:val="28"/>
        </w:rPr>
        <w:t xml:space="preserve"> </w:t>
      </w:r>
      <w:r w:rsidR="00A934B4" w:rsidRPr="00C76ABA">
        <w:rPr>
          <w:rFonts w:ascii="Times New Roman" w:hAnsi="Times New Roman" w:cs="Times New Roman"/>
          <w:b/>
          <w:color w:val="000000"/>
          <w:spacing w:val="-2"/>
          <w:sz w:val="28"/>
          <w:szCs w:val="28"/>
        </w:rPr>
        <w:t>202</w:t>
      </w:r>
      <w:r w:rsidR="000A4C7C" w:rsidRPr="00C76ABA">
        <w:rPr>
          <w:rFonts w:ascii="Times New Roman" w:hAnsi="Times New Roman" w:cs="Times New Roman"/>
          <w:b/>
          <w:color w:val="000000"/>
          <w:spacing w:val="-2"/>
          <w:sz w:val="28"/>
          <w:szCs w:val="28"/>
        </w:rPr>
        <w:t>4</w:t>
      </w:r>
      <w:r w:rsidR="00A934B4" w:rsidRPr="00C76ABA">
        <w:rPr>
          <w:rFonts w:ascii="Times New Roman" w:hAnsi="Times New Roman" w:cs="Times New Roman"/>
          <w:b/>
          <w:color w:val="000000"/>
          <w:spacing w:val="-2"/>
          <w:sz w:val="28"/>
          <w:szCs w:val="28"/>
        </w:rPr>
        <w:t xml:space="preserve"> года</w:t>
      </w:r>
    </w:p>
    <w:p w:rsidR="00A934B4" w:rsidRPr="00C76ABA"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C76ABA">
        <w:rPr>
          <w:rFonts w:ascii="Times New Roman" w:hAnsi="Times New Roman" w:cs="Times New Roman"/>
          <w:color w:val="000000"/>
          <w:spacing w:val="-2"/>
          <w:sz w:val="24"/>
          <w:szCs w:val="24"/>
        </w:rPr>
        <w:t xml:space="preserve">                    (тыс. рублей)</w:t>
      </w:r>
    </w:p>
    <w:tbl>
      <w:tblPr>
        <w:tblW w:w="9684" w:type="dxa"/>
        <w:tblInd w:w="113" w:type="dxa"/>
        <w:tblLook w:val="04A0" w:firstRow="1" w:lastRow="0" w:firstColumn="1" w:lastColumn="0" w:noHBand="0" w:noVBand="1"/>
      </w:tblPr>
      <w:tblGrid>
        <w:gridCol w:w="3964"/>
        <w:gridCol w:w="1843"/>
        <w:gridCol w:w="1383"/>
        <w:gridCol w:w="1374"/>
        <w:gridCol w:w="1121"/>
      </w:tblGrid>
      <w:tr w:rsidR="002410BB" w:rsidRPr="00C76ABA" w:rsidTr="00D617BF">
        <w:trPr>
          <w:trHeight w:val="81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C76ABA" w:rsidRDefault="002410BB" w:rsidP="00C06E2B">
            <w:pPr>
              <w:spacing w:after="0" w:line="240" w:lineRule="auto"/>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0E24BC">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 202</w:t>
            </w:r>
            <w:r w:rsidR="000E24BC">
              <w:rPr>
                <w:rFonts w:ascii="Times New Roman CYR" w:eastAsia="Times New Roman" w:hAnsi="Times New Roman CYR" w:cs="Times New Roman CYR"/>
                <w:bCs/>
                <w:sz w:val="18"/>
                <w:szCs w:val="18"/>
              </w:rPr>
              <w:t>3</w:t>
            </w:r>
            <w:r w:rsidRPr="00C76ABA">
              <w:rPr>
                <w:rFonts w:ascii="Times New Roman CYR" w:eastAsia="Times New Roman" w:hAnsi="Times New Roman CYR" w:cs="Times New Roman CYR"/>
                <w:bCs/>
                <w:sz w:val="18"/>
                <w:szCs w:val="18"/>
              </w:rPr>
              <w:t xml:space="preserve"> года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Утвержденный план на 2024 год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327478">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w:t>
            </w:r>
            <w:r w:rsidR="00993CFD">
              <w:rPr>
                <w:rFonts w:ascii="Times New Roman CYR" w:eastAsia="Times New Roman" w:hAnsi="Times New Roman CYR" w:cs="Times New Roman CYR"/>
                <w:bCs/>
                <w:sz w:val="18"/>
                <w:szCs w:val="18"/>
              </w:rPr>
              <w:t xml:space="preserve"> </w:t>
            </w:r>
            <w:r w:rsidRPr="00C76ABA">
              <w:rPr>
                <w:rFonts w:ascii="Times New Roman CYR" w:eastAsia="Times New Roman" w:hAnsi="Times New Roman CYR" w:cs="Times New Roman CYR"/>
                <w:bCs/>
                <w:sz w:val="18"/>
                <w:szCs w:val="18"/>
              </w:rPr>
              <w:t xml:space="preserve">2024 года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 исполнения  плана на 2024 год </w:t>
            </w:r>
          </w:p>
        </w:tc>
      </w:tr>
      <w:tr w:rsidR="00327478" w:rsidRPr="00327478" w:rsidTr="00D617BF">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1 767 491,1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4 325 773,1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1 991 414,0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r w:rsidR="00327478" w:rsidRPr="00327478" w:rsidTr="00D617BF">
        <w:trPr>
          <w:trHeight w:val="67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lastRenderedPageBreak/>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17 292,0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38 927,7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18 581,2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47,7%</w:t>
            </w:r>
          </w:p>
        </w:tc>
      </w:tr>
      <w:tr w:rsidR="00327478" w:rsidRPr="00327478" w:rsidTr="00D617BF">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совокупный доход, в т.ч.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316 107,8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636 958,0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482 922,4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75,8%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УСНО</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310 418,9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605 869,0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448 106,8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74,0%</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ЕНВД</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781,2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133,8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ЕСХН</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4 303,2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2 400,0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8 769,2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365,4%</w:t>
            </w:r>
          </w:p>
        </w:tc>
      </w:tr>
      <w:tr w:rsidR="00327478" w:rsidRPr="00327478" w:rsidTr="00327478">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2 166,9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28 689,0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25 912,6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90,3%</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имущество,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43 197,9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155 184,0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38 605,1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24,9%</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1 680,8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38 821,0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4 586,2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11,8%</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9 640,5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41 193,0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9 849,5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23,9%</w:t>
            </w:r>
          </w:p>
        </w:tc>
      </w:tr>
      <w:tr w:rsidR="00327478" w:rsidRPr="00327478" w:rsidTr="00327478">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6 168,3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12 413,0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5 204,4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41,9%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3 472,2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28 780,0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4 645,1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16,1%</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31 876,6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75 170,0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24 169,4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32,2%</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30 724,4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60 009,0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22 628,3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37,7%</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1 152,2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15 161,0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1 541,1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10,2%</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15 205,2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37 190,0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15 960,5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42,9%</w:t>
            </w:r>
          </w:p>
        </w:tc>
      </w:tr>
      <w:tr w:rsidR="00327478" w:rsidRPr="00327478" w:rsidTr="00327478">
        <w:trPr>
          <w:trHeight w:val="46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Задолженность и перерасчёты по отменённым налогам</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0,2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5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104 993,7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149 492,0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45 771,7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30,6%</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Платежи за пользование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962,3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679,8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3 202,0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471,0%</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3 405,8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84 388,9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33755,6%</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32 736,1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53 080,0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45 862,9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86,4%</w:t>
            </w:r>
          </w:p>
        </w:tc>
      </w:tr>
      <w:tr w:rsidR="00327478" w:rsidRPr="00327478" w:rsidTr="00327478">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13 624,1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11 745,5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23 314,2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-198,5%</w:t>
            </w:r>
          </w:p>
        </w:tc>
      </w:tr>
      <w:tr w:rsidR="00327478" w:rsidRPr="00327478" w:rsidTr="00327478">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1 239,7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725,5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1209,2%</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2 311 851,9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5 409 340,1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2 704 120,0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50,0%</w:t>
            </w:r>
          </w:p>
        </w:tc>
      </w:tr>
      <w:tr w:rsidR="00327478" w:rsidRPr="00327478" w:rsidTr="00D617BF">
        <w:trPr>
          <w:trHeight w:val="24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2 159 294,2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5 194 032,8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2 547 483,2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49,0%</w:t>
            </w:r>
          </w:p>
        </w:tc>
      </w:tr>
      <w:tr w:rsidR="00327478" w:rsidRPr="00327478" w:rsidTr="00D617BF">
        <w:trPr>
          <w:trHeight w:val="26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152 557,7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215 307,3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156 636,8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72,8%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3 566 242,8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8 227 492,9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3 573 094,5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43,4%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Дотации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184 746,7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312 437,9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149 364,0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1 264 755,2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3 002 446,0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1 076 504,6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35,9%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Субвенции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2 147 178,4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4 807 826,7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2 325 764,6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48,4%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96 358,2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104 782,3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98 434,7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93,9%</w:t>
            </w:r>
          </w:p>
        </w:tc>
      </w:tr>
      <w:tr w:rsidR="00327478" w:rsidRPr="00327478" w:rsidTr="00327478">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Возврат остатков субсидий и субвенций прошлых лет</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126 795,7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76 973,4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ВСЕГО ДОХОДОВ</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5 878 094,7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D617BF">
              <w:rPr>
                <w:rFonts w:ascii="Times New Roman CYR" w:eastAsia="Times New Roman" w:hAnsi="Times New Roman CYR" w:cs="Times New Roman CYR"/>
                <w:b/>
                <w:bCs/>
                <w:sz w:val="18"/>
                <w:szCs w:val="18"/>
              </w:rPr>
              <w:t>13 636 833,0</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6 277 214,5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bl>
    <w:p w:rsidR="00C06E2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D87196" w:rsidRPr="00DA1D2F" w:rsidRDefault="00D87196"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E51F74">
      <w:pPr>
        <w:spacing w:before="163" w:after="0"/>
        <w:ind w:firstLine="708"/>
        <w:jc w:val="both"/>
        <w:rPr>
          <w:rFonts w:ascii="Times New Roman" w:eastAsia="Times New Roman" w:hAnsi="Times New Roman" w:cs="Times New Roman"/>
          <w:sz w:val="28"/>
          <w:szCs w:val="28"/>
        </w:rPr>
      </w:pPr>
      <w:r w:rsidRPr="00D617BF">
        <w:rPr>
          <w:rFonts w:ascii="Times New Roman" w:eastAsia="Times New Roman" w:hAnsi="Times New Roman" w:cs="Times New Roman"/>
          <w:b/>
          <w:sz w:val="28"/>
          <w:szCs w:val="28"/>
        </w:rPr>
        <w:t>НАЛОГОВЫЕ ДОХОДЫ</w:t>
      </w:r>
      <w:r w:rsidRPr="00D617BF">
        <w:rPr>
          <w:rFonts w:ascii="Times New Roman" w:eastAsia="Times New Roman" w:hAnsi="Times New Roman" w:cs="Times New Roman"/>
          <w:sz w:val="28"/>
          <w:szCs w:val="28"/>
        </w:rPr>
        <w:t xml:space="preserve"> за отчетный период поступили в сумме                </w:t>
      </w:r>
      <w:r w:rsidR="00D617BF" w:rsidRPr="00D617BF">
        <w:rPr>
          <w:rFonts w:ascii="Times New Roman" w:eastAsia="Times New Roman" w:hAnsi="Times New Roman" w:cs="Times New Roman"/>
          <w:sz w:val="28"/>
          <w:szCs w:val="28"/>
        </w:rPr>
        <w:t>2 547 483,2</w:t>
      </w:r>
      <w:r w:rsidRPr="00D617BF">
        <w:rPr>
          <w:rFonts w:ascii="Times New Roman" w:eastAsia="Times New Roman" w:hAnsi="Times New Roman" w:cs="Times New Roman"/>
          <w:sz w:val="28"/>
          <w:szCs w:val="28"/>
        </w:rPr>
        <w:t xml:space="preserve"> тыс. рублей, что составило </w:t>
      </w:r>
      <w:r w:rsidR="00D617BF" w:rsidRPr="00D617BF">
        <w:rPr>
          <w:rFonts w:ascii="Times New Roman" w:eastAsia="Times New Roman" w:hAnsi="Times New Roman" w:cs="Times New Roman"/>
          <w:sz w:val="28"/>
          <w:szCs w:val="28"/>
        </w:rPr>
        <w:t>49,0</w:t>
      </w:r>
      <w:r w:rsidRPr="00D617BF">
        <w:rPr>
          <w:rFonts w:ascii="Times New Roman" w:eastAsia="Times New Roman" w:hAnsi="Times New Roman" w:cs="Times New Roman"/>
          <w:sz w:val="28"/>
          <w:szCs w:val="28"/>
        </w:rPr>
        <w:t>% выполнения плана, установленного на 202</w:t>
      </w:r>
      <w:r w:rsidR="00E51F74" w:rsidRPr="00D617BF">
        <w:rPr>
          <w:rFonts w:ascii="Times New Roman" w:eastAsia="Times New Roman" w:hAnsi="Times New Roman" w:cs="Times New Roman"/>
          <w:sz w:val="28"/>
          <w:szCs w:val="28"/>
        </w:rPr>
        <w:t>4</w:t>
      </w:r>
      <w:r w:rsidRPr="00D617BF">
        <w:rPr>
          <w:rFonts w:ascii="Times New Roman" w:eastAsia="Times New Roman" w:hAnsi="Times New Roman" w:cs="Times New Roman"/>
          <w:sz w:val="28"/>
          <w:szCs w:val="28"/>
        </w:rPr>
        <w:t xml:space="preserve"> год.</w:t>
      </w: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Pr="00D617BF" w:rsidRDefault="00D87196" w:rsidP="00E51F74">
      <w:pPr>
        <w:spacing w:before="163" w:after="0"/>
        <w:ind w:firstLine="708"/>
        <w:jc w:val="both"/>
        <w:rPr>
          <w:rFonts w:ascii="Times New Roman" w:eastAsia="Times New Roman" w:hAnsi="Times New Roman" w:cs="Times New Roman"/>
          <w:sz w:val="28"/>
          <w:szCs w:val="28"/>
        </w:rPr>
      </w:pPr>
    </w:p>
    <w:p w:rsidR="00A934B4" w:rsidRPr="00D617BF" w:rsidRDefault="00A934B4" w:rsidP="00E51F74">
      <w:pPr>
        <w:spacing w:before="163" w:after="0"/>
        <w:ind w:right="-568"/>
        <w:jc w:val="both"/>
        <w:rPr>
          <w:rFonts w:ascii="Times New Roman" w:eastAsia="Times New Roman" w:hAnsi="Times New Roman" w:cs="Times New Roman"/>
          <w:b/>
          <w:sz w:val="24"/>
          <w:szCs w:val="24"/>
        </w:rPr>
      </w:pPr>
      <w:r w:rsidRPr="00D617BF">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D617BF" w:rsidRPr="00D617BF">
        <w:rPr>
          <w:rFonts w:ascii="Times New Roman" w:eastAsia="Times New Roman" w:hAnsi="Times New Roman" w:cs="Times New Roman"/>
          <w:b/>
          <w:sz w:val="24"/>
          <w:szCs w:val="24"/>
        </w:rPr>
        <w:t>полугодие</w:t>
      </w:r>
      <w:r w:rsidR="00560C33" w:rsidRPr="00D617BF">
        <w:rPr>
          <w:rFonts w:ascii="Times New Roman" w:eastAsia="Times New Roman" w:hAnsi="Times New Roman" w:cs="Times New Roman"/>
          <w:b/>
          <w:sz w:val="24"/>
          <w:szCs w:val="24"/>
        </w:rPr>
        <w:t xml:space="preserve"> </w:t>
      </w:r>
      <w:r w:rsidRPr="00D617BF">
        <w:rPr>
          <w:rFonts w:ascii="Times New Roman" w:eastAsia="Times New Roman" w:hAnsi="Times New Roman" w:cs="Times New Roman"/>
          <w:b/>
          <w:sz w:val="24"/>
          <w:szCs w:val="24"/>
        </w:rPr>
        <w:t>202</w:t>
      </w:r>
      <w:r w:rsidR="00E51F74" w:rsidRPr="00D617BF">
        <w:rPr>
          <w:rFonts w:ascii="Times New Roman" w:eastAsia="Times New Roman" w:hAnsi="Times New Roman" w:cs="Times New Roman"/>
          <w:b/>
          <w:sz w:val="24"/>
          <w:szCs w:val="24"/>
        </w:rPr>
        <w:t>4</w:t>
      </w:r>
      <w:r w:rsidRPr="00D617BF">
        <w:rPr>
          <w:rFonts w:ascii="Times New Roman" w:eastAsia="Times New Roman" w:hAnsi="Times New Roman" w:cs="Times New Roman"/>
          <w:b/>
          <w:sz w:val="24"/>
          <w:szCs w:val="24"/>
        </w:rPr>
        <w:t xml:space="preserve"> года</w:t>
      </w:r>
    </w:p>
    <w:p w:rsidR="00A934B4" w:rsidRPr="00D617BF" w:rsidRDefault="00A934B4" w:rsidP="00E51F74">
      <w:pPr>
        <w:spacing w:before="163" w:after="0"/>
        <w:ind w:right="-568"/>
        <w:jc w:val="right"/>
        <w:rPr>
          <w:rFonts w:ascii="Times New Roman" w:eastAsia="Times New Roman" w:hAnsi="Times New Roman" w:cs="Times New Roman"/>
          <w:sz w:val="20"/>
          <w:szCs w:val="20"/>
        </w:rPr>
      </w:pPr>
      <w:r w:rsidRPr="00D617BF">
        <w:rPr>
          <w:rFonts w:ascii="Times New Roman" w:eastAsia="Times New Roman" w:hAnsi="Times New Roman" w:cs="Times New Roman"/>
          <w:sz w:val="20"/>
          <w:szCs w:val="20"/>
        </w:rPr>
        <w:t>тыс. руб.</w:t>
      </w:r>
    </w:p>
    <w:p w:rsidR="00A934B4" w:rsidRPr="00C76ABA" w:rsidRDefault="00A934B4" w:rsidP="00E51F74">
      <w:pPr>
        <w:spacing w:before="163" w:after="0"/>
        <w:ind w:left="-567"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C76ABA" w:rsidRDefault="00FB25DD" w:rsidP="00E51F74">
      <w:pPr>
        <w:spacing w:before="163" w:after="0"/>
        <w:ind w:firstLine="708"/>
        <w:jc w:val="both"/>
        <w:rPr>
          <w:rFonts w:ascii="Times New Roman" w:eastAsia="Times New Roman" w:hAnsi="Times New Roman" w:cs="Times New Roman"/>
          <w:sz w:val="28"/>
          <w:szCs w:val="28"/>
        </w:rPr>
      </w:pPr>
    </w:p>
    <w:p w:rsidR="00D617BF" w:rsidRPr="00C76ABA" w:rsidRDefault="00D617BF" w:rsidP="00665134">
      <w:pPr>
        <w:spacing w:after="0"/>
        <w:ind w:firstLine="567"/>
        <w:jc w:val="both"/>
        <w:rPr>
          <w:rFonts w:ascii="Times New Roman" w:eastAsia="Times New Roman" w:hAnsi="Times New Roman" w:cs="Times New Roman"/>
          <w:sz w:val="28"/>
          <w:szCs w:val="28"/>
        </w:rPr>
      </w:pPr>
    </w:p>
    <w:p w:rsidR="00665134" w:rsidRPr="00C76ABA" w:rsidRDefault="00F33831" w:rsidP="00665134">
      <w:pPr>
        <w:spacing w:after="0"/>
        <w:ind w:firstLine="567"/>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За </w:t>
      </w:r>
      <w:r w:rsidR="00E135A5" w:rsidRPr="00C76ABA">
        <w:rPr>
          <w:rFonts w:ascii="Times New Roman" w:eastAsia="Times New Roman" w:hAnsi="Times New Roman" w:cs="Times New Roman"/>
          <w:sz w:val="28"/>
          <w:szCs w:val="28"/>
        </w:rPr>
        <w:t>полугодие</w:t>
      </w:r>
      <w:r w:rsidR="005D428C" w:rsidRPr="00C76ABA">
        <w:rPr>
          <w:rFonts w:ascii="Times New Roman" w:eastAsia="Times New Roman" w:hAnsi="Times New Roman" w:cs="Times New Roman"/>
          <w:sz w:val="28"/>
          <w:szCs w:val="28"/>
        </w:rPr>
        <w:t xml:space="preserve"> </w:t>
      </w:r>
      <w:r w:rsidR="00A934B4" w:rsidRPr="00C76ABA">
        <w:rPr>
          <w:rFonts w:ascii="Times New Roman" w:eastAsia="Times New Roman" w:hAnsi="Times New Roman" w:cs="Times New Roman"/>
          <w:sz w:val="28"/>
          <w:szCs w:val="28"/>
        </w:rPr>
        <w:t>202</w:t>
      </w:r>
      <w:r w:rsidR="00E51F74" w:rsidRPr="00C76ABA">
        <w:rPr>
          <w:rFonts w:ascii="Times New Roman" w:eastAsia="Times New Roman" w:hAnsi="Times New Roman" w:cs="Times New Roman"/>
          <w:sz w:val="28"/>
          <w:szCs w:val="28"/>
        </w:rPr>
        <w:t>3</w:t>
      </w:r>
      <w:r w:rsidR="00A934B4" w:rsidRPr="00C76ABA">
        <w:rPr>
          <w:rFonts w:ascii="Times New Roman" w:eastAsia="Times New Roman" w:hAnsi="Times New Roman" w:cs="Times New Roman"/>
          <w:sz w:val="28"/>
          <w:szCs w:val="28"/>
        </w:rPr>
        <w:t xml:space="preserve"> года налоговые доходы поступили в сумме </w:t>
      </w:r>
      <w:r w:rsidR="00E135A5" w:rsidRPr="00C76ABA">
        <w:rPr>
          <w:rFonts w:ascii="Times New Roman" w:eastAsia="Times New Roman" w:hAnsi="Times New Roman" w:cs="Times New Roman"/>
          <w:sz w:val="28"/>
          <w:szCs w:val="28"/>
        </w:rPr>
        <w:t>2 159 294,2</w:t>
      </w:r>
      <w:r w:rsidR="00A934B4" w:rsidRPr="00C76ABA">
        <w:rPr>
          <w:rFonts w:ascii="Times New Roman" w:eastAsia="Times New Roman" w:hAnsi="Times New Roman" w:cs="Times New Roman"/>
          <w:sz w:val="28"/>
          <w:szCs w:val="28"/>
        </w:rPr>
        <w:t xml:space="preserve"> тыс. рублей, </w:t>
      </w:r>
      <w:r w:rsidR="00E51F74" w:rsidRPr="00C76ABA">
        <w:rPr>
          <w:rFonts w:ascii="Times New Roman" w:eastAsia="Times New Roman" w:hAnsi="Times New Roman" w:cs="Times New Roman"/>
          <w:sz w:val="28"/>
          <w:szCs w:val="28"/>
        </w:rPr>
        <w:t>рост</w:t>
      </w:r>
      <w:r w:rsidR="00A934B4" w:rsidRPr="00C76ABA">
        <w:rPr>
          <w:rFonts w:ascii="Times New Roman" w:eastAsia="Times New Roman" w:hAnsi="Times New Roman" w:cs="Times New Roman"/>
          <w:sz w:val="28"/>
          <w:szCs w:val="28"/>
        </w:rPr>
        <w:t xml:space="preserve"> поступлени</w:t>
      </w:r>
      <w:r w:rsidR="00787A90" w:rsidRPr="00C76ABA">
        <w:rPr>
          <w:rFonts w:ascii="Times New Roman" w:eastAsia="Times New Roman" w:hAnsi="Times New Roman" w:cs="Times New Roman"/>
          <w:sz w:val="28"/>
          <w:szCs w:val="28"/>
        </w:rPr>
        <w:t>й</w:t>
      </w:r>
      <w:r w:rsidR="00A934B4" w:rsidRPr="00C76ABA">
        <w:rPr>
          <w:rFonts w:ascii="Times New Roman" w:eastAsia="Times New Roman" w:hAnsi="Times New Roman" w:cs="Times New Roman"/>
          <w:sz w:val="28"/>
          <w:szCs w:val="28"/>
        </w:rPr>
        <w:t xml:space="preserve"> налоговых доходов за </w:t>
      </w:r>
      <w:r w:rsidR="00E135A5" w:rsidRPr="00C76ABA">
        <w:rPr>
          <w:rFonts w:ascii="Times New Roman" w:eastAsia="Times New Roman" w:hAnsi="Times New Roman" w:cs="Times New Roman"/>
          <w:sz w:val="28"/>
          <w:szCs w:val="28"/>
        </w:rPr>
        <w:t>полугодие</w:t>
      </w:r>
      <w:r w:rsidR="00114445" w:rsidRPr="00C76ABA">
        <w:rPr>
          <w:rFonts w:ascii="Times New Roman" w:eastAsia="Times New Roman" w:hAnsi="Times New Roman" w:cs="Times New Roman"/>
          <w:sz w:val="28"/>
          <w:szCs w:val="28"/>
        </w:rPr>
        <w:t xml:space="preserve"> 202</w:t>
      </w:r>
      <w:r w:rsidR="00E51F74" w:rsidRPr="00C76ABA">
        <w:rPr>
          <w:rFonts w:ascii="Times New Roman" w:eastAsia="Times New Roman" w:hAnsi="Times New Roman" w:cs="Times New Roman"/>
          <w:sz w:val="28"/>
          <w:szCs w:val="28"/>
        </w:rPr>
        <w:t>4</w:t>
      </w:r>
      <w:r w:rsidR="00A934B4" w:rsidRPr="00C76ABA">
        <w:rPr>
          <w:rFonts w:ascii="Times New Roman" w:eastAsia="Times New Roman" w:hAnsi="Times New Roman" w:cs="Times New Roman"/>
          <w:sz w:val="28"/>
          <w:szCs w:val="28"/>
        </w:rPr>
        <w:t xml:space="preserve"> года по отношению к аналогичному периоду предыд</w:t>
      </w:r>
      <w:r w:rsidR="00114445" w:rsidRPr="00C76ABA">
        <w:rPr>
          <w:rFonts w:ascii="Times New Roman" w:eastAsia="Times New Roman" w:hAnsi="Times New Roman" w:cs="Times New Roman"/>
          <w:sz w:val="28"/>
          <w:szCs w:val="28"/>
        </w:rPr>
        <w:t xml:space="preserve">ущего финансового года составил </w:t>
      </w:r>
      <w:r w:rsidR="00E135A5" w:rsidRPr="00C76ABA">
        <w:rPr>
          <w:rFonts w:ascii="Times New Roman" w:eastAsia="Times New Roman" w:hAnsi="Times New Roman" w:cs="Times New Roman"/>
          <w:sz w:val="28"/>
          <w:szCs w:val="28"/>
        </w:rPr>
        <w:t>18,0</w:t>
      </w:r>
      <w:r w:rsidR="00A934B4" w:rsidRPr="00C76ABA">
        <w:rPr>
          <w:rFonts w:ascii="Times New Roman" w:eastAsia="Times New Roman" w:hAnsi="Times New Roman" w:cs="Times New Roman"/>
          <w:sz w:val="28"/>
          <w:szCs w:val="28"/>
        </w:rPr>
        <w:t xml:space="preserve">% или </w:t>
      </w:r>
      <w:r w:rsidR="00E135A5" w:rsidRPr="00C76ABA">
        <w:rPr>
          <w:rFonts w:ascii="Times New Roman" w:eastAsia="Times New Roman" w:hAnsi="Times New Roman" w:cs="Times New Roman"/>
          <w:sz w:val="28"/>
          <w:szCs w:val="28"/>
        </w:rPr>
        <w:t>388 189,0</w:t>
      </w:r>
      <w:r w:rsidR="00A934B4" w:rsidRPr="00C76ABA">
        <w:rPr>
          <w:rFonts w:ascii="Times New Roman" w:eastAsia="Times New Roman" w:hAnsi="Times New Roman" w:cs="Times New Roman"/>
          <w:sz w:val="28"/>
          <w:szCs w:val="28"/>
        </w:rPr>
        <w:t xml:space="preserve"> тыс. рублей.</w:t>
      </w:r>
      <w:r w:rsidR="00665134" w:rsidRPr="00C76ABA">
        <w:rPr>
          <w:rFonts w:ascii="Times New Roman" w:eastAsia="Times New Roman" w:hAnsi="Times New Roman" w:cs="Times New Roman"/>
          <w:sz w:val="28"/>
          <w:szCs w:val="28"/>
        </w:rPr>
        <w:t xml:space="preserve"> </w:t>
      </w:r>
    </w:p>
    <w:p w:rsidR="00665134" w:rsidRDefault="00665134" w:rsidP="00665134">
      <w:pPr>
        <w:spacing w:after="0"/>
        <w:ind w:firstLine="567"/>
        <w:jc w:val="both"/>
        <w:rPr>
          <w:rFonts w:ascii="Times New Roman" w:hAnsi="Times New Roman" w:cs="Times New Roman"/>
          <w:sz w:val="28"/>
          <w:szCs w:val="28"/>
        </w:rPr>
      </w:pPr>
      <w:r w:rsidRPr="00C76ABA">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Pr="00C76ABA" w:rsidRDefault="000E24BC" w:rsidP="00665134">
      <w:pPr>
        <w:spacing w:after="0"/>
        <w:ind w:firstLine="567"/>
        <w:jc w:val="both"/>
        <w:rPr>
          <w:rFonts w:ascii="Times New Roman" w:eastAsia="Times New Roman" w:hAnsi="Times New Roman" w:cs="Times New Roman"/>
          <w:sz w:val="28"/>
          <w:szCs w:val="28"/>
        </w:rPr>
      </w:pPr>
    </w:p>
    <w:p w:rsidR="00E47420" w:rsidRDefault="00E47420"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C76ABA" w:rsidRDefault="00A934B4" w:rsidP="00EF289F">
      <w:pPr>
        <w:shd w:val="clear" w:color="auto" w:fill="FFFFFF"/>
        <w:spacing w:before="163" w:after="0"/>
        <w:jc w:val="right"/>
        <w:rPr>
          <w:rFonts w:ascii="Times New Roman" w:eastAsia="Times New Roman" w:hAnsi="Times New Roman" w:cs="Times New Roman"/>
          <w:sz w:val="20"/>
          <w:szCs w:val="20"/>
        </w:rPr>
      </w:pPr>
      <w:r w:rsidRPr="00C76ABA">
        <w:rPr>
          <w:rFonts w:ascii="Times New Roman" w:hAnsi="Times New Roman" w:cs="Times New Roman"/>
          <w:color w:val="000000" w:themeColor="text1"/>
          <w:sz w:val="20"/>
          <w:szCs w:val="20"/>
        </w:rPr>
        <w:t>тыс. руб.</w:t>
      </w:r>
    </w:p>
    <w:p w:rsidR="00A934B4" w:rsidRPr="00C76ABA" w:rsidRDefault="00A14726" w:rsidP="00A934B4">
      <w:pPr>
        <w:spacing w:after="0"/>
        <w:ind w:hanging="142"/>
        <w:jc w:val="both"/>
        <w:rPr>
          <w:rFonts w:ascii="Times New Roman" w:eastAsia="Times New Roman" w:hAnsi="Times New Roman" w:cs="Times New Roman"/>
          <w:sz w:val="28"/>
          <w:szCs w:val="28"/>
        </w:rPr>
      </w:pPr>
      <w:r w:rsidRPr="00C76ABA">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DA1D2F" w:rsidRDefault="00A14726" w:rsidP="00A934B4">
      <w:pPr>
        <w:spacing w:after="0"/>
        <w:ind w:hanging="142"/>
        <w:jc w:val="both"/>
        <w:rPr>
          <w:rFonts w:ascii="Times New Roman" w:eastAsia="Times New Roman" w:hAnsi="Times New Roman" w:cs="Times New Roman"/>
          <w:sz w:val="28"/>
          <w:szCs w:val="28"/>
          <w:highlight w:val="yellow"/>
        </w:rPr>
      </w:pPr>
    </w:p>
    <w:p w:rsidR="00A934B4" w:rsidRPr="00F53125" w:rsidRDefault="00A934B4" w:rsidP="00A934B4">
      <w:pPr>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F53125">
        <w:rPr>
          <w:rFonts w:ascii="Times New Roman" w:eastAsia="Times New Roman" w:hAnsi="Times New Roman" w:cs="Times New Roman"/>
          <w:sz w:val="28"/>
          <w:szCs w:val="28"/>
        </w:rPr>
        <w:t>78</w:t>
      </w:r>
      <w:r w:rsidRPr="00F53125">
        <w:rPr>
          <w:rFonts w:ascii="Times New Roman" w:eastAsia="Times New Roman" w:hAnsi="Times New Roman" w:cs="Times New Roman"/>
          <w:sz w:val="28"/>
          <w:szCs w:val="28"/>
        </w:rPr>
        <w:t xml:space="preserve">% </w:t>
      </w:r>
      <w:r w:rsidRPr="00F53125">
        <w:rPr>
          <w:rFonts w:ascii="Times New Roman" w:hAnsi="Times New Roman" w:cs="Times New Roman"/>
          <w:sz w:val="28"/>
          <w:szCs w:val="28"/>
        </w:rPr>
        <w:t xml:space="preserve">поступил в сумме </w:t>
      </w:r>
      <w:r w:rsidR="00E135A5" w:rsidRPr="00F53125">
        <w:rPr>
          <w:rFonts w:ascii="Times New Roman" w:hAnsi="Times New Roman" w:cs="Times New Roman"/>
          <w:sz w:val="28"/>
          <w:szCs w:val="28"/>
        </w:rPr>
        <w:t>1 991 414,0</w:t>
      </w:r>
      <w:r w:rsidRPr="00F53125">
        <w:rPr>
          <w:rFonts w:ascii="Times New Roman" w:hAnsi="Times New Roman" w:cs="Times New Roman"/>
          <w:sz w:val="28"/>
          <w:szCs w:val="28"/>
        </w:rPr>
        <w:t xml:space="preserve"> тыс. рублей, что составляет </w:t>
      </w:r>
      <w:r w:rsidR="00E135A5" w:rsidRPr="00F53125">
        <w:rPr>
          <w:rFonts w:ascii="Times New Roman" w:hAnsi="Times New Roman" w:cs="Times New Roman"/>
          <w:sz w:val="28"/>
          <w:szCs w:val="28"/>
        </w:rPr>
        <w:t>46,0</w:t>
      </w:r>
      <w:r w:rsidRPr="00F53125">
        <w:rPr>
          <w:rFonts w:ascii="Times New Roman" w:hAnsi="Times New Roman" w:cs="Times New Roman"/>
          <w:sz w:val="28"/>
          <w:szCs w:val="28"/>
        </w:rPr>
        <w:t>% от плановых назначений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F53125">
        <w:rPr>
          <w:rFonts w:ascii="Times New Roman" w:hAnsi="Times New Roman" w:cs="Times New Roman"/>
          <w:sz w:val="28"/>
          <w:szCs w:val="28"/>
        </w:rPr>
        <w:t>рост</w:t>
      </w:r>
      <w:r w:rsidR="00F33831"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 </w:t>
      </w:r>
      <w:r w:rsidR="00E135A5" w:rsidRPr="00F53125">
        <w:rPr>
          <w:rFonts w:ascii="Times New Roman" w:hAnsi="Times New Roman" w:cs="Times New Roman"/>
          <w:sz w:val="28"/>
          <w:szCs w:val="28"/>
        </w:rPr>
        <w:t>12,7</w:t>
      </w:r>
      <w:r w:rsidRPr="00F53125">
        <w:rPr>
          <w:rFonts w:ascii="Times New Roman" w:hAnsi="Times New Roman" w:cs="Times New Roman"/>
          <w:sz w:val="28"/>
          <w:szCs w:val="28"/>
        </w:rPr>
        <w:t xml:space="preserve">% или на </w:t>
      </w:r>
      <w:r w:rsidR="00E135A5" w:rsidRPr="00F53125">
        <w:rPr>
          <w:rFonts w:ascii="Times New Roman" w:hAnsi="Times New Roman" w:cs="Times New Roman"/>
          <w:sz w:val="28"/>
          <w:szCs w:val="28"/>
        </w:rPr>
        <w:t>223 922,9</w:t>
      </w:r>
      <w:r w:rsidRPr="00F53125">
        <w:rPr>
          <w:rFonts w:ascii="Times New Roman" w:hAnsi="Times New Roman" w:cs="Times New Roman"/>
          <w:sz w:val="28"/>
          <w:szCs w:val="28"/>
        </w:rPr>
        <w:t xml:space="preserve"> тыс. рублей</w:t>
      </w:r>
      <w:r w:rsidR="00E47420">
        <w:rPr>
          <w:rFonts w:ascii="Times New Roman" w:hAnsi="Times New Roman" w:cs="Times New Roman"/>
          <w:sz w:val="28"/>
          <w:szCs w:val="28"/>
        </w:rPr>
        <w:t>,</w:t>
      </w:r>
      <w:r w:rsidR="00E47420" w:rsidRPr="00E47420">
        <w:rPr>
          <w:rFonts w:ascii="Times New Roman" w:eastAsia="Times New Roman" w:hAnsi="Times New Roman" w:cs="Times New Roman"/>
          <w:sz w:val="28"/>
          <w:szCs w:val="28"/>
        </w:rPr>
        <w:t xml:space="preserve"> </w:t>
      </w:r>
      <w:r w:rsidR="00E47420">
        <w:rPr>
          <w:rFonts w:ascii="Times New Roman" w:eastAsia="Times New Roman" w:hAnsi="Times New Roman" w:cs="Times New Roman"/>
          <w:sz w:val="28"/>
          <w:szCs w:val="28"/>
        </w:rPr>
        <w:t>в связи с ростом фонда оплаты труда.</w:t>
      </w:r>
      <w:r w:rsidRPr="00F53125">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году составляет </w:t>
      </w:r>
      <w:r w:rsidR="00404C36" w:rsidRPr="00F53125">
        <w:rPr>
          <w:rFonts w:ascii="Times New Roman" w:hAnsi="Times New Roman" w:cs="Times New Roman"/>
          <w:sz w:val="28"/>
          <w:szCs w:val="28"/>
        </w:rPr>
        <w:t>40,95</w:t>
      </w:r>
      <w:r w:rsidRPr="00F53125">
        <w:rPr>
          <w:rFonts w:ascii="Times New Roman" w:hAnsi="Times New Roman" w:cs="Times New Roman"/>
          <w:sz w:val="28"/>
          <w:szCs w:val="28"/>
        </w:rPr>
        <w:t>%, в 202</w:t>
      </w:r>
      <w:r w:rsidR="005A47E8"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году составлял </w:t>
      </w:r>
      <w:r w:rsidR="005A47E8" w:rsidRPr="00F53125">
        <w:rPr>
          <w:rFonts w:ascii="Times New Roman" w:hAnsi="Times New Roman" w:cs="Times New Roman"/>
          <w:sz w:val="28"/>
          <w:szCs w:val="28"/>
        </w:rPr>
        <w:t>42,79</w:t>
      </w:r>
      <w:r w:rsidRPr="00F53125">
        <w:rPr>
          <w:rFonts w:ascii="Times New Roman" w:hAnsi="Times New Roman" w:cs="Times New Roman"/>
          <w:sz w:val="28"/>
          <w:szCs w:val="28"/>
        </w:rPr>
        <w:t>%. В сопоставимых условиях 202</w:t>
      </w:r>
      <w:r w:rsidR="00FB25DD"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года </w:t>
      </w:r>
      <w:r w:rsidR="002410BB" w:rsidRPr="00F53125">
        <w:rPr>
          <w:rFonts w:ascii="Times New Roman" w:hAnsi="Times New Roman" w:cs="Times New Roman"/>
          <w:sz w:val="28"/>
          <w:szCs w:val="28"/>
        </w:rPr>
        <w:t>рост</w:t>
      </w:r>
      <w:r w:rsidR="006B5D15"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налога на доходы физических лиц составил </w:t>
      </w:r>
      <w:r w:rsidR="00E47420">
        <w:rPr>
          <w:rFonts w:ascii="Times New Roman" w:hAnsi="Times New Roman" w:cs="Times New Roman"/>
          <w:sz w:val="28"/>
          <w:szCs w:val="28"/>
        </w:rPr>
        <w:t>17,7</w:t>
      </w:r>
      <w:r w:rsidR="00EB0408" w:rsidRPr="00F53125">
        <w:rPr>
          <w:rFonts w:ascii="Times New Roman" w:hAnsi="Times New Roman" w:cs="Times New Roman"/>
          <w:sz w:val="28"/>
          <w:szCs w:val="28"/>
        </w:rPr>
        <w:t>%.</w:t>
      </w:r>
      <w:r w:rsidR="006B5D15" w:rsidRPr="00F53125">
        <w:rPr>
          <w:rFonts w:ascii="Times New Roman" w:hAnsi="Times New Roman" w:cs="Times New Roman"/>
          <w:sz w:val="28"/>
          <w:szCs w:val="28"/>
        </w:rPr>
        <w:t xml:space="preserve"> </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E47420">
        <w:rPr>
          <w:rFonts w:ascii="Times New Roman" w:eastAsia="Times New Roman" w:hAnsi="Times New Roman" w:cs="Times New Roman"/>
          <w:sz w:val="28"/>
          <w:szCs w:val="28"/>
        </w:rPr>
        <w:t>18 581,2</w:t>
      </w:r>
      <w:r w:rsidR="00404C36" w:rsidRPr="00F53125">
        <w:rPr>
          <w:rFonts w:ascii="Times New Roman" w:eastAsia="Times New Roman" w:hAnsi="Times New Roman" w:cs="Times New Roman"/>
          <w:sz w:val="28"/>
          <w:szCs w:val="28"/>
        </w:rPr>
        <w:t xml:space="preserve"> </w:t>
      </w:r>
      <w:r w:rsidRPr="00F53125">
        <w:rPr>
          <w:rFonts w:ascii="Times New Roman" w:eastAsia="Times New Roman" w:hAnsi="Times New Roman" w:cs="Times New Roman"/>
          <w:sz w:val="28"/>
          <w:szCs w:val="28"/>
        </w:rPr>
        <w:t>тыс. рублей, плановые назначения 202</w:t>
      </w:r>
      <w:r w:rsidR="00404C36"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E47420">
        <w:rPr>
          <w:rFonts w:ascii="Times New Roman" w:eastAsia="Times New Roman" w:hAnsi="Times New Roman" w:cs="Times New Roman"/>
          <w:sz w:val="28"/>
          <w:szCs w:val="28"/>
        </w:rPr>
        <w:t>47,7</w:t>
      </w:r>
      <w:r w:rsidRPr="00F53125">
        <w:rPr>
          <w:rFonts w:ascii="Times New Roman" w:eastAsia="Times New Roman" w:hAnsi="Times New Roman" w:cs="Times New Roman"/>
          <w:sz w:val="28"/>
          <w:szCs w:val="28"/>
        </w:rPr>
        <w:t>%. По сравнению с аналогичным периодом 202</w:t>
      </w:r>
      <w:r w:rsidR="00404C36"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поступление акцизов увеличилось на </w:t>
      </w:r>
      <w:r w:rsidR="00E47420">
        <w:rPr>
          <w:rFonts w:ascii="Times New Roman" w:eastAsia="Times New Roman" w:hAnsi="Times New Roman" w:cs="Times New Roman"/>
          <w:sz w:val="28"/>
          <w:szCs w:val="28"/>
        </w:rPr>
        <w:t>7,5</w:t>
      </w:r>
      <w:r w:rsidR="00F53125">
        <w:rPr>
          <w:rFonts w:ascii="Times New Roman" w:eastAsia="Times New Roman" w:hAnsi="Times New Roman" w:cs="Times New Roman"/>
          <w:sz w:val="28"/>
          <w:szCs w:val="28"/>
        </w:rPr>
        <w:t>%</w:t>
      </w:r>
      <w:r w:rsidR="00E47420">
        <w:rPr>
          <w:rFonts w:ascii="Times New Roman" w:eastAsia="Times New Roman" w:hAnsi="Times New Roman" w:cs="Times New Roman"/>
          <w:sz w:val="28"/>
          <w:szCs w:val="28"/>
        </w:rPr>
        <w:t>.</w:t>
      </w:r>
      <w:r w:rsidR="00F53125">
        <w:rPr>
          <w:rFonts w:ascii="Times New Roman" w:eastAsia="Times New Roman" w:hAnsi="Times New Roman" w:cs="Times New Roman"/>
          <w:sz w:val="28"/>
          <w:szCs w:val="28"/>
        </w:rPr>
        <w:t xml:space="preserve"> </w:t>
      </w:r>
    </w:p>
    <w:p w:rsidR="00A934B4" w:rsidRPr="00F53125"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совокупный доход поступили в сумме </w:t>
      </w:r>
      <w:r w:rsidR="00F53125" w:rsidRPr="00F53125">
        <w:rPr>
          <w:rFonts w:ascii="Times New Roman" w:eastAsia="Times New Roman" w:hAnsi="Times New Roman" w:cs="Times New Roman"/>
          <w:sz w:val="28"/>
          <w:szCs w:val="28"/>
        </w:rPr>
        <w:t>482 922,4</w:t>
      </w:r>
      <w:r w:rsidRPr="00F53125">
        <w:rPr>
          <w:rFonts w:ascii="Times New Roman" w:eastAsia="Times New Roman" w:hAnsi="Times New Roman" w:cs="Times New Roman"/>
          <w:sz w:val="28"/>
          <w:szCs w:val="28"/>
        </w:rPr>
        <w:t xml:space="preserve"> тыс. рублей, что составляет </w:t>
      </w:r>
      <w:r w:rsidR="00F53125" w:rsidRPr="00F53125">
        <w:rPr>
          <w:rFonts w:ascii="Times New Roman" w:eastAsia="Times New Roman" w:hAnsi="Times New Roman" w:cs="Times New Roman"/>
          <w:sz w:val="28"/>
          <w:szCs w:val="28"/>
        </w:rPr>
        <w:t>75,8</w:t>
      </w:r>
      <w:r w:rsidRPr="00F53125">
        <w:rPr>
          <w:rFonts w:ascii="Times New Roman" w:eastAsia="Times New Roman" w:hAnsi="Times New Roman" w:cs="Times New Roman"/>
          <w:sz w:val="28"/>
          <w:szCs w:val="28"/>
        </w:rPr>
        <w:t>% плановых назначений 202</w:t>
      </w:r>
      <w:r w:rsidR="00156B3F"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156B3F"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156B3F" w:rsidRPr="00F53125">
        <w:rPr>
          <w:rFonts w:ascii="Times New Roman" w:eastAsia="Times New Roman" w:hAnsi="Times New Roman" w:cs="Times New Roman"/>
          <w:sz w:val="28"/>
          <w:szCs w:val="28"/>
        </w:rPr>
        <w:t>рост</w:t>
      </w:r>
      <w:r w:rsidRPr="00F53125">
        <w:rPr>
          <w:rFonts w:ascii="Times New Roman" w:eastAsia="Times New Roman" w:hAnsi="Times New Roman" w:cs="Times New Roman"/>
          <w:sz w:val="28"/>
          <w:szCs w:val="28"/>
        </w:rPr>
        <w:t xml:space="preserve"> налогов на совокупный доход составил </w:t>
      </w:r>
      <w:r w:rsidR="00F53125" w:rsidRPr="00F53125">
        <w:rPr>
          <w:rFonts w:ascii="Times New Roman" w:eastAsia="Times New Roman" w:hAnsi="Times New Roman" w:cs="Times New Roman"/>
          <w:sz w:val="28"/>
          <w:szCs w:val="28"/>
        </w:rPr>
        <w:t>52,8</w:t>
      </w:r>
      <w:r w:rsidR="00A66B8B" w:rsidRPr="00F53125">
        <w:rPr>
          <w:rFonts w:ascii="Times New Roman" w:eastAsia="Times New Roman" w:hAnsi="Times New Roman" w:cs="Times New Roman"/>
          <w:sz w:val="28"/>
          <w:szCs w:val="28"/>
        </w:rPr>
        <w:t xml:space="preserve">% </w:t>
      </w:r>
      <w:r w:rsidR="00112FF2" w:rsidRPr="00F53125">
        <w:rPr>
          <w:rFonts w:ascii="Times New Roman" w:hAnsi="Times New Roman" w:cs="Times New Roman"/>
          <w:sz w:val="28"/>
          <w:szCs w:val="28"/>
        </w:rPr>
        <w:t xml:space="preserve">в связи </w:t>
      </w:r>
      <w:r w:rsidR="00665134" w:rsidRPr="00F53125">
        <w:rPr>
          <w:rFonts w:ascii="Times New Roman" w:hAnsi="Times New Roman" w:cs="Times New Roman"/>
          <w:sz w:val="28"/>
          <w:szCs w:val="28"/>
        </w:rPr>
        <w:t xml:space="preserve">с </w:t>
      </w:r>
      <w:r w:rsidR="00E26087">
        <w:rPr>
          <w:rFonts w:ascii="Times New Roman" w:hAnsi="Times New Roman" w:cs="Times New Roman"/>
          <w:sz w:val="28"/>
          <w:szCs w:val="28"/>
        </w:rPr>
        <w:t xml:space="preserve">произведенным в 2023 году  </w:t>
      </w:r>
      <w:r w:rsidR="00E26087" w:rsidRPr="00F53125">
        <w:rPr>
          <w:rFonts w:ascii="Times New Roman" w:hAnsi="Times New Roman" w:cs="Times New Roman"/>
          <w:sz w:val="28"/>
          <w:szCs w:val="28"/>
        </w:rPr>
        <w:t>подъем</w:t>
      </w:r>
      <w:r w:rsidR="00E26087">
        <w:rPr>
          <w:rFonts w:ascii="Times New Roman" w:hAnsi="Times New Roman" w:cs="Times New Roman"/>
          <w:sz w:val="28"/>
          <w:szCs w:val="28"/>
        </w:rPr>
        <w:t>ом</w:t>
      </w:r>
      <w:r w:rsidR="00E26087" w:rsidRPr="00F53125">
        <w:rPr>
          <w:rFonts w:ascii="Times New Roman" w:hAnsi="Times New Roman" w:cs="Times New Roman"/>
          <w:sz w:val="28"/>
          <w:szCs w:val="28"/>
        </w:rPr>
        <w:t xml:space="preserve"> переплаты на ЕНС</w:t>
      </w:r>
      <w:r w:rsidR="00E26087">
        <w:rPr>
          <w:rFonts w:ascii="Times New Roman" w:hAnsi="Times New Roman" w:cs="Times New Roman"/>
          <w:sz w:val="28"/>
          <w:szCs w:val="28"/>
        </w:rPr>
        <w:t>.</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имущество поступили в сумме </w:t>
      </w:r>
      <w:r w:rsidR="00F53125" w:rsidRPr="00F53125">
        <w:rPr>
          <w:rFonts w:ascii="Times New Roman" w:eastAsia="Times New Roman" w:hAnsi="Times New Roman" w:cs="Times New Roman"/>
          <w:sz w:val="28"/>
          <w:szCs w:val="28"/>
        </w:rPr>
        <w:t>38 605,1</w:t>
      </w:r>
      <w:r w:rsidRPr="00F53125">
        <w:rPr>
          <w:rFonts w:ascii="Times New Roman" w:eastAsia="Times New Roman" w:hAnsi="Times New Roman" w:cs="Times New Roman"/>
          <w:sz w:val="28"/>
          <w:szCs w:val="28"/>
        </w:rPr>
        <w:t xml:space="preserve"> тыс. рублей, тем самым плановые назначения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F53125" w:rsidRPr="00F53125">
        <w:rPr>
          <w:rFonts w:ascii="Times New Roman" w:eastAsia="Times New Roman" w:hAnsi="Times New Roman" w:cs="Times New Roman"/>
          <w:sz w:val="28"/>
          <w:szCs w:val="28"/>
        </w:rPr>
        <w:t>24,9</w:t>
      </w:r>
      <w:r w:rsidRPr="00F53125">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C76ABA"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hAnsi="Times New Roman" w:cs="Times New Roman"/>
          <w:sz w:val="28"/>
          <w:szCs w:val="28"/>
        </w:rPr>
        <w:t>Государственная пошлина по состоянию на 01.</w:t>
      </w:r>
      <w:r w:rsidR="00F33831" w:rsidRPr="00F53125">
        <w:rPr>
          <w:rFonts w:ascii="Times New Roman" w:hAnsi="Times New Roman" w:cs="Times New Roman"/>
          <w:sz w:val="28"/>
          <w:szCs w:val="28"/>
        </w:rPr>
        <w:t>0</w:t>
      </w:r>
      <w:r w:rsidR="00F53125" w:rsidRPr="00F53125">
        <w:rPr>
          <w:rFonts w:ascii="Times New Roman" w:hAnsi="Times New Roman" w:cs="Times New Roman"/>
          <w:sz w:val="28"/>
          <w:szCs w:val="28"/>
        </w:rPr>
        <w:t>7</w:t>
      </w:r>
      <w:r w:rsidR="00D25B27" w:rsidRPr="00F53125">
        <w:rPr>
          <w:rFonts w:ascii="Times New Roman" w:hAnsi="Times New Roman" w:cs="Times New Roman"/>
          <w:sz w:val="28"/>
          <w:szCs w:val="28"/>
        </w:rPr>
        <w:t>.202</w:t>
      </w:r>
      <w:r w:rsidR="00851877" w:rsidRPr="00F53125">
        <w:rPr>
          <w:rFonts w:ascii="Times New Roman" w:hAnsi="Times New Roman" w:cs="Times New Roman"/>
          <w:sz w:val="28"/>
          <w:szCs w:val="28"/>
        </w:rPr>
        <w:t>4</w:t>
      </w:r>
      <w:r w:rsidRPr="00F53125">
        <w:rPr>
          <w:rFonts w:ascii="Times New Roman" w:hAnsi="Times New Roman" w:cs="Times New Roman"/>
          <w:sz w:val="28"/>
          <w:szCs w:val="28"/>
        </w:rPr>
        <w:t xml:space="preserve"> поступила в сумме </w:t>
      </w:r>
      <w:r w:rsidR="00F53125" w:rsidRPr="00F53125">
        <w:rPr>
          <w:rFonts w:ascii="Times New Roman" w:hAnsi="Times New Roman" w:cs="Times New Roman"/>
          <w:sz w:val="28"/>
          <w:szCs w:val="28"/>
        </w:rPr>
        <w:t>15 960,5</w:t>
      </w:r>
      <w:r w:rsidRPr="00F53125">
        <w:rPr>
          <w:rFonts w:ascii="Times New Roman" w:hAnsi="Times New Roman" w:cs="Times New Roman"/>
          <w:sz w:val="28"/>
          <w:szCs w:val="28"/>
        </w:rPr>
        <w:t xml:space="preserve"> тыс. рублей, </w:t>
      </w:r>
      <w:r w:rsidRPr="00F53125">
        <w:rPr>
          <w:rFonts w:ascii="Times New Roman" w:eastAsia="Times New Roman" w:hAnsi="Times New Roman" w:cs="Times New Roman"/>
          <w:sz w:val="28"/>
          <w:szCs w:val="28"/>
        </w:rPr>
        <w:t xml:space="preserve">что составляет </w:t>
      </w:r>
      <w:r w:rsidR="00F53125" w:rsidRPr="00F53125">
        <w:rPr>
          <w:rFonts w:ascii="Times New Roman" w:eastAsia="Times New Roman" w:hAnsi="Times New Roman" w:cs="Times New Roman"/>
          <w:sz w:val="28"/>
          <w:szCs w:val="28"/>
        </w:rPr>
        <w:t>42,9</w:t>
      </w:r>
      <w:r w:rsidRPr="00F53125">
        <w:rPr>
          <w:rFonts w:ascii="Times New Roman" w:eastAsia="Times New Roman" w:hAnsi="Times New Roman" w:cs="Times New Roman"/>
          <w:sz w:val="28"/>
          <w:szCs w:val="28"/>
        </w:rPr>
        <w:t>% плановых назначений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851877"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851877" w:rsidRPr="00F53125">
        <w:rPr>
          <w:rFonts w:ascii="Times New Roman" w:eastAsia="Times New Roman" w:hAnsi="Times New Roman" w:cs="Times New Roman"/>
          <w:sz w:val="28"/>
          <w:szCs w:val="28"/>
        </w:rPr>
        <w:t>произош</w:t>
      </w:r>
      <w:r w:rsidR="00F53125" w:rsidRPr="00F53125">
        <w:rPr>
          <w:rFonts w:ascii="Times New Roman" w:eastAsia="Times New Roman" w:hAnsi="Times New Roman" w:cs="Times New Roman"/>
          <w:sz w:val="28"/>
          <w:szCs w:val="28"/>
        </w:rPr>
        <w:t>е</w:t>
      </w:r>
      <w:r w:rsidR="00851877" w:rsidRPr="00F53125">
        <w:rPr>
          <w:rFonts w:ascii="Times New Roman" w:eastAsia="Times New Roman" w:hAnsi="Times New Roman" w:cs="Times New Roman"/>
          <w:sz w:val="28"/>
          <w:szCs w:val="28"/>
        </w:rPr>
        <w:t xml:space="preserve">л </w:t>
      </w:r>
      <w:r w:rsidR="00F53125"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госпошлины </w:t>
      </w:r>
      <w:r w:rsidR="00851877" w:rsidRPr="00C76ABA">
        <w:rPr>
          <w:rFonts w:ascii="Times New Roman" w:eastAsia="Times New Roman" w:hAnsi="Times New Roman" w:cs="Times New Roman"/>
          <w:sz w:val="28"/>
          <w:szCs w:val="28"/>
        </w:rPr>
        <w:t xml:space="preserve">на </w:t>
      </w:r>
      <w:r w:rsidR="00F53125" w:rsidRPr="00C76ABA">
        <w:rPr>
          <w:rFonts w:ascii="Times New Roman" w:eastAsia="Times New Roman" w:hAnsi="Times New Roman" w:cs="Times New Roman"/>
          <w:sz w:val="28"/>
          <w:szCs w:val="28"/>
        </w:rPr>
        <w:t>5,0</w:t>
      </w:r>
      <w:r w:rsidRPr="00C76ABA">
        <w:rPr>
          <w:rFonts w:ascii="Times New Roman" w:eastAsia="Times New Roman" w:hAnsi="Times New Roman" w:cs="Times New Roman"/>
          <w:sz w:val="28"/>
          <w:szCs w:val="28"/>
        </w:rPr>
        <w:t xml:space="preserve">%. </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НЕНАЛОГОВЫЕ ДОХОДЫ</w:t>
      </w:r>
      <w:r w:rsidRPr="00C76ABA">
        <w:rPr>
          <w:rFonts w:ascii="Times New Roman" w:eastAsia="Times New Roman" w:hAnsi="Times New Roman" w:cs="Times New Roman"/>
          <w:sz w:val="28"/>
          <w:szCs w:val="28"/>
        </w:rPr>
        <w:t xml:space="preserve"> по состоянию на 1 </w:t>
      </w:r>
      <w:r w:rsidR="006A002B" w:rsidRPr="00C76ABA">
        <w:rPr>
          <w:rFonts w:ascii="Times New Roman" w:eastAsia="Times New Roman" w:hAnsi="Times New Roman" w:cs="Times New Roman"/>
          <w:sz w:val="28"/>
          <w:szCs w:val="28"/>
        </w:rPr>
        <w:t>июля</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поступили в сумме </w:t>
      </w:r>
      <w:r w:rsidR="006A002B" w:rsidRPr="00C76ABA">
        <w:rPr>
          <w:rFonts w:ascii="Times New Roman" w:eastAsia="Times New Roman" w:hAnsi="Times New Roman" w:cs="Times New Roman"/>
          <w:sz w:val="28"/>
          <w:szCs w:val="28"/>
        </w:rPr>
        <w:t>156 636,8</w:t>
      </w:r>
      <w:r w:rsidRPr="00C76ABA">
        <w:rPr>
          <w:rFonts w:ascii="Times New Roman" w:eastAsia="Times New Roman" w:hAnsi="Times New Roman" w:cs="Times New Roman"/>
          <w:sz w:val="28"/>
          <w:szCs w:val="28"/>
        </w:rPr>
        <w:t xml:space="preserve"> тыс. рублей, плановые назначения 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выполнены на </w:t>
      </w:r>
      <w:r w:rsidR="00C25F0E" w:rsidRPr="00C76ABA">
        <w:rPr>
          <w:rFonts w:ascii="Times New Roman" w:eastAsia="Times New Roman" w:hAnsi="Times New Roman" w:cs="Times New Roman"/>
          <w:sz w:val="28"/>
          <w:szCs w:val="28"/>
        </w:rPr>
        <w:t>72,8</w:t>
      </w:r>
      <w:r w:rsidRPr="00C76ABA">
        <w:rPr>
          <w:rFonts w:ascii="Times New Roman" w:eastAsia="Times New Roman" w:hAnsi="Times New Roman" w:cs="Times New Roman"/>
          <w:sz w:val="28"/>
          <w:szCs w:val="28"/>
        </w:rPr>
        <w:t xml:space="preserve">%. </w:t>
      </w:r>
    </w:p>
    <w:p w:rsidR="004C7E89" w:rsidRPr="00C76ABA" w:rsidRDefault="004C7E89"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Неналоговые доходы бюджета города Ханты-Мансийска за </w:t>
      </w:r>
      <w:r w:rsidR="00C25F0E" w:rsidRPr="00C76ABA">
        <w:rPr>
          <w:rFonts w:ascii="Times New Roman" w:eastAsia="Times New Roman" w:hAnsi="Times New Roman" w:cs="Times New Roman"/>
          <w:b/>
        </w:rPr>
        <w:t>полугодие</w:t>
      </w:r>
      <w:r w:rsidR="003B6363"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BA4E2D"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A1D2F" w:rsidRDefault="004754C4" w:rsidP="00A934B4">
      <w:pPr>
        <w:spacing w:after="0"/>
        <w:ind w:hanging="567"/>
        <w:jc w:val="both"/>
        <w:rPr>
          <w:rFonts w:ascii="Times New Roman" w:eastAsia="Times New Roman" w:hAnsi="Times New Roman" w:cs="Times New Roman"/>
          <w:sz w:val="28"/>
          <w:szCs w:val="28"/>
          <w:highlight w:val="yellow"/>
        </w:rPr>
      </w:pPr>
      <w:r w:rsidRPr="00DA1D2F">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E730E8D" wp14:editId="7F02146E">
            <wp:simplePos x="0" y="0"/>
            <wp:positionH relativeFrom="column">
              <wp:posOffset>2150110</wp:posOffset>
            </wp:positionH>
            <wp:positionV relativeFrom="paragraph">
              <wp:posOffset>1905</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A1D2F">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665134" w:rsidRPr="00DA1D2F" w:rsidRDefault="00665134"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8B12AB" w:rsidRPr="00DA1D2F" w:rsidRDefault="008B12AB"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Неналоговые доходы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46252E"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25F0E" w:rsidRPr="00C76ABA">
        <w:rPr>
          <w:rFonts w:ascii="Times New Roman" w:eastAsia="Times New Roman" w:hAnsi="Times New Roman" w:cs="Times New Roman"/>
          <w:sz w:val="28"/>
          <w:szCs w:val="28"/>
        </w:rPr>
        <w:t>152 557,7</w:t>
      </w:r>
      <w:r w:rsidRPr="00C76ABA">
        <w:rPr>
          <w:rFonts w:ascii="Times New Roman" w:eastAsia="Times New Roman" w:hAnsi="Times New Roman" w:cs="Times New Roman"/>
          <w:sz w:val="28"/>
          <w:szCs w:val="28"/>
        </w:rPr>
        <w:t xml:space="preserve"> тыс. рублей, </w:t>
      </w:r>
      <w:r w:rsidR="00C25F0E"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неналоговых доходов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202</w:t>
      </w:r>
      <w:r w:rsidR="00133762"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25F0E" w:rsidRPr="00C76ABA">
        <w:rPr>
          <w:rFonts w:ascii="Times New Roman" w:eastAsia="Times New Roman" w:hAnsi="Times New Roman" w:cs="Times New Roman"/>
          <w:sz w:val="28"/>
          <w:szCs w:val="28"/>
        </w:rPr>
        <w:t>2,7</w:t>
      </w:r>
      <w:r w:rsidRPr="00C76ABA">
        <w:rPr>
          <w:rFonts w:ascii="Times New Roman" w:eastAsia="Times New Roman" w:hAnsi="Times New Roman" w:cs="Times New Roman"/>
          <w:sz w:val="28"/>
          <w:szCs w:val="28"/>
        </w:rPr>
        <w:t xml:space="preserve">% или </w:t>
      </w:r>
      <w:r w:rsidR="00C25F0E" w:rsidRPr="00C76ABA">
        <w:rPr>
          <w:rFonts w:ascii="Times New Roman" w:eastAsia="Times New Roman" w:hAnsi="Times New Roman" w:cs="Times New Roman"/>
          <w:sz w:val="28"/>
          <w:szCs w:val="28"/>
        </w:rPr>
        <w:t>4 079,1</w:t>
      </w:r>
      <w:r w:rsidRPr="00C76ABA">
        <w:rPr>
          <w:rFonts w:ascii="Times New Roman" w:eastAsia="Times New Roman" w:hAnsi="Times New Roman" w:cs="Times New Roman"/>
          <w:sz w:val="28"/>
          <w:szCs w:val="28"/>
        </w:rPr>
        <w:t xml:space="preserve"> тыс. рублей.</w:t>
      </w:r>
    </w:p>
    <w:p w:rsidR="00E26087" w:rsidRPr="00C76ABA"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AC3678" w:rsidRDefault="00A934B4" w:rsidP="00A934B4">
      <w:pPr>
        <w:spacing w:after="0" w:line="300" w:lineRule="auto"/>
        <w:jc w:val="both"/>
        <w:rPr>
          <w:rFonts w:ascii="Times New Roman" w:eastAsia="Times New Roman" w:hAnsi="Times New Roman" w:cs="Times New Roman"/>
          <w:sz w:val="28"/>
          <w:szCs w:val="28"/>
        </w:rPr>
      </w:pPr>
      <w:r w:rsidRPr="00AC3678">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C3678" w:rsidRDefault="00A934B4" w:rsidP="00A934B4">
      <w:pPr>
        <w:spacing w:after="0"/>
        <w:ind w:firstLine="709"/>
        <w:jc w:val="both"/>
        <w:rPr>
          <w:rFonts w:ascii="Times New Roman" w:hAnsi="Times New Roman" w:cs="Times New Roman"/>
          <w:sz w:val="28"/>
          <w:szCs w:val="28"/>
        </w:rPr>
      </w:pPr>
      <w:r w:rsidRPr="00AC367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AC3678" w:rsidRPr="00AC3678">
        <w:rPr>
          <w:rFonts w:ascii="Times New Roman" w:eastAsia="Times New Roman" w:hAnsi="Times New Roman" w:cs="Times New Roman"/>
          <w:sz w:val="28"/>
          <w:szCs w:val="28"/>
        </w:rPr>
        <w:t>45 771,7</w:t>
      </w:r>
      <w:r w:rsidRPr="00AC3678">
        <w:rPr>
          <w:rFonts w:ascii="Times New Roman" w:eastAsia="Times New Roman" w:hAnsi="Times New Roman" w:cs="Times New Roman"/>
          <w:sz w:val="28"/>
          <w:szCs w:val="28"/>
        </w:rPr>
        <w:t xml:space="preserve"> тыс. рублей, что составило </w:t>
      </w:r>
      <w:r w:rsidR="00AC3678" w:rsidRPr="00AC3678">
        <w:rPr>
          <w:rFonts w:ascii="Times New Roman" w:eastAsia="Times New Roman" w:hAnsi="Times New Roman" w:cs="Times New Roman"/>
          <w:sz w:val="28"/>
          <w:szCs w:val="28"/>
        </w:rPr>
        <w:t>30,6</w:t>
      </w:r>
      <w:r w:rsidRPr="00AC3678">
        <w:rPr>
          <w:rFonts w:ascii="Times New Roman" w:eastAsia="Times New Roman" w:hAnsi="Times New Roman" w:cs="Times New Roman"/>
          <w:sz w:val="28"/>
          <w:szCs w:val="28"/>
        </w:rPr>
        <w:t>% от плановых назначений на 202</w:t>
      </w:r>
      <w:r w:rsidR="001D2B62" w:rsidRPr="00AC3678">
        <w:rPr>
          <w:rFonts w:ascii="Times New Roman" w:eastAsia="Times New Roman" w:hAnsi="Times New Roman" w:cs="Times New Roman"/>
          <w:sz w:val="28"/>
          <w:szCs w:val="28"/>
        </w:rPr>
        <w:t>4</w:t>
      </w:r>
      <w:r w:rsidRPr="00AC3678">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AC3678">
        <w:rPr>
          <w:rFonts w:ascii="Times New Roman" w:eastAsia="Times New Roman" w:hAnsi="Times New Roman" w:cs="Times New Roman"/>
          <w:sz w:val="28"/>
          <w:szCs w:val="28"/>
        </w:rPr>
        <w:t>ло</w:t>
      </w:r>
      <w:r w:rsidRPr="00AC3678">
        <w:rPr>
          <w:rFonts w:ascii="Times New Roman" w:eastAsia="Times New Roman" w:hAnsi="Times New Roman" w:cs="Times New Roman"/>
          <w:sz w:val="28"/>
          <w:szCs w:val="28"/>
        </w:rPr>
        <w:t xml:space="preserve"> </w:t>
      </w:r>
      <w:r w:rsidR="001D2B62" w:rsidRPr="00AC3678">
        <w:rPr>
          <w:rFonts w:ascii="Times New Roman" w:eastAsia="Times New Roman" w:hAnsi="Times New Roman" w:cs="Times New Roman"/>
          <w:sz w:val="28"/>
          <w:szCs w:val="28"/>
        </w:rPr>
        <w:t>снижение</w:t>
      </w:r>
      <w:r w:rsidR="00511774" w:rsidRPr="00AC3678">
        <w:rPr>
          <w:rFonts w:ascii="Times New Roman" w:eastAsia="Times New Roman" w:hAnsi="Times New Roman" w:cs="Times New Roman"/>
          <w:sz w:val="28"/>
          <w:szCs w:val="28"/>
        </w:rPr>
        <w:t xml:space="preserve"> </w:t>
      </w:r>
      <w:r w:rsidR="0044366A" w:rsidRPr="00AC3678">
        <w:rPr>
          <w:rFonts w:ascii="Times New Roman" w:eastAsia="Times New Roman" w:hAnsi="Times New Roman" w:cs="Times New Roman"/>
          <w:sz w:val="28"/>
          <w:szCs w:val="28"/>
        </w:rPr>
        <w:t xml:space="preserve">поступлений на </w:t>
      </w:r>
      <w:r w:rsidR="00AC3678" w:rsidRPr="00AC3678">
        <w:rPr>
          <w:rFonts w:ascii="Times New Roman" w:eastAsia="Times New Roman" w:hAnsi="Times New Roman" w:cs="Times New Roman"/>
          <w:sz w:val="28"/>
          <w:szCs w:val="28"/>
        </w:rPr>
        <w:t>56,4</w:t>
      </w:r>
      <w:r w:rsidR="0044366A" w:rsidRPr="00AC3678">
        <w:rPr>
          <w:rFonts w:ascii="Times New Roman" w:eastAsia="Times New Roman" w:hAnsi="Times New Roman" w:cs="Times New Roman"/>
          <w:sz w:val="28"/>
          <w:szCs w:val="28"/>
        </w:rPr>
        <w:t>%</w:t>
      </w:r>
      <w:r w:rsidR="00291FC5" w:rsidRPr="00AC3678">
        <w:rPr>
          <w:rFonts w:ascii="Times New Roman" w:eastAsia="Times New Roman" w:hAnsi="Times New Roman" w:cs="Times New Roman"/>
          <w:sz w:val="28"/>
          <w:szCs w:val="28"/>
        </w:rPr>
        <w:t xml:space="preserve"> в связи с поступлением </w:t>
      </w:r>
      <w:r w:rsidR="00AD3510" w:rsidRPr="00AC3678">
        <w:rPr>
          <w:rFonts w:ascii="Times New Roman" w:eastAsia="Times New Roman" w:hAnsi="Times New Roman" w:cs="Times New Roman"/>
          <w:sz w:val="28"/>
          <w:szCs w:val="28"/>
        </w:rPr>
        <w:t xml:space="preserve"> в 2023 году задолженности  прош</w:t>
      </w:r>
      <w:r w:rsidR="00291FC5" w:rsidRPr="00AC3678">
        <w:rPr>
          <w:rFonts w:ascii="Times New Roman" w:eastAsia="Times New Roman" w:hAnsi="Times New Roman" w:cs="Times New Roman"/>
          <w:sz w:val="28"/>
          <w:szCs w:val="28"/>
        </w:rPr>
        <w:t>лых лет по договорам аренды земельных участков</w:t>
      </w:r>
      <w:r w:rsidR="00511774" w:rsidRPr="00AC3678">
        <w:rPr>
          <w:rFonts w:ascii="Times New Roman" w:eastAsia="Times New Roman" w:hAnsi="Times New Roman" w:cs="Times New Roman"/>
          <w:sz w:val="28"/>
          <w:szCs w:val="28"/>
        </w:rPr>
        <w:t>.</w:t>
      </w:r>
      <w:r w:rsidR="0044366A" w:rsidRPr="00AC3678">
        <w:rPr>
          <w:rFonts w:ascii="Times New Roman" w:eastAsia="Times New Roman" w:hAnsi="Times New Roman" w:cs="Times New Roman"/>
          <w:sz w:val="28"/>
          <w:szCs w:val="28"/>
        </w:rPr>
        <w:t xml:space="preserve"> </w:t>
      </w:r>
    </w:p>
    <w:p w:rsidR="00A934B4" w:rsidRPr="0033691B" w:rsidRDefault="00A934B4" w:rsidP="005C0A8E">
      <w:pPr>
        <w:spacing w:after="0"/>
        <w:ind w:firstLine="709"/>
        <w:jc w:val="both"/>
        <w:rPr>
          <w:rFonts w:ascii="Times New Roman" w:hAnsi="Times New Roman" w:cs="Times New Roman"/>
          <w:color w:val="000000" w:themeColor="text1"/>
          <w:sz w:val="28"/>
          <w:szCs w:val="28"/>
        </w:rPr>
      </w:pPr>
      <w:r w:rsidRPr="00AC3678">
        <w:rPr>
          <w:rFonts w:ascii="Times New Roman" w:eastAsia="Times New Roman" w:hAnsi="Times New Roman" w:cs="Times New Roman"/>
          <w:sz w:val="28"/>
          <w:szCs w:val="28"/>
        </w:rPr>
        <w:t xml:space="preserve">Платежи за пользование природными ресурсами составили </w:t>
      </w:r>
      <w:r w:rsidR="00AC3678" w:rsidRPr="00AC3678">
        <w:rPr>
          <w:rFonts w:ascii="Times New Roman" w:eastAsia="Times New Roman" w:hAnsi="Times New Roman" w:cs="Times New Roman"/>
          <w:sz w:val="28"/>
          <w:szCs w:val="28"/>
        </w:rPr>
        <w:t>3 202,0</w:t>
      </w:r>
      <w:r w:rsidRPr="00AC3678">
        <w:rPr>
          <w:rFonts w:ascii="Times New Roman" w:eastAsia="Times New Roman" w:hAnsi="Times New Roman" w:cs="Times New Roman"/>
          <w:sz w:val="28"/>
          <w:szCs w:val="28"/>
        </w:rPr>
        <w:t xml:space="preserve"> тыс. рублей. </w:t>
      </w:r>
      <w:r w:rsidR="00122DA5" w:rsidRPr="00AC3678">
        <w:rPr>
          <w:rFonts w:ascii="Times New Roman" w:eastAsia="Times New Roman" w:hAnsi="Times New Roman" w:cs="Times New Roman"/>
          <w:sz w:val="28"/>
          <w:szCs w:val="28"/>
        </w:rPr>
        <w:t>З</w:t>
      </w:r>
      <w:r w:rsidR="00EA1DCA" w:rsidRPr="00AC3678">
        <w:rPr>
          <w:rFonts w:ascii="Times New Roman" w:eastAsia="Times New Roman" w:hAnsi="Times New Roman" w:cs="Times New Roman"/>
          <w:sz w:val="28"/>
          <w:szCs w:val="28"/>
        </w:rPr>
        <w:t>а аналогичный период 202</w:t>
      </w:r>
      <w:r w:rsidR="000B744B"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0B744B" w:rsidRPr="00AC3678">
        <w:rPr>
          <w:rFonts w:ascii="Times New Roman" w:eastAsia="Times New Roman" w:hAnsi="Times New Roman" w:cs="Times New Roman"/>
          <w:sz w:val="28"/>
          <w:szCs w:val="28"/>
        </w:rPr>
        <w:t>-</w:t>
      </w:r>
      <w:r w:rsidR="00AC3678" w:rsidRPr="00AC3678">
        <w:rPr>
          <w:rFonts w:ascii="Times New Roman" w:eastAsia="Times New Roman" w:hAnsi="Times New Roman" w:cs="Times New Roman"/>
          <w:sz w:val="28"/>
          <w:szCs w:val="28"/>
        </w:rPr>
        <w:t>962,3</w:t>
      </w:r>
      <w:r w:rsidR="00EA1DCA" w:rsidRPr="00AC3678">
        <w:rPr>
          <w:rFonts w:ascii="Times New Roman" w:eastAsia="Times New Roman" w:hAnsi="Times New Roman" w:cs="Times New Roman"/>
          <w:sz w:val="28"/>
          <w:szCs w:val="28"/>
        </w:rPr>
        <w:t xml:space="preserve"> тыс. рублей. В течении 202</w:t>
      </w:r>
      <w:r w:rsidR="00511774"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производи</w:t>
      </w:r>
      <w:r w:rsidR="00674B89" w:rsidRPr="00AC3678">
        <w:rPr>
          <w:rFonts w:ascii="Times New Roman" w:eastAsia="Times New Roman" w:hAnsi="Times New Roman" w:cs="Times New Roman"/>
          <w:sz w:val="28"/>
          <w:szCs w:val="28"/>
        </w:rPr>
        <w:t>л</w:t>
      </w:r>
      <w:r w:rsidR="00EA1DCA" w:rsidRPr="00AC3678">
        <w:rPr>
          <w:rFonts w:ascii="Times New Roman" w:eastAsia="Times New Roman" w:hAnsi="Times New Roman" w:cs="Times New Roman"/>
          <w:sz w:val="28"/>
          <w:szCs w:val="28"/>
        </w:rPr>
        <w:t>ся</w:t>
      </w:r>
      <w:r w:rsidRPr="00AC3678">
        <w:rPr>
          <w:rFonts w:ascii="Times New Roman" w:hAnsi="Times New Roman" w:cs="Times New Roman"/>
          <w:color w:val="000000" w:themeColor="text1"/>
          <w:sz w:val="28"/>
          <w:szCs w:val="28"/>
        </w:rPr>
        <w:t xml:space="preserve"> </w:t>
      </w:r>
      <w:r w:rsidR="00017107" w:rsidRPr="00AC3678">
        <w:rPr>
          <w:rFonts w:ascii="Times New Roman" w:hAnsi="Times New Roman" w:cs="Times New Roman"/>
          <w:color w:val="000000" w:themeColor="text1"/>
          <w:sz w:val="28"/>
          <w:szCs w:val="28"/>
        </w:rPr>
        <w:t xml:space="preserve">возврат </w:t>
      </w:r>
      <w:r w:rsidR="00A66B8B" w:rsidRPr="00AC3678">
        <w:rPr>
          <w:rFonts w:ascii="Times New Roman" w:hAnsi="Times New Roman" w:cs="Times New Roman"/>
          <w:color w:val="000000" w:themeColor="text1"/>
          <w:sz w:val="28"/>
          <w:szCs w:val="28"/>
        </w:rPr>
        <w:t xml:space="preserve">ошибочно поступивших платежей за негативное воздействие на окружающую среду, администрируемых </w:t>
      </w:r>
      <w:r w:rsidR="00A66B8B" w:rsidRPr="0033691B">
        <w:rPr>
          <w:rFonts w:ascii="Times New Roman" w:hAnsi="Times New Roman" w:cs="Times New Roman"/>
          <w:color w:val="000000" w:themeColor="text1"/>
          <w:sz w:val="28"/>
          <w:szCs w:val="28"/>
        </w:rPr>
        <w:t>Росприроднадзором.</w:t>
      </w:r>
    </w:p>
    <w:p w:rsidR="00A934B4" w:rsidRPr="0033691B" w:rsidRDefault="00A934B4" w:rsidP="005C0A8E">
      <w:pPr>
        <w:spacing w:after="0"/>
        <w:ind w:firstLine="708"/>
        <w:jc w:val="both"/>
        <w:rPr>
          <w:rFonts w:ascii="Times New Roman" w:eastAsia="Times New Roman" w:hAnsi="Times New Roman" w:cs="Times New Roman"/>
          <w:sz w:val="28"/>
          <w:szCs w:val="28"/>
        </w:rPr>
      </w:pPr>
      <w:r w:rsidRPr="0033691B">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33691B" w:rsidRPr="0033691B">
        <w:rPr>
          <w:rFonts w:ascii="Times New Roman" w:eastAsia="Times New Roman" w:hAnsi="Times New Roman" w:cs="Times New Roman"/>
          <w:sz w:val="28"/>
          <w:szCs w:val="28"/>
        </w:rPr>
        <w:t>84 388,9</w:t>
      </w:r>
      <w:r w:rsidRPr="0033691B">
        <w:rPr>
          <w:rFonts w:ascii="Times New Roman" w:eastAsia="Times New Roman" w:hAnsi="Times New Roman" w:cs="Times New Roman"/>
          <w:sz w:val="28"/>
          <w:szCs w:val="28"/>
        </w:rPr>
        <w:t xml:space="preserve"> тыс. рублей. </w:t>
      </w:r>
      <w:r w:rsidR="00EA1DCA" w:rsidRPr="0033691B">
        <w:rPr>
          <w:rFonts w:ascii="Times New Roman" w:hAnsi="Times New Roman" w:cs="Times New Roman"/>
          <w:color w:val="000000" w:themeColor="text1"/>
          <w:sz w:val="28"/>
          <w:szCs w:val="28"/>
        </w:rPr>
        <w:t>По сравнению с аналогичным периодом 202</w:t>
      </w:r>
      <w:r w:rsidR="005E52A6" w:rsidRPr="0033691B">
        <w:rPr>
          <w:rFonts w:ascii="Times New Roman" w:hAnsi="Times New Roman" w:cs="Times New Roman"/>
          <w:color w:val="000000" w:themeColor="text1"/>
          <w:sz w:val="28"/>
          <w:szCs w:val="28"/>
        </w:rPr>
        <w:t>3</w:t>
      </w:r>
      <w:r w:rsidR="00EA1DCA" w:rsidRPr="0033691B">
        <w:rPr>
          <w:rFonts w:ascii="Times New Roman" w:hAnsi="Times New Roman" w:cs="Times New Roman"/>
          <w:color w:val="000000" w:themeColor="text1"/>
          <w:sz w:val="28"/>
          <w:szCs w:val="28"/>
        </w:rPr>
        <w:t xml:space="preserve"> года </w:t>
      </w:r>
      <w:r w:rsidR="00900AA2" w:rsidRPr="0033691B">
        <w:rPr>
          <w:rFonts w:ascii="Times New Roman" w:hAnsi="Times New Roman" w:cs="Times New Roman"/>
          <w:color w:val="000000" w:themeColor="text1"/>
          <w:sz w:val="28"/>
          <w:szCs w:val="28"/>
        </w:rPr>
        <w:t xml:space="preserve">рост </w:t>
      </w:r>
      <w:r w:rsidR="00EA1DCA" w:rsidRPr="0033691B">
        <w:rPr>
          <w:rFonts w:ascii="Times New Roman" w:hAnsi="Times New Roman" w:cs="Times New Roman"/>
          <w:color w:val="000000" w:themeColor="text1"/>
          <w:sz w:val="28"/>
          <w:szCs w:val="28"/>
        </w:rPr>
        <w:t>поступлений составил</w:t>
      </w:r>
      <w:r w:rsidR="005E52A6" w:rsidRPr="0033691B">
        <w:rPr>
          <w:rFonts w:ascii="Times New Roman" w:hAnsi="Times New Roman" w:cs="Times New Roman"/>
          <w:color w:val="000000" w:themeColor="text1"/>
          <w:sz w:val="28"/>
          <w:szCs w:val="28"/>
        </w:rPr>
        <w:t xml:space="preserve"> </w:t>
      </w:r>
      <w:r w:rsidR="0033691B" w:rsidRPr="0033691B">
        <w:rPr>
          <w:rFonts w:ascii="Times New Roman" w:hAnsi="Times New Roman" w:cs="Times New Roman"/>
          <w:color w:val="000000" w:themeColor="text1"/>
          <w:sz w:val="28"/>
          <w:szCs w:val="28"/>
        </w:rPr>
        <w:t>80 983,1</w:t>
      </w:r>
      <w:r w:rsidR="00EA1DCA" w:rsidRPr="0033691B">
        <w:rPr>
          <w:rFonts w:ascii="Times New Roman" w:hAnsi="Times New Roman" w:cs="Times New Roman"/>
          <w:color w:val="000000" w:themeColor="text1"/>
          <w:sz w:val="28"/>
          <w:szCs w:val="28"/>
        </w:rPr>
        <w:t xml:space="preserve"> тыс. рублей, в связи с </w:t>
      </w:r>
      <w:r w:rsidR="00164080" w:rsidRPr="0033691B">
        <w:rPr>
          <w:rFonts w:ascii="Times New Roman" w:hAnsi="Times New Roman" w:cs="Times New Roman"/>
          <w:color w:val="000000" w:themeColor="text1"/>
          <w:sz w:val="28"/>
          <w:szCs w:val="28"/>
        </w:rPr>
        <w:t>возвратом неиспользованн</w:t>
      </w:r>
      <w:r w:rsidR="0033691B" w:rsidRPr="0033691B">
        <w:rPr>
          <w:rFonts w:ascii="Times New Roman" w:hAnsi="Times New Roman" w:cs="Times New Roman"/>
          <w:color w:val="000000" w:themeColor="text1"/>
          <w:sz w:val="28"/>
          <w:szCs w:val="28"/>
        </w:rPr>
        <w:t>ой</w:t>
      </w:r>
      <w:r w:rsidR="00164080" w:rsidRPr="0033691B">
        <w:rPr>
          <w:rFonts w:ascii="Times New Roman" w:hAnsi="Times New Roman" w:cs="Times New Roman"/>
          <w:color w:val="000000" w:themeColor="text1"/>
          <w:sz w:val="28"/>
          <w:szCs w:val="28"/>
        </w:rPr>
        <w:t xml:space="preserve"> суб</w:t>
      </w:r>
      <w:r w:rsidR="00D66D7F" w:rsidRPr="0033691B">
        <w:rPr>
          <w:rFonts w:ascii="Times New Roman" w:hAnsi="Times New Roman" w:cs="Times New Roman"/>
          <w:color w:val="000000" w:themeColor="text1"/>
          <w:sz w:val="28"/>
          <w:szCs w:val="28"/>
        </w:rPr>
        <w:t>с</w:t>
      </w:r>
      <w:r w:rsidR="00164080" w:rsidRPr="0033691B">
        <w:rPr>
          <w:rFonts w:ascii="Times New Roman" w:hAnsi="Times New Roman" w:cs="Times New Roman"/>
          <w:color w:val="000000" w:themeColor="text1"/>
          <w:sz w:val="28"/>
          <w:szCs w:val="28"/>
        </w:rPr>
        <w:t>иди</w:t>
      </w:r>
      <w:r w:rsidR="0033691B" w:rsidRPr="0033691B">
        <w:rPr>
          <w:rFonts w:ascii="Times New Roman" w:hAnsi="Times New Roman" w:cs="Times New Roman"/>
          <w:color w:val="000000" w:themeColor="text1"/>
          <w:sz w:val="28"/>
          <w:szCs w:val="28"/>
        </w:rPr>
        <w:t>и</w:t>
      </w:r>
      <w:r w:rsidR="00A41BB5">
        <w:rPr>
          <w:rFonts w:ascii="Times New Roman" w:hAnsi="Times New Roman" w:cs="Times New Roman"/>
          <w:color w:val="000000" w:themeColor="text1"/>
          <w:sz w:val="28"/>
          <w:szCs w:val="28"/>
        </w:rPr>
        <w:t>.</w:t>
      </w:r>
      <w:r w:rsidR="0033691B" w:rsidRPr="0033691B">
        <w:rPr>
          <w:rFonts w:ascii="Times New Roman" w:hAnsi="Times New Roman" w:cs="Times New Roman"/>
          <w:color w:val="000000" w:themeColor="text1"/>
          <w:sz w:val="28"/>
          <w:szCs w:val="28"/>
        </w:rPr>
        <w:t xml:space="preserve"> </w:t>
      </w:r>
    </w:p>
    <w:p w:rsidR="005D2F69" w:rsidRPr="005D59E5" w:rsidRDefault="00A934B4" w:rsidP="00A934B4">
      <w:pPr>
        <w:spacing w:after="0" w:line="300" w:lineRule="auto"/>
        <w:ind w:firstLine="709"/>
        <w:jc w:val="both"/>
        <w:rPr>
          <w:rFonts w:ascii="Times New Roman" w:hAnsi="Times New Roman" w:cs="Times New Roman"/>
          <w:color w:val="000000" w:themeColor="text1"/>
          <w:sz w:val="28"/>
          <w:szCs w:val="28"/>
        </w:rPr>
      </w:pPr>
      <w:r w:rsidRPr="0033691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3691B" w:rsidRPr="0033691B">
        <w:rPr>
          <w:rFonts w:ascii="Times New Roman" w:eastAsia="Times New Roman" w:hAnsi="Times New Roman" w:cs="Times New Roman"/>
          <w:sz w:val="28"/>
          <w:szCs w:val="28"/>
        </w:rPr>
        <w:t>45 862,9</w:t>
      </w:r>
      <w:r w:rsidRPr="0033691B">
        <w:rPr>
          <w:rFonts w:ascii="Times New Roman" w:eastAsia="Times New Roman" w:hAnsi="Times New Roman" w:cs="Times New Roman"/>
          <w:sz w:val="28"/>
          <w:szCs w:val="28"/>
        </w:rPr>
        <w:t xml:space="preserve"> тыс. рублей, что составило </w:t>
      </w:r>
      <w:r w:rsidR="0033691B" w:rsidRPr="0033691B">
        <w:rPr>
          <w:rFonts w:ascii="Times New Roman" w:eastAsia="Times New Roman" w:hAnsi="Times New Roman" w:cs="Times New Roman"/>
          <w:sz w:val="28"/>
          <w:szCs w:val="28"/>
        </w:rPr>
        <w:t>86,4</w:t>
      </w:r>
      <w:r w:rsidRPr="0033691B">
        <w:rPr>
          <w:rFonts w:ascii="Times New Roman" w:eastAsia="Times New Roman" w:hAnsi="Times New Roman" w:cs="Times New Roman"/>
          <w:sz w:val="28"/>
          <w:szCs w:val="28"/>
        </w:rPr>
        <w:t>% от плановых назначений, установленных на 202</w:t>
      </w:r>
      <w:r w:rsidR="005E52A6" w:rsidRPr="0033691B">
        <w:rPr>
          <w:rFonts w:ascii="Times New Roman" w:eastAsia="Times New Roman" w:hAnsi="Times New Roman" w:cs="Times New Roman"/>
          <w:sz w:val="28"/>
          <w:szCs w:val="28"/>
        </w:rPr>
        <w:t>4</w:t>
      </w:r>
      <w:r w:rsidRPr="0033691B">
        <w:rPr>
          <w:rFonts w:ascii="Times New Roman" w:eastAsia="Times New Roman" w:hAnsi="Times New Roman" w:cs="Times New Roman"/>
          <w:sz w:val="28"/>
          <w:szCs w:val="28"/>
        </w:rPr>
        <w:t xml:space="preserve"> год. </w:t>
      </w:r>
      <w:r w:rsidRPr="0033691B">
        <w:rPr>
          <w:rFonts w:ascii="Times New Roman" w:hAnsi="Times New Roman" w:cs="Times New Roman"/>
          <w:color w:val="000000" w:themeColor="text1"/>
          <w:sz w:val="28"/>
          <w:szCs w:val="28"/>
        </w:rPr>
        <w:t>По отношению к аналогичному периоду 202</w:t>
      </w:r>
      <w:r w:rsidR="005E52A6" w:rsidRPr="0033691B">
        <w:rPr>
          <w:rFonts w:ascii="Times New Roman" w:hAnsi="Times New Roman" w:cs="Times New Roman"/>
          <w:color w:val="000000" w:themeColor="text1"/>
          <w:sz w:val="28"/>
          <w:szCs w:val="28"/>
        </w:rPr>
        <w:t>3</w:t>
      </w:r>
      <w:r w:rsidRPr="0033691B">
        <w:rPr>
          <w:rFonts w:ascii="Times New Roman" w:hAnsi="Times New Roman" w:cs="Times New Roman"/>
          <w:color w:val="000000" w:themeColor="text1"/>
          <w:sz w:val="28"/>
          <w:szCs w:val="28"/>
        </w:rPr>
        <w:t xml:space="preserve"> года произош</w:t>
      </w:r>
      <w:r w:rsidR="005E52A6" w:rsidRPr="0033691B">
        <w:rPr>
          <w:rFonts w:ascii="Times New Roman" w:hAnsi="Times New Roman" w:cs="Times New Roman"/>
          <w:color w:val="000000" w:themeColor="text1"/>
          <w:sz w:val="28"/>
          <w:szCs w:val="28"/>
        </w:rPr>
        <w:t>ел</w:t>
      </w:r>
      <w:r w:rsidR="00680A9D" w:rsidRPr="0033691B">
        <w:rPr>
          <w:rFonts w:ascii="Times New Roman" w:hAnsi="Times New Roman" w:cs="Times New Roman"/>
          <w:color w:val="000000" w:themeColor="text1"/>
          <w:sz w:val="28"/>
          <w:szCs w:val="28"/>
        </w:rPr>
        <w:t xml:space="preserve"> </w:t>
      </w:r>
      <w:r w:rsidR="005E52A6" w:rsidRPr="0033691B">
        <w:rPr>
          <w:rFonts w:ascii="Times New Roman" w:hAnsi="Times New Roman" w:cs="Times New Roman"/>
          <w:color w:val="000000" w:themeColor="text1"/>
          <w:sz w:val="28"/>
          <w:szCs w:val="28"/>
        </w:rPr>
        <w:t>рост</w:t>
      </w:r>
      <w:r w:rsidRPr="0033691B">
        <w:rPr>
          <w:rFonts w:ascii="Times New Roman" w:hAnsi="Times New Roman" w:cs="Times New Roman"/>
          <w:color w:val="000000" w:themeColor="text1"/>
          <w:sz w:val="28"/>
          <w:szCs w:val="28"/>
        </w:rPr>
        <w:t xml:space="preserve"> поступлений на </w:t>
      </w:r>
      <w:r w:rsidR="0033691B" w:rsidRPr="0033691B">
        <w:rPr>
          <w:rFonts w:ascii="Times New Roman" w:hAnsi="Times New Roman" w:cs="Times New Roman"/>
          <w:color w:val="000000" w:themeColor="text1"/>
          <w:sz w:val="28"/>
          <w:szCs w:val="28"/>
        </w:rPr>
        <w:t>13 126,8</w:t>
      </w:r>
      <w:r w:rsidR="005E52A6" w:rsidRPr="0033691B">
        <w:rPr>
          <w:rFonts w:ascii="Times New Roman" w:hAnsi="Times New Roman" w:cs="Times New Roman"/>
          <w:color w:val="000000" w:themeColor="text1"/>
          <w:sz w:val="28"/>
          <w:szCs w:val="28"/>
        </w:rPr>
        <w:t xml:space="preserve"> тыс. рублей</w:t>
      </w:r>
      <w:r w:rsidR="00EA1DCA" w:rsidRPr="0033691B">
        <w:rPr>
          <w:rFonts w:ascii="Times New Roman" w:hAnsi="Times New Roman" w:cs="Times New Roman"/>
          <w:color w:val="000000" w:themeColor="text1"/>
          <w:sz w:val="28"/>
          <w:szCs w:val="28"/>
        </w:rPr>
        <w:t xml:space="preserve">, </w:t>
      </w:r>
      <w:r w:rsidR="00A66B8B" w:rsidRPr="0033691B">
        <w:rPr>
          <w:rFonts w:ascii="Times New Roman" w:hAnsi="Times New Roman" w:cs="Times New Roman"/>
          <w:color w:val="000000" w:themeColor="text1"/>
          <w:sz w:val="28"/>
          <w:szCs w:val="28"/>
        </w:rPr>
        <w:t xml:space="preserve">в связи </w:t>
      </w:r>
      <w:r w:rsidR="0082476D" w:rsidRPr="0033691B">
        <w:rPr>
          <w:rFonts w:ascii="Times New Roman" w:hAnsi="Times New Roman" w:cs="Times New Roman"/>
          <w:color w:val="000000" w:themeColor="text1"/>
          <w:sz w:val="28"/>
          <w:szCs w:val="28"/>
        </w:rPr>
        <w:t>с п</w:t>
      </w:r>
      <w:r w:rsidR="005E52A6" w:rsidRPr="0033691B">
        <w:rPr>
          <w:rFonts w:ascii="Times New Roman" w:hAnsi="Times New Roman" w:cs="Times New Roman"/>
          <w:color w:val="000000" w:themeColor="text1"/>
          <w:sz w:val="28"/>
          <w:szCs w:val="28"/>
        </w:rPr>
        <w:t>оступление</w:t>
      </w:r>
      <w:r w:rsidR="0082476D" w:rsidRPr="0033691B">
        <w:rPr>
          <w:rFonts w:ascii="Times New Roman" w:hAnsi="Times New Roman" w:cs="Times New Roman"/>
          <w:color w:val="000000" w:themeColor="text1"/>
          <w:sz w:val="28"/>
          <w:szCs w:val="28"/>
        </w:rPr>
        <w:t>м</w:t>
      </w:r>
      <w:r w:rsidR="005E52A6" w:rsidRPr="0033691B">
        <w:rPr>
          <w:rFonts w:ascii="Times New Roman" w:hAnsi="Times New Roman" w:cs="Times New Roman"/>
          <w:color w:val="000000" w:themeColor="text1"/>
          <w:sz w:val="28"/>
          <w:szCs w:val="28"/>
        </w:rPr>
        <w:t xml:space="preserve"> в 2024 году денежных средств от продажи </w:t>
      </w:r>
      <w:r w:rsidR="005E52A6" w:rsidRPr="005D59E5">
        <w:rPr>
          <w:rFonts w:ascii="Times New Roman" w:hAnsi="Times New Roman" w:cs="Times New Roman"/>
          <w:color w:val="000000" w:themeColor="text1"/>
          <w:sz w:val="28"/>
          <w:szCs w:val="28"/>
        </w:rPr>
        <w:t>земельн</w:t>
      </w:r>
      <w:r w:rsidR="00D52B20" w:rsidRPr="005D59E5">
        <w:rPr>
          <w:rFonts w:ascii="Times New Roman" w:hAnsi="Times New Roman" w:cs="Times New Roman"/>
          <w:color w:val="000000" w:themeColor="text1"/>
          <w:sz w:val="28"/>
          <w:szCs w:val="28"/>
        </w:rPr>
        <w:t>ых</w:t>
      </w:r>
      <w:r w:rsidR="005E52A6" w:rsidRPr="005D59E5">
        <w:rPr>
          <w:rFonts w:ascii="Times New Roman" w:hAnsi="Times New Roman" w:cs="Times New Roman"/>
          <w:color w:val="000000" w:themeColor="text1"/>
          <w:sz w:val="28"/>
          <w:szCs w:val="28"/>
        </w:rPr>
        <w:t xml:space="preserve"> участк</w:t>
      </w:r>
      <w:r w:rsidR="00D52B20" w:rsidRPr="005D59E5">
        <w:rPr>
          <w:rFonts w:ascii="Times New Roman" w:hAnsi="Times New Roman" w:cs="Times New Roman"/>
          <w:color w:val="000000" w:themeColor="text1"/>
          <w:sz w:val="28"/>
          <w:szCs w:val="28"/>
        </w:rPr>
        <w:t>ов</w:t>
      </w:r>
      <w:r w:rsidR="005E52A6" w:rsidRPr="005D59E5">
        <w:rPr>
          <w:rFonts w:ascii="Times New Roman" w:hAnsi="Times New Roman" w:cs="Times New Roman"/>
          <w:color w:val="000000" w:themeColor="text1"/>
          <w:sz w:val="28"/>
          <w:szCs w:val="28"/>
        </w:rPr>
        <w:t xml:space="preserve"> по договор</w:t>
      </w:r>
      <w:r w:rsidR="00D52B20" w:rsidRPr="005D59E5">
        <w:rPr>
          <w:rFonts w:ascii="Times New Roman" w:hAnsi="Times New Roman" w:cs="Times New Roman"/>
          <w:color w:val="000000" w:themeColor="text1"/>
          <w:sz w:val="28"/>
          <w:szCs w:val="28"/>
        </w:rPr>
        <w:t>ам</w:t>
      </w:r>
      <w:r w:rsidR="005E52A6" w:rsidRPr="005D59E5">
        <w:rPr>
          <w:rFonts w:ascii="Times New Roman" w:hAnsi="Times New Roman" w:cs="Times New Roman"/>
          <w:color w:val="000000" w:themeColor="text1"/>
          <w:sz w:val="28"/>
          <w:szCs w:val="28"/>
        </w:rPr>
        <w:t xml:space="preserve"> купли-продажи, проведение аукциона</w:t>
      </w:r>
      <w:r w:rsidR="00A66B8B" w:rsidRPr="005D59E5">
        <w:rPr>
          <w:rFonts w:ascii="Times New Roman" w:hAnsi="Times New Roman" w:cs="Times New Roman"/>
          <w:color w:val="000000" w:themeColor="text1"/>
          <w:sz w:val="28"/>
          <w:szCs w:val="28"/>
        </w:rPr>
        <w:t>.</w:t>
      </w:r>
    </w:p>
    <w:p w:rsidR="00A934B4" w:rsidRPr="005D59E5" w:rsidRDefault="00A934B4" w:rsidP="00A66B8B">
      <w:pPr>
        <w:spacing w:after="0" w:line="300" w:lineRule="auto"/>
        <w:ind w:firstLine="709"/>
        <w:jc w:val="both"/>
        <w:rPr>
          <w:rFonts w:ascii="Times New Roman" w:eastAsia="Times New Roman" w:hAnsi="Times New Roman" w:cs="Times New Roman"/>
          <w:sz w:val="28"/>
          <w:szCs w:val="28"/>
        </w:rPr>
      </w:pPr>
      <w:r w:rsidRPr="005D59E5">
        <w:rPr>
          <w:rFonts w:ascii="Times New Roman" w:hAnsi="Times New Roman" w:cs="Times New Roman"/>
          <w:color w:val="000000" w:themeColor="text1"/>
          <w:sz w:val="28"/>
          <w:szCs w:val="28"/>
        </w:rPr>
        <w:t>По штрафам поступ</w:t>
      </w:r>
      <w:r w:rsidR="0033691B" w:rsidRPr="005D59E5">
        <w:rPr>
          <w:rFonts w:ascii="Times New Roman" w:hAnsi="Times New Roman" w:cs="Times New Roman"/>
          <w:color w:val="000000" w:themeColor="text1"/>
          <w:sz w:val="28"/>
          <w:szCs w:val="28"/>
        </w:rPr>
        <w:t>ление составляет</w:t>
      </w:r>
      <w:r w:rsidRPr="005D59E5">
        <w:rPr>
          <w:rFonts w:ascii="Times New Roman" w:hAnsi="Times New Roman" w:cs="Times New Roman"/>
          <w:color w:val="000000" w:themeColor="text1"/>
          <w:sz w:val="28"/>
          <w:szCs w:val="28"/>
        </w:rPr>
        <w:t xml:space="preserve"> </w:t>
      </w:r>
      <w:r w:rsidR="0033691B" w:rsidRPr="005D59E5">
        <w:rPr>
          <w:rFonts w:ascii="Times New Roman" w:hAnsi="Times New Roman" w:cs="Times New Roman"/>
          <w:color w:val="000000" w:themeColor="text1"/>
          <w:sz w:val="28"/>
          <w:szCs w:val="28"/>
        </w:rPr>
        <w:t>-23 314,2</w:t>
      </w:r>
      <w:r w:rsidR="005D59E5" w:rsidRPr="005D59E5">
        <w:rPr>
          <w:rFonts w:ascii="Times New Roman" w:hAnsi="Times New Roman" w:cs="Times New Roman"/>
          <w:color w:val="000000" w:themeColor="text1"/>
          <w:sz w:val="28"/>
          <w:szCs w:val="28"/>
        </w:rPr>
        <w:t xml:space="preserve"> тыс. рублей</w:t>
      </w:r>
      <w:r w:rsidR="00882946">
        <w:rPr>
          <w:rFonts w:ascii="Times New Roman" w:hAnsi="Times New Roman" w:cs="Times New Roman"/>
          <w:color w:val="000000" w:themeColor="text1"/>
          <w:sz w:val="28"/>
          <w:szCs w:val="28"/>
        </w:rPr>
        <w:t>,</w:t>
      </w:r>
      <w:r w:rsidR="005D59E5" w:rsidRPr="005D59E5">
        <w:rPr>
          <w:rFonts w:ascii="Times New Roman" w:hAnsi="Times New Roman" w:cs="Times New Roman"/>
          <w:color w:val="000000" w:themeColor="text1"/>
          <w:sz w:val="28"/>
          <w:szCs w:val="28"/>
        </w:rPr>
        <w:t xml:space="preserve"> </w:t>
      </w:r>
      <w:r w:rsidR="00882946">
        <w:rPr>
          <w:rFonts w:ascii="Times New Roman" w:hAnsi="Times New Roman" w:cs="Times New Roman"/>
          <w:color w:val="000000" w:themeColor="text1"/>
          <w:sz w:val="28"/>
          <w:szCs w:val="28"/>
        </w:rPr>
        <w:t>в связи с тем, что</w:t>
      </w:r>
      <w:r w:rsidR="005D59E5" w:rsidRPr="005D59E5">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5D59E5">
        <w:rPr>
          <w:rFonts w:ascii="Times New Roman" w:hAnsi="Times New Roman" w:cs="Times New Roman"/>
          <w:color w:val="000000" w:themeColor="text1"/>
          <w:sz w:val="28"/>
          <w:szCs w:val="28"/>
        </w:rPr>
        <w:t xml:space="preserve"> </w:t>
      </w:r>
      <w:r w:rsidR="005D59E5" w:rsidRPr="005D59E5">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13 624,1 тыс. рублей.</w:t>
      </w:r>
    </w:p>
    <w:p w:rsidR="00F30F87" w:rsidRPr="00C76ABA" w:rsidRDefault="00F30F87" w:rsidP="00A934B4">
      <w:pPr>
        <w:spacing w:after="0"/>
        <w:ind w:firstLine="708"/>
        <w:jc w:val="both"/>
        <w:rPr>
          <w:rFonts w:ascii="Times New Roman" w:eastAsia="Times New Roman" w:hAnsi="Times New Roman" w:cs="Times New Roman"/>
          <w:b/>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БЕЗВОЗМЕЗДНЫЕ ПОСТУПЛЕНИЯ</w:t>
      </w:r>
      <w:r w:rsidRPr="00C76ABA">
        <w:rPr>
          <w:rFonts w:ascii="Times New Roman" w:eastAsia="Times New Roman" w:hAnsi="Times New Roman" w:cs="Times New Roman"/>
          <w:sz w:val="28"/>
          <w:szCs w:val="28"/>
        </w:rPr>
        <w:t xml:space="preserve"> в бюджет города по состоянию на 01.</w:t>
      </w:r>
      <w:r w:rsidR="000A19D6" w:rsidRPr="00C76ABA">
        <w:rPr>
          <w:rFonts w:ascii="Times New Roman" w:eastAsia="Times New Roman" w:hAnsi="Times New Roman" w:cs="Times New Roman"/>
          <w:sz w:val="28"/>
          <w:szCs w:val="28"/>
        </w:rPr>
        <w:t>0</w:t>
      </w:r>
      <w:r w:rsidR="005D59E5" w:rsidRPr="00C76ABA">
        <w:rPr>
          <w:rFonts w:ascii="Times New Roman" w:eastAsia="Times New Roman" w:hAnsi="Times New Roman" w:cs="Times New Roman"/>
          <w:sz w:val="28"/>
          <w:szCs w:val="28"/>
        </w:rPr>
        <w:t>7</w:t>
      </w:r>
      <w:r w:rsidR="000A19D6" w:rsidRPr="00C76ABA">
        <w:rPr>
          <w:rFonts w:ascii="Times New Roman" w:eastAsia="Times New Roman" w:hAnsi="Times New Roman" w:cs="Times New Roman"/>
          <w:sz w:val="28"/>
          <w:szCs w:val="28"/>
        </w:rPr>
        <w:t>.202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составили </w:t>
      </w:r>
      <w:r w:rsidR="005D59E5" w:rsidRPr="00C76ABA">
        <w:rPr>
          <w:rFonts w:ascii="Times New Roman" w:eastAsia="Times New Roman" w:hAnsi="Times New Roman" w:cs="Times New Roman"/>
          <w:sz w:val="28"/>
          <w:szCs w:val="28"/>
        </w:rPr>
        <w:t>3 573 094,5</w:t>
      </w:r>
      <w:r w:rsidRPr="00C76ABA">
        <w:rPr>
          <w:rFonts w:ascii="Times New Roman" w:eastAsia="Times New Roman" w:hAnsi="Times New Roman" w:cs="Times New Roman"/>
          <w:sz w:val="28"/>
          <w:szCs w:val="28"/>
        </w:rPr>
        <w:t xml:space="preserve"> тыс. рублей, что составляет </w:t>
      </w:r>
      <w:r w:rsidR="005D59E5" w:rsidRPr="00C76ABA">
        <w:rPr>
          <w:rFonts w:ascii="Times New Roman" w:eastAsia="Times New Roman" w:hAnsi="Times New Roman" w:cs="Times New Roman"/>
          <w:sz w:val="28"/>
          <w:szCs w:val="28"/>
        </w:rPr>
        <w:t>43,4</w:t>
      </w:r>
      <w:r w:rsidRPr="00C76ABA">
        <w:rPr>
          <w:rFonts w:ascii="Times New Roman" w:eastAsia="Times New Roman" w:hAnsi="Times New Roman" w:cs="Times New Roman"/>
          <w:sz w:val="28"/>
          <w:szCs w:val="28"/>
        </w:rPr>
        <w:t>% от плановых назначений, установленных на 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 </w:t>
      </w:r>
    </w:p>
    <w:p w:rsidR="00F30F87" w:rsidRPr="00C76ABA"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Безвозмездные поступления в  бюджет города Ханты-Мансийска за </w:t>
      </w:r>
      <w:r w:rsidR="005D59E5" w:rsidRPr="00C76ABA">
        <w:rPr>
          <w:rFonts w:ascii="Times New Roman" w:eastAsia="Times New Roman" w:hAnsi="Times New Roman" w:cs="Times New Roman"/>
          <w:b/>
        </w:rPr>
        <w:t>полугодие</w:t>
      </w:r>
      <w:r w:rsidR="00E3722B"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606076"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424" y="10251"/>
                <wp:lineTo x="424" y="10837"/>
                <wp:lineTo x="10748" y="11569"/>
                <wp:lineTo x="283" y="13473"/>
                <wp:lineTo x="283" y="14058"/>
                <wp:lineTo x="3253" y="14644"/>
                <wp:lineTo x="10465" y="14644"/>
                <wp:lineTo x="16264" y="14351"/>
                <wp:lineTo x="18102" y="14205"/>
                <wp:lineTo x="17961" y="13765"/>
                <wp:lineTo x="16122" y="13033"/>
                <wp:lineTo x="10748" y="11569"/>
                <wp:lineTo x="10607" y="9226"/>
                <wp:lineTo x="7495" y="6883"/>
                <wp:lineTo x="12021" y="6883"/>
                <wp:lineTo x="17254" y="5565"/>
                <wp:lineTo x="17112"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C76ABA" w:rsidRDefault="00A934B4" w:rsidP="00A934B4">
      <w:pPr>
        <w:tabs>
          <w:tab w:val="left" w:pos="7137"/>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p>
    <w:p w:rsidR="00A934B4" w:rsidRPr="00C76ABA" w:rsidRDefault="00A934B4" w:rsidP="00A934B4">
      <w:pPr>
        <w:jc w:val="both"/>
        <w:rPr>
          <w:rFonts w:ascii="Times New Roman" w:eastAsia="Times New Roman" w:hAnsi="Times New Roman" w:cs="Times New Roman"/>
          <w:sz w:val="28"/>
          <w:szCs w:val="28"/>
        </w:rPr>
      </w:pPr>
    </w:p>
    <w:p w:rsidR="00A934B4" w:rsidRPr="00DA1D2F" w:rsidRDefault="00A934B4" w:rsidP="00A934B4">
      <w:pPr>
        <w:jc w:val="center"/>
        <w:rPr>
          <w:rFonts w:ascii="Times New Roman" w:eastAsia="Times New Roman" w:hAnsi="Times New Roman" w:cs="Times New Roman"/>
          <w:b/>
          <w:sz w:val="28"/>
          <w:szCs w:val="28"/>
          <w:highlight w:val="yellow"/>
          <w:u w:val="single"/>
        </w:rPr>
      </w:pPr>
    </w:p>
    <w:p w:rsidR="00A934B4" w:rsidRPr="00C76ABA" w:rsidRDefault="00A934B4" w:rsidP="00A934B4">
      <w:pPr>
        <w:jc w:val="center"/>
        <w:rPr>
          <w:rFonts w:ascii="Times New Roman" w:eastAsia="Times New Roman" w:hAnsi="Times New Roman" w:cs="Times New Roman"/>
          <w:b/>
          <w:sz w:val="28"/>
          <w:szCs w:val="28"/>
          <w:u w:val="single"/>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tabs>
          <w:tab w:val="left" w:pos="4733"/>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r w:rsidRPr="00C76ABA">
        <w:rPr>
          <w:rFonts w:ascii="Times New Roman" w:eastAsia="Times New Roman" w:hAnsi="Times New Roman" w:cs="Times New Roman"/>
          <w:sz w:val="28"/>
          <w:szCs w:val="28"/>
        </w:rPr>
        <w:tab/>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Безвозмездные поступления за </w:t>
      </w:r>
      <w:r w:rsidR="00D80334" w:rsidRPr="00C76ABA">
        <w:rPr>
          <w:rFonts w:ascii="Times New Roman" w:eastAsia="Times New Roman" w:hAnsi="Times New Roman" w:cs="Times New Roman"/>
          <w:sz w:val="28"/>
          <w:szCs w:val="28"/>
        </w:rPr>
        <w:t xml:space="preserve">полугодие </w:t>
      </w:r>
      <w:r w:rsidR="00E3722B"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76ABA" w:rsidRPr="00C76ABA">
        <w:rPr>
          <w:rFonts w:ascii="Times New Roman" w:eastAsia="Times New Roman" w:hAnsi="Times New Roman" w:cs="Times New Roman"/>
          <w:sz w:val="28"/>
          <w:szCs w:val="28"/>
        </w:rPr>
        <w:t>3 566 242,8</w:t>
      </w:r>
      <w:r w:rsidRPr="00C76ABA">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C76ABA">
        <w:rPr>
          <w:rFonts w:ascii="Times New Roman" w:eastAsia="Times New Roman" w:hAnsi="Times New Roman" w:cs="Times New Roman"/>
          <w:sz w:val="28"/>
          <w:szCs w:val="28"/>
        </w:rPr>
        <w:t xml:space="preserve">в </w:t>
      </w:r>
      <w:r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w:t>
      </w:r>
      <w:r w:rsidR="008B32D4" w:rsidRPr="00C76ABA">
        <w:rPr>
          <w:rFonts w:ascii="Times New Roman" w:eastAsia="Times New Roman" w:hAnsi="Times New Roman" w:cs="Times New Roman"/>
          <w:sz w:val="28"/>
          <w:szCs w:val="28"/>
        </w:rPr>
        <w:t>у</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 xml:space="preserve">рост </w:t>
      </w:r>
      <w:r w:rsidR="008B32D4" w:rsidRPr="00C76ABA">
        <w:rPr>
          <w:rFonts w:ascii="Times New Roman" w:eastAsia="Times New Roman" w:hAnsi="Times New Roman" w:cs="Times New Roman"/>
          <w:sz w:val="28"/>
          <w:szCs w:val="28"/>
        </w:rPr>
        <w:t xml:space="preserve">поступлений </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составил 0,2</w:t>
      </w:r>
      <w:r w:rsidRPr="00C76ABA">
        <w:rPr>
          <w:rFonts w:ascii="Times New Roman" w:eastAsia="Times New Roman" w:hAnsi="Times New Roman" w:cs="Times New Roman"/>
          <w:sz w:val="28"/>
          <w:szCs w:val="28"/>
        </w:rPr>
        <w:t>%.</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b/>
          <w:sz w:val="28"/>
          <w:szCs w:val="28"/>
          <w:u w:val="single"/>
        </w:rPr>
        <w:t>Источники финансирования дефицита бюджета</w:t>
      </w:r>
    </w:p>
    <w:p w:rsidR="00A934B4" w:rsidRPr="00C76ABA" w:rsidRDefault="00A934B4" w:rsidP="00A934B4">
      <w:pPr>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По итогам исполнения бюджета города Ханты-Мансийска за </w:t>
      </w:r>
      <w:r w:rsidR="00C76ABA" w:rsidRPr="00C76ABA">
        <w:rPr>
          <w:rFonts w:ascii="Times New Roman" w:eastAsia="Times New Roman" w:hAnsi="Times New Roman" w:cs="Times New Roman"/>
          <w:sz w:val="28"/>
          <w:szCs w:val="28"/>
        </w:rPr>
        <w:t>полугодие</w:t>
      </w:r>
      <w:r w:rsidR="00E337B3" w:rsidRPr="00C76ABA">
        <w:rPr>
          <w:rFonts w:ascii="Times New Roman" w:eastAsia="Times New Roman" w:hAnsi="Times New Roman" w:cs="Times New Roman"/>
          <w:sz w:val="28"/>
          <w:szCs w:val="28"/>
        </w:rPr>
        <w:t xml:space="preserve"> 202</w:t>
      </w:r>
      <w:r w:rsidR="00C50B2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сложился дефицит в сумме </w:t>
      </w:r>
      <w:r w:rsidR="00C76ABA" w:rsidRPr="00C76ABA">
        <w:rPr>
          <w:rFonts w:ascii="Times New Roman" w:eastAsia="Times New Roman" w:hAnsi="Times New Roman" w:cs="Times New Roman"/>
          <w:sz w:val="28"/>
          <w:szCs w:val="28"/>
        </w:rPr>
        <w:t>141 702,4</w:t>
      </w:r>
      <w:r w:rsidRPr="00C76ABA">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C76ABA">
        <w:rPr>
          <w:rFonts w:ascii="Times New Roman" w:hAnsi="Times New Roman"/>
          <w:sz w:val="28"/>
          <w:szCs w:val="28"/>
        </w:rPr>
        <w:t xml:space="preserve">Муниципальный долг по состоянию на 1 </w:t>
      </w:r>
      <w:r w:rsidR="009A184B">
        <w:rPr>
          <w:rFonts w:ascii="Times New Roman" w:hAnsi="Times New Roman"/>
          <w:sz w:val="28"/>
          <w:szCs w:val="28"/>
        </w:rPr>
        <w:t>июл</w:t>
      </w:r>
      <w:r w:rsidR="004807D1" w:rsidRPr="00C76ABA">
        <w:rPr>
          <w:rFonts w:ascii="Times New Roman" w:hAnsi="Times New Roman"/>
          <w:sz w:val="28"/>
          <w:szCs w:val="28"/>
        </w:rPr>
        <w:t xml:space="preserve">я </w:t>
      </w:r>
      <w:r w:rsidRPr="00C76ABA">
        <w:rPr>
          <w:rFonts w:ascii="Times New Roman" w:hAnsi="Times New Roman"/>
          <w:sz w:val="28"/>
          <w:szCs w:val="28"/>
        </w:rPr>
        <w:t>202</w:t>
      </w:r>
      <w:r w:rsidR="00C50B26" w:rsidRPr="00C76ABA">
        <w:rPr>
          <w:rFonts w:ascii="Times New Roman" w:hAnsi="Times New Roman"/>
          <w:sz w:val="28"/>
          <w:szCs w:val="28"/>
        </w:rPr>
        <w:t>4</w:t>
      </w:r>
      <w:r w:rsidRPr="00C76ABA">
        <w:rPr>
          <w:rFonts w:ascii="Times New Roman" w:hAnsi="Times New Roman"/>
          <w:sz w:val="28"/>
          <w:szCs w:val="28"/>
        </w:rPr>
        <w:t xml:space="preserve"> года </w:t>
      </w:r>
      <w:r w:rsidR="004F46E2" w:rsidRPr="00C76ABA">
        <w:rPr>
          <w:rFonts w:ascii="Times New Roman" w:hAnsi="Times New Roman"/>
          <w:sz w:val="28"/>
          <w:szCs w:val="28"/>
        </w:rPr>
        <w:t xml:space="preserve">составил </w:t>
      </w:r>
      <w:r w:rsidR="00C76ABA" w:rsidRPr="00C76ABA">
        <w:rPr>
          <w:rFonts w:ascii="Times New Roman" w:hAnsi="Times New Roman"/>
          <w:sz w:val="28"/>
          <w:szCs w:val="28"/>
        </w:rPr>
        <w:t>278 233,0</w:t>
      </w:r>
      <w:r w:rsidR="004F46E2" w:rsidRPr="00C76ABA">
        <w:rPr>
          <w:rFonts w:ascii="Times New Roman" w:hAnsi="Times New Roman"/>
          <w:sz w:val="28"/>
          <w:szCs w:val="28"/>
        </w:rPr>
        <w:t xml:space="preserve"> тыс. рублей</w:t>
      </w:r>
      <w:r w:rsidRPr="00C76ABA">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2B233F" w:rsidRDefault="00D74A3B" w:rsidP="00D74A3B">
      <w:pPr>
        <w:jc w:val="center"/>
        <w:rPr>
          <w:rFonts w:ascii="Times New Roman" w:hAnsi="Times New Roman" w:cs="Times New Roman"/>
          <w:b/>
          <w:sz w:val="28"/>
          <w:szCs w:val="28"/>
          <w:u w:val="single"/>
        </w:rPr>
      </w:pPr>
      <w:r w:rsidRPr="002B233F">
        <w:rPr>
          <w:rFonts w:ascii="Times New Roman" w:hAnsi="Times New Roman" w:cs="Times New Roman"/>
          <w:b/>
          <w:sz w:val="28"/>
          <w:szCs w:val="28"/>
          <w:u w:val="single"/>
        </w:rPr>
        <w:t>Р</w:t>
      </w:r>
      <w:r w:rsidR="009902E7" w:rsidRPr="002B233F">
        <w:rPr>
          <w:rFonts w:ascii="Times New Roman" w:hAnsi="Times New Roman" w:cs="Times New Roman"/>
          <w:b/>
          <w:sz w:val="28"/>
          <w:szCs w:val="28"/>
          <w:u w:val="single"/>
        </w:rPr>
        <w:t>АСХОДЫ</w:t>
      </w:r>
    </w:p>
    <w:p w:rsidR="00D74A3B" w:rsidRPr="002B233F" w:rsidRDefault="00D74A3B" w:rsidP="00A91028">
      <w:pPr>
        <w:ind w:firstLine="851"/>
        <w:jc w:val="both"/>
        <w:rPr>
          <w:rFonts w:ascii="Times New Roman" w:hAnsi="Times New Roman" w:cs="Times New Roman"/>
          <w:sz w:val="28"/>
          <w:szCs w:val="28"/>
        </w:rPr>
      </w:pPr>
      <w:r w:rsidRPr="002B233F">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2B233F">
        <w:rPr>
          <w:rFonts w:ascii="Times New Roman" w:hAnsi="Times New Roman" w:cs="Times New Roman"/>
          <w:sz w:val="28"/>
          <w:szCs w:val="28"/>
        </w:rPr>
        <w:t>уточненном п</w:t>
      </w:r>
      <w:r w:rsidRPr="002B233F">
        <w:rPr>
          <w:rFonts w:ascii="Times New Roman" w:hAnsi="Times New Roman" w:cs="Times New Roman"/>
          <w:sz w:val="28"/>
          <w:szCs w:val="28"/>
        </w:rPr>
        <w:t xml:space="preserve">лане </w:t>
      </w:r>
      <w:r w:rsidR="005E254B" w:rsidRPr="002B233F">
        <w:rPr>
          <w:rFonts w:ascii="Times New Roman" w:hAnsi="Times New Roman" w:cs="Times New Roman"/>
          <w:sz w:val="28"/>
          <w:szCs w:val="28"/>
        </w:rPr>
        <w:t xml:space="preserve">на год </w:t>
      </w:r>
      <w:r w:rsidR="00727A49">
        <w:rPr>
          <w:rFonts w:ascii="Times New Roman" w:hAnsi="Times New Roman" w:cs="Times New Roman"/>
          <w:sz w:val="28"/>
          <w:szCs w:val="28"/>
        </w:rPr>
        <w:t>14 052 085,2</w:t>
      </w:r>
      <w:r w:rsidR="00F63752" w:rsidRPr="002B233F">
        <w:rPr>
          <w:rFonts w:ascii="Times New Roman" w:eastAsia="Times New Roman" w:hAnsi="Times New Roman" w:cs="Times New Roman"/>
          <w:sz w:val="28"/>
          <w:szCs w:val="28"/>
        </w:rPr>
        <w:t xml:space="preserve"> </w:t>
      </w:r>
      <w:r w:rsidRPr="002B233F">
        <w:rPr>
          <w:rFonts w:ascii="Times New Roman" w:hAnsi="Times New Roman" w:cs="Times New Roman"/>
          <w:sz w:val="28"/>
          <w:szCs w:val="28"/>
        </w:rPr>
        <w:t xml:space="preserve">тыс. рублей исполнен в сумме </w:t>
      </w:r>
      <w:r w:rsidR="00727A49">
        <w:rPr>
          <w:rFonts w:ascii="Times New Roman" w:hAnsi="Times New Roman" w:cs="Times New Roman"/>
          <w:sz w:val="28"/>
          <w:szCs w:val="28"/>
        </w:rPr>
        <w:t>6 418 916,9</w:t>
      </w:r>
      <w:r w:rsidR="003B670E" w:rsidRPr="002B233F">
        <w:rPr>
          <w:rFonts w:ascii="Times New Roman" w:hAnsi="Times New Roman" w:cs="Times New Roman"/>
          <w:sz w:val="28"/>
          <w:szCs w:val="28"/>
        </w:rPr>
        <w:t xml:space="preserve"> </w:t>
      </w:r>
      <w:r w:rsidRPr="002B233F">
        <w:rPr>
          <w:rFonts w:ascii="Times New Roman" w:hAnsi="Times New Roman" w:cs="Times New Roman"/>
          <w:sz w:val="28"/>
          <w:szCs w:val="28"/>
        </w:rPr>
        <w:t>тыс.</w:t>
      </w:r>
      <w:r w:rsidR="00A579DC" w:rsidRPr="002B233F">
        <w:rPr>
          <w:rFonts w:ascii="Times New Roman" w:hAnsi="Times New Roman" w:cs="Times New Roman"/>
          <w:sz w:val="28"/>
          <w:szCs w:val="28"/>
        </w:rPr>
        <w:t xml:space="preserve"> </w:t>
      </w:r>
      <w:r w:rsidRPr="002B233F">
        <w:rPr>
          <w:rFonts w:ascii="Times New Roman" w:hAnsi="Times New Roman" w:cs="Times New Roman"/>
          <w:sz w:val="28"/>
          <w:szCs w:val="28"/>
        </w:rPr>
        <w:t xml:space="preserve">рублей или на </w:t>
      </w:r>
      <w:r w:rsidR="00727A49">
        <w:rPr>
          <w:rFonts w:ascii="Times New Roman" w:hAnsi="Times New Roman" w:cs="Times New Roman"/>
          <w:sz w:val="28"/>
          <w:szCs w:val="28"/>
        </w:rPr>
        <w:t>45,7</w:t>
      </w:r>
      <w:r w:rsidRPr="002B233F">
        <w:rPr>
          <w:rFonts w:ascii="Times New Roman" w:hAnsi="Times New Roman" w:cs="Times New Roman"/>
          <w:sz w:val="28"/>
          <w:szCs w:val="28"/>
        </w:rPr>
        <w:t>%.</w:t>
      </w:r>
    </w:p>
    <w:p w:rsidR="007A4219" w:rsidRDefault="007A4219" w:rsidP="00A91028">
      <w:pPr>
        <w:spacing w:after="0" w:line="360" w:lineRule="auto"/>
        <w:ind w:firstLine="567"/>
        <w:jc w:val="center"/>
        <w:rPr>
          <w:rFonts w:ascii="Times New Roman" w:hAnsi="Times New Roman" w:cs="Times New Roman"/>
          <w:b/>
          <w:sz w:val="28"/>
          <w:szCs w:val="28"/>
        </w:rPr>
      </w:pPr>
      <w:bookmarkStart w:id="0" w:name="_GoBack"/>
      <w:bookmarkEnd w:id="0"/>
    </w:p>
    <w:p w:rsidR="00DA1D2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Расходы бюджета города Ханты-Мансийска за </w:t>
      </w:r>
      <w:r w:rsidR="00DA1D2F">
        <w:rPr>
          <w:rFonts w:ascii="Times New Roman" w:hAnsi="Times New Roman" w:cs="Times New Roman"/>
          <w:b/>
          <w:sz w:val="28"/>
          <w:szCs w:val="28"/>
        </w:rPr>
        <w:t>полугодие</w:t>
      </w:r>
    </w:p>
    <w:p w:rsidR="008532E2" w:rsidRPr="002B233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 202</w:t>
      </w:r>
      <w:r w:rsidR="003B670E"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1860C3" w:rsidRPr="00DA1D2F" w:rsidRDefault="00DA1D2F" w:rsidP="00DA1D2F">
      <w:pPr>
        <w:spacing w:after="0"/>
        <w:ind w:firstLine="567"/>
        <w:jc w:val="right"/>
        <w:rPr>
          <w:rFonts w:ascii="Times New Roman" w:hAnsi="Times New Roman" w:cs="Times New Roman"/>
          <w:sz w:val="24"/>
          <w:szCs w:val="24"/>
        </w:rPr>
      </w:pPr>
      <w:r w:rsidRPr="002B233F">
        <w:rPr>
          <w:rFonts w:ascii="Times New Roman" w:hAnsi="Times New Roman" w:cs="Times New Roman"/>
          <w:i/>
          <w:sz w:val="28"/>
          <w:szCs w:val="28"/>
        </w:rPr>
        <w:t xml:space="preserve">                                             </w:t>
      </w:r>
      <w:r w:rsidRPr="002B233F">
        <w:rPr>
          <w:rFonts w:ascii="Times New Roman" w:hAnsi="Times New Roman" w:cs="Times New Roman"/>
          <w:sz w:val="24"/>
          <w:szCs w:val="24"/>
        </w:rPr>
        <w:t>(тыс. рублей)</w:t>
      </w:r>
      <w:r w:rsidR="008532E2" w:rsidRPr="002B233F">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D01FD8" w:rsidRPr="00D01FD8" w:rsidTr="00D01FD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6 021 548,6</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14 052 085,2</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6 418 916,9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45,7%</w:t>
            </w:r>
          </w:p>
        </w:tc>
      </w:tr>
      <w:tr w:rsidR="00D01FD8" w:rsidRPr="00D01FD8" w:rsidTr="00D01FD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2 513 284,9</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8 035 131,8</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3 500 696,0</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43,6%</w:t>
            </w:r>
          </w:p>
        </w:tc>
      </w:tr>
      <w:tr w:rsidR="00D01FD8" w:rsidRPr="00D01FD8" w:rsidTr="00D01FD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3 508 263,7</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6 016 953,4</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2 918 220,9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48,5%</w:t>
            </w:r>
          </w:p>
        </w:tc>
      </w:tr>
    </w:tbl>
    <w:p w:rsidR="005E254B" w:rsidRPr="002B233F" w:rsidRDefault="005E254B" w:rsidP="00A91028">
      <w:pPr>
        <w:spacing w:after="0"/>
        <w:ind w:firstLine="567"/>
        <w:jc w:val="right"/>
        <w:rPr>
          <w:rFonts w:ascii="Times New Roman" w:hAnsi="Times New Roman" w:cs="Times New Roman"/>
          <w:sz w:val="20"/>
          <w:szCs w:val="20"/>
        </w:rPr>
      </w:pPr>
    </w:p>
    <w:p w:rsidR="008532E2" w:rsidRPr="002B233F" w:rsidRDefault="008532E2" w:rsidP="00A91028">
      <w:pPr>
        <w:autoSpaceDE w:val="0"/>
        <w:autoSpaceDN w:val="0"/>
        <w:adjustRightInd w:val="0"/>
        <w:spacing w:after="0"/>
        <w:ind w:firstLine="567"/>
        <w:jc w:val="both"/>
        <w:rPr>
          <w:rFonts w:ascii="Times New Roman" w:hAnsi="Times New Roman" w:cs="Times New Roman"/>
          <w:sz w:val="28"/>
          <w:szCs w:val="28"/>
        </w:rPr>
      </w:pPr>
      <w:r w:rsidRPr="002B233F">
        <w:rPr>
          <w:rFonts w:ascii="Times New Roman" w:hAnsi="Times New Roman" w:cs="Times New Roman"/>
          <w:sz w:val="28"/>
          <w:szCs w:val="28"/>
        </w:rPr>
        <w:t>Расходование средств бюджета города в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году осуществляется                             </w:t>
      </w:r>
      <w:r w:rsidR="00FA0362" w:rsidRPr="002B233F">
        <w:rPr>
          <w:rFonts w:ascii="Times New Roman" w:hAnsi="Times New Roman" w:cs="Times New Roman"/>
          <w:sz w:val="28"/>
          <w:szCs w:val="28"/>
        </w:rPr>
        <w:t>9</w:t>
      </w:r>
      <w:r w:rsidRPr="002B233F">
        <w:rPr>
          <w:rFonts w:ascii="Times New Roman" w:hAnsi="Times New Roman" w:cs="Times New Roman"/>
          <w:sz w:val="28"/>
          <w:szCs w:val="28"/>
        </w:rPr>
        <w:t xml:space="preserve"> главными распорядителями средств бюджета города</w:t>
      </w:r>
      <w:r w:rsidR="005E254B" w:rsidRPr="002B233F">
        <w:rPr>
          <w:rFonts w:ascii="Times New Roman" w:hAnsi="Times New Roman" w:cs="Times New Roman"/>
          <w:sz w:val="28"/>
          <w:szCs w:val="28"/>
        </w:rPr>
        <w:t>.</w:t>
      </w:r>
      <w:r w:rsidRPr="002B233F">
        <w:rPr>
          <w:rFonts w:ascii="Times New Roman" w:hAnsi="Times New Roman" w:cs="Times New Roman"/>
          <w:sz w:val="28"/>
          <w:szCs w:val="28"/>
        </w:rPr>
        <w:t xml:space="preserve"> </w:t>
      </w:r>
    </w:p>
    <w:p w:rsidR="00501DA4" w:rsidRPr="002B233F"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2B233F" w:rsidRDefault="008532E2" w:rsidP="008532E2">
      <w:pPr>
        <w:pStyle w:val="33"/>
        <w:ind w:firstLine="708"/>
        <w:jc w:val="center"/>
        <w:rPr>
          <w:sz w:val="20"/>
          <w:szCs w:val="20"/>
        </w:rPr>
      </w:pPr>
      <w:r w:rsidRPr="002B233F">
        <w:rPr>
          <w:b/>
          <w:snapToGrid w:val="0"/>
          <w:sz w:val="28"/>
          <w:szCs w:val="28"/>
        </w:rPr>
        <w:t xml:space="preserve">Исполнение бюджета города Ханты-Мансийска по расходам в разрезе </w:t>
      </w:r>
      <w:r w:rsidRPr="002B233F">
        <w:rPr>
          <w:b/>
          <w:sz w:val="28"/>
          <w:szCs w:val="28"/>
        </w:rPr>
        <w:t xml:space="preserve">главных распорядителей бюджетных средств за </w:t>
      </w:r>
      <w:r w:rsidR="00DA1D2F">
        <w:rPr>
          <w:b/>
          <w:sz w:val="28"/>
          <w:szCs w:val="28"/>
        </w:rPr>
        <w:t>полугодие</w:t>
      </w:r>
      <w:r w:rsidRPr="002B233F">
        <w:rPr>
          <w:b/>
          <w:sz w:val="28"/>
          <w:szCs w:val="28"/>
        </w:rPr>
        <w:t xml:space="preserve"> 202</w:t>
      </w:r>
      <w:r w:rsidR="003B670E" w:rsidRPr="002B233F">
        <w:rPr>
          <w:b/>
          <w:sz w:val="28"/>
          <w:szCs w:val="28"/>
        </w:rPr>
        <w:t>4</w:t>
      </w:r>
      <w:r w:rsidRPr="002B233F">
        <w:rPr>
          <w:b/>
          <w:sz w:val="28"/>
          <w:szCs w:val="28"/>
        </w:rPr>
        <w:t xml:space="preserve"> года</w:t>
      </w:r>
    </w:p>
    <w:p w:rsidR="008532E2" w:rsidRPr="002B233F" w:rsidRDefault="008532E2" w:rsidP="008532E2">
      <w:pPr>
        <w:spacing w:after="0"/>
        <w:jc w:val="right"/>
        <w:rPr>
          <w:rFonts w:ascii="Times New Roman" w:hAnsi="Times New Roman" w:cs="Times New Roman"/>
          <w:sz w:val="20"/>
          <w:szCs w:val="20"/>
        </w:rPr>
      </w:pPr>
      <w:r w:rsidRPr="002B233F">
        <w:rPr>
          <w:rFonts w:ascii="Times New Roman" w:hAnsi="Times New Roman" w:cs="Times New Roman"/>
          <w:sz w:val="24"/>
          <w:szCs w:val="24"/>
        </w:rPr>
        <w:t>(тыс. рублей)</w:t>
      </w:r>
    </w:p>
    <w:tbl>
      <w:tblPr>
        <w:tblW w:w="9190" w:type="dxa"/>
        <w:tblInd w:w="113" w:type="dxa"/>
        <w:tblLook w:val="04A0" w:firstRow="1" w:lastRow="0" w:firstColumn="1" w:lastColumn="0" w:noHBand="0" w:noVBand="1"/>
      </w:tblPr>
      <w:tblGrid>
        <w:gridCol w:w="2830"/>
        <w:gridCol w:w="1600"/>
        <w:gridCol w:w="1680"/>
        <w:gridCol w:w="1540"/>
        <w:gridCol w:w="1540"/>
      </w:tblGrid>
      <w:tr w:rsidR="00D01FD8" w:rsidRPr="00D01FD8" w:rsidTr="00D01FD8">
        <w:trPr>
          <w:trHeight w:val="435"/>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nil"/>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560"/>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16 788,3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41 197,6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22 132,3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53,7%</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11 764,8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27 295,6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13 981,1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51,2%</w:t>
            </w:r>
          </w:p>
        </w:tc>
      </w:tr>
      <w:tr w:rsidR="00D01FD8" w:rsidRPr="00D01FD8" w:rsidTr="00D01FD8">
        <w:trPr>
          <w:trHeight w:val="54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793 460,2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1 937 366,4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982 188,7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50,7%</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41 506,4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372 114,7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56 879,6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15,3%</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208 779,9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364 919,0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253 465,7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69,5%</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2 885 692,2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6 508 733,3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3 162 109,2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48,6%</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165 364,9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360 460,8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173 717,7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873 113,1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1 952 262,4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1 018 784,6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52,2%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1 025 078,8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2 487 735,4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735 658,0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29,6%</w:t>
            </w:r>
          </w:p>
        </w:tc>
      </w:tr>
      <w:tr w:rsidR="00D01FD8" w:rsidRPr="00D01FD8" w:rsidTr="00D01FD8">
        <w:trPr>
          <w:trHeight w:val="4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6 021 548,6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14 052 085,2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6 418 916,9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45,7%</w:t>
            </w:r>
          </w:p>
        </w:tc>
      </w:tr>
    </w:tbl>
    <w:p w:rsidR="008532E2" w:rsidRPr="002B233F" w:rsidRDefault="008532E2" w:rsidP="008532E2">
      <w:pPr>
        <w:spacing w:after="0" w:line="360" w:lineRule="auto"/>
        <w:ind w:firstLine="567"/>
        <w:jc w:val="both"/>
        <w:rPr>
          <w:rFonts w:ascii="Times New Roman" w:eastAsia="Calibri" w:hAnsi="Times New Roman" w:cs="Times New Roman"/>
          <w:sz w:val="28"/>
          <w:szCs w:val="28"/>
        </w:rPr>
      </w:pPr>
    </w:p>
    <w:p w:rsidR="008532E2" w:rsidRPr="002B233F" w:rsidRDefault="008532E2" w:rsidP="008532E2">
      <w:pPr>
        <w:spacing w:after="0" w:line="360" w:lineRule="auto"/>
        <w:ind w:firstLine="567"/>
        <w:jc w:val="both"/>
        <w:rPr>
          <w:rFonts w:ascii="Times New Roman" w:eastAsia="Times New Roman" w:hAnsi="Times New Roman" w:cs="Times New Roman"/>
          <w:sz w:val="28"/>
          <w:szCs w:val="28"/>
        </w:rPr>
      </w:pPr>
      <w:r w:rsidRPr="002B233F">
        <w:rPr>
          <w:rFonts w:ascii="Times New Roman" w:eastAsia="Calibri" w:hAnsi="Times New Roman" w:cs="Times New Roman"/>
          <w:sz w:val="28"/>
          <w:szCs w:val="28"/>
        </w:rPr>
        <w:t>С целью повышения эффективности и результативности бюджетных расходов,</w:t>
      </w:r>
      <w:r w:rsidRPr="002B233F">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2B233F"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2B233F"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2B233F">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2B233F">
        <w:rPr>
          <w:rFonts w:ascii="Times New Roman" w:hAnsi="Times New Roman" w:cs="Times New Roman"/>
          <w:b/>
          <w:sz w:val="28"/>
          <w:szCs w:val="28"/>
        </w:rPr>
        <w:t>п</w:t>
      </w:r>
      <w:r w:rsidR="00DA1D2F">
        <w:rPr>
          <w:rFonts w:ascii="Times New Roman" w:hAnsi="Times New Roman" w:cs="Times New Roman"/>
          <w:b/>
          <w:sz w:val="28"/>
          <w:szCs w:val="28"/>
        </w:rPr>
        <w:t>олугодие</w:t>
      </w:r>
      <w:r w:rsidR="006A70FF" w:rsidRPr="002B233F">
        <w:rPr>
          <w:rFonts w:ascii="Times New Roman" w:hAnsi="Times New Roman" w:cs="Times New Roman"/>
          <w:b/>
          <w:sz w:val="28"/>
          <w:szCs w:val="28"/>
        </w:rPr>
        <w:t xml:space="preserve"> </w:t>
      </w:r>
      <w:r w:rsidRPr="002B233F">
        <w:rPr>
          <w:rFonts w:ascii="Times New Roman" w:hAnsi="Times New Roman" w:cs="Times New Roman"/>
          <w:b/>
          <w:sz w:val="28"/>
          <w:szCs w:val="28"/>
        </w:rPr>
        <w:t>202</w:t>
      </w:r>
      <w:r w:rsidR="00BD168B"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8532E2" w:rsidRPr="002B233F"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B233F">
        <w:rPr>
          <w:rFonts w:ascii="Times New Roman" w:hAnsi="Times New Roman" w:cs="Times New Roman"/>
          <w:sz w:val="24"/>
          <w:szCs w:val="24"/>
        </w:rPr>
        <w:t>(тыс. рублей)</w:t>
      </w:r>
    </w:p>
    <w:tbl>
      <w:tblPr>
        <w:tblW w:w="9137" w:type="dxa"/>
        <w:tblInd w:w="113" w:type="dxa"/>
        <w:tblLook w:val="04A0" w:firstRow="1" w:lastRow="0" w:firstColumn="1" w:lastColumn="0" w:noHBand="0" w:noVBand="1"/>
      </w:tblPr>
      <w:tblGrid>
        <w:gridCol w:w="2405"/>
        <w:gridCol w:w="1640"/>
        <w:gridCol w:w="1920"/>
        <w:gridCol w:w="1660"/>
        <w:gridCol w:w="1512"/>
      </w:tblGrid>
      <w:tr w:rsidR="00B20E16" w:rsidRPr="00B20E16" w:rsidTr="00B20E16">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Исполнено за полугодие 2023 года</w:t>
            </w:r>
          </w:p>
        </w:tc>
        <w:tc>
          <w:tcPr>
            <w:tcW w:w="5092" w:type="dxa"/>
            <w:gridSpan w:val="3"/>
            <w:tcBorders>
              <w:top w:val="single" w:sz="4" w:space="0" w:color="auto"/>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2024 год</w:t>
            </w:r>
          </w:p>
        </w:tc>
      </w:tr>
      <w:tr w:rsidR="00B20E16" w:rsidRPr="00B20E16" w:rsidTr="00B20E16">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Уточненный план на 2024 год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Исполнено за полугодие 2024 года</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исполнения уточненного  плана на год</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социальной сфере (6 программ)</w:t>
            </w:r>
          </w:p>
        </w:tc>
        <w:tc>
          <w:tcPr>
            <w:tcW w:w="164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4 327 611,8 </w:t>
            </w: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9 901 784,7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4 387 772,6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44,3%</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3 762 069,2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8 586 968,0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3 713 241,6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43,2%</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125 582,5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282 168,9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143 813,2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молодежной политики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0,0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84 436,4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26 283,5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31,1%</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167 626,6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384 684,9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184 329,4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47,9%</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97 676,7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145 960,5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107 342,7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73,5%</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174 656,8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417 566,0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212 762,2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жилищно-коммунального хозяйства (6 программ)</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1 243 037,5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2 775 091,0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1 389 443,5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50,1%</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568 621,3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1 334 590,0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685 062,3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51,3%</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306 212,9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454 545,5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207 368,8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37 293,7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98 191,5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18 864,4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19,2%</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120 835,5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239 486,5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150 479,0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62,8%</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115 319,3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363 125,5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197 580,6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54,4%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94 754,8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285 152,0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130 088,4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иных сферах (4 программы)</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450 899,3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1 375 209,5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641 700,8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46,7%</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58 871,1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50 893,1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86,4%</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74 856,6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177 353,1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80 585,9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299 279,3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697 676,2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416 861,6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59,8%</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70 180,9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441 309,1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93 360,2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21,2%</w:t>
            </w:r>
          </w:p>
        </w:tc>
      </w:tr>
      <w:tr w:rsidR="00B20E16" w:rsidRPr="00B20E16" w:rsidTr="00B20E16">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Расходы на реализацию муниципальных программ, всего:</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6 021 548,6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14 052 085,2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6 418 916,9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45,7%</w:t>
            </w:r>
          </w:p>
        </w:tc>
      </w:tr>
    </w:tbl>
    <w:p w:rsidR="00EE279E" w:rsidRDefault="00EE279E" w:rsidP="00EE279E">
      <w:pPr>
        <w:spacing w:after="0" w:line="360" w:lineRule="auto"/>
        <w:ind w:firstLine="567"/>
        <w:jc w:val="both"/>
        <w:rPr>
          <w:rFonts w:ascii="Times New Roman" w:hAnsi="Times New Roman" w:cs="Times New Roman"/>
          <w:sz w:val="28"/>
          <w:szCs w:val="28"/>
        </w:rPr>
      </w:pPr>
    </w:p>
    <w:p w:rsidR="00EE279E" w:rsidRPr="00670629" w:rsidRDefault="00EE279E"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w:t>
      </w:r>
      <w:r w:rsidR="00DA1D2F" w:rsidRPr="00670629">
        <w:rPr>
          <w:rFonts w:ascii="Times New Roman" w:hAnsi="Times New Roman" w:cs="Times New Roman"/>
          <w:sz w:val="28"/>
          <w:szCs w:val="28"/>
        </w:rPr>
        <w:t>7</w:t>
      </w:r>
      <w:r w:rsidRPr="00670629">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Default="0074411C"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И</w:t>
      </w:r>
      <w:r w:rsidR="008532E2" w:rsidRPr="00670629">
        <w:rPr>
          <w:rFonts w:ascii="Times New Roman" w:hAnsi="Times New Roman" w:cs="Times New Roman"/>
          <w:sz w:val="28"/>
          <w:szCs w:val="28"/>
        </w:rPr>
        <w:t>сполнени</w:t>
      </w:r>
      <w:r w:rsidRPr="00670629">
        <w:rPr>
          <w:rFonts w:ascii="Times New Roman" w:hAnsi="Times New Roman" w:cs="Times New Roman"/>
          <w:sz w:val="28"/>
          <w:szCs w:val="28"/>
        </w:rPr>
        <w:t>е</w:t>
      </w:r>
      <w:r w:rsidR="008532E2" w:rsidRPr="00670629">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670629">
        <w:rPr>
          <w:rFonts w:ascii="Times New Roman" w:hAnsi="Times New Roman" w:cs="Times New Roman"/>
          <w:sz w:val="28"/>
          <w:szCs w:val="28"/>
        </w:rPr>
        <w:t>о</w:t>
      </w:r>
      <w:r w:rsidR="008532E2" w:rsidRPr="00670629">
        <w:rPr>
          <w:rFonts w:ascii="Times New Roman" w:hAnsi="Times New Roman" w:cs="Times New Roman"/>
          <w:sz w:val="28"/>
          <w:szCs w:val="28"/>
        </w:rPr>
        <w:t xml:space="preserve"> в приложении</w:t>
      </w:r>
      <w:r w:rsidR="00757BEA" w:rsidRPr="00670629">
        <w:rPr>
          <w:rFonts w:ascii="Times New Roman" w:hAnsi="Times New Roman" w:cs="Times New Roman"/>
          <w:sz w:val="28"/>
          <w:szCs w:val="28"/>
        </w:rPr>
        <w:t xml:space="preserve"> 1</w:t>
      </w:r>
      <w:r w:rsidR="008532E2" w:rsidRPr="00670629">
        <w:rPr>
          <w:rFonts w:ascii="Times New Roman" w:hAnsi="Times New Roman" w:cs="Times New Roman"/>
          <w:sz w:val="28"/>
          <w:szCs w:val="28"/>
        </w:rPr>
        <w:t xml:space="preserve"> к пояснительной записке</w:t>
      </w:r>
      <w:r w:rsidR="008532E2" w:rsidRPr="002B233F">
        <w:rPr>
          <w:rFonts w:ascii="Times New Roman" w:hAnsi="Times New Roman" w:cs="Times New Roman"/>
          <w:sz w:val="28"/>
          <w:szCs w:val="28"/>
        </w:rPr>
        <w:t>.</w:t>
      </w:r>
    </w:p>
    <w:p w:rsidR="005618BD" w:rsidRDefault="005618BD" w:rsidP="00A91028">
      <w:pPr>
        <w:spacing w:after="0" w:line="360" w:lineRule="auto"/>
        <w:ind w:right="-1" w:firstLine="567"/>
        <w:jc w:val="both"/>
        <w:rPr>
          <w:rFonts w:ascii="Times New Roman" w:hAnsi="Times New Roman" w:cs="Times New Roman"/>
          <w:sz w:val="28"/>
          <w:szCs w:val="28"/>
        </w:rPr>
      </w:pPr>
    </w:p>
    <w:p w:rsidR="005618BD" w:rsidRPr="002B233F" w:rsidRDefault="005618BD" w:rsidP="00A91028">
      <w:pPr>
        <w:spacing w:after="0" w:line="360" w:lineRule="auto"/>
        <w:ind w:right="-1" w:firstLine="567"/>
        <w:jc w:val="both"/>
        <w:rPr>
          <w:rFonts w:ascii="Times New Roman" w:hAnsi="Times New Roman" w:cs="Times New Roman"/>
          <w:sz w:val="28"/>
          <w:szCs w:val="28"/>
        </w:rPr>
      </w:pPr>
      <w:r w:rsidRPr="002B233F">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87112F" w:rsidRDefault="008532E2" w:rsidP="00A91028">
      <w:pPr>
        <w:spacing w:after="0" w:line="360" w:lineRule="auto"/>
        <w:ind w:firstLine="567"/>
        <w:jc w:val="both"/>
        <w:rPr>
          <w:rFonts w:ascii="Times New Roman" w:eastAsia="Calibri" w:hAnsi="Times New Roman" w:cs="Times New Roman"/>
          <w:sz w:val="28"/>
          <w:szCs w:val="28"/>
          <w:lang w:eastAsia="en-US"/>
        </w:rPr>
      </w:pPr>
      <w:r w:rsidRPr="0087112F">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DA1D2F" w:rsidRPr="0087112F">
        <w:rPr>
          <w:rFonts w:ascii="Times New Roman" w:eastAsia="Calibri" w:hAnsi="Times New Roman" w:cs="Times New Roman"/>
          <w:sz w:val="28"/>
          <w:szCs w:val="28"/>
          <w:lang w:eastAsia="en-US"/>
        </w:rPr>
        <w:t>полугодие</w:t>
      </w:r>
      <w:r w:rsidR="006A70FF" w:rsidRPr="0087112F">
        <w:rPr>
          <w:rFonts w:ascii="Times New Roman" w:eastAsia="Calibri" w:hAnsi="Times New Roman" w:cs="Times New Roman"/>
          <w:sz w:val="28"/>
          <w:szCs w:val="28"/>
          <w:lang w:eastAsia="en-US"/>
        </w:rPr>
        <w:t xml:space="preserve"> </w:t>
      </w:r>
      <w:r w:rsidR="001A1313" w:rsidRPr="0087112F">
        <w:rPr>
          <w:rFonts w:ascii="Times New Roman" w:eastAsia="Calibri" w:hAnsi="Times New Roman" w:cs="Times New Roman"/>
          <w:sz w:val="28"/>
          <w:szCs w:val="28"/>
          <w:lang w:eastAsia="en-US"/>
        </w:rPr>
        <w:t>202</w:t>
      </w:r>
      <w:r w:rsidR="00512CE4" w:rsidRPr="0087112F">
        <w:rPr>
          <w:rFonts w:ascii="Times New Roman" w:eastAsia="Calibri" w:hAnsi="Times New Roman" w:cs="Times New Roman"/>
          <w:sz w:val="28"/>
          <w:szCs w:val="28"/>
          <w:lang w:eastAsia="en-US"/>
        </w:rPr>
        <w:t>4</w:t>
      </w:r>
      <w:r w:rsidRPr="0087112F">
        <w:rPr>
          <w:rFonts w:ascii="Times New Roman" w:eastAsia="Calibri" w:hAnsi="Times New Roman" w:cs="Times New Roman"/>
          <w:sz w:val="28"/>
          <w:szCs w:val="28"/>
          <w:lang w:eastAsia="en-US"/>
        </w:rPr>
        <w:t xml:space="preserve"> года составляет </w:t>
      </w:r>
      <w:r w:rsidR="003D2958" w:rsidRPr="0087112F">
        <w:rPr>
          <w:rFonts w:ascii="Times New Roman" w:eastAsia="Calibri" w:hAnsi="Times New Roman" w:cs="Times New Roman"/>
          <w:sz w:val="28"/>
          <w:szCs w:val="28"/>
          <w:lang w:eastAsia="en-US"/>
        </w:rPr>
        <w:t>68</w:t>
      </w:r>
      <w:r w:rsidRPr="0087112F">
        <w:rPr>
          <w:rFonts w:ascii="Times New Roman" w:eastAsia="Calibri" w:hAnsi="Times New Roman" w:cs="Times New Roman"/>
          <w:sz w:val="28"/>
          <w:szCs w:val="28"/>
          <w:lang w:eastAsia="en-US"/>
        </w:rPr>
        <w:t>% от структуры программных расходов бюджета города, или</w:t>
      </w:r>
      <w:r w:rsidR="006670EA" w:rsidRPr="0087112F">
        <w:rPr>
          <w:rFonts w:ascii="Times New Roman" w:eastAsia="Calibri" w:hAnsi="Times New Roman" w:cs="Times New Roman"/>
          <w:sz w:val="28"/>
          <w:szCs w:val="28"/>
          <w:lang w:eastAsia="en-US"/>
        </w:rPr>
        <w:t xml:space="preserve"> </w:t>
      </w:r>
      <w:r w:rsidR="003D2958" w:rsidRPr="0087112F">
        <w:rPr>
          <w:rFonts w:ascii="Times New Roman" w:eastAsia="Calibri" w:hAnsi="Times New Roman" w:cs="Times New Roman"/>
          <w:sz w:val="28"/>
          <w:szCs w:val="28"/>
          <w:lang w:eastAsia="en-US"/>
        </w:rPr>
        <w:t>4 387 772,6</w:t>
      </w:r>
      <w:r w:rsidRPr="0087112F">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87112F">
        <w:rPr>
          <w:rFonts w:ascii="Times New Roman" w:eastAsia="Calibri" w:hAnsi="Times New Roman" w:cs="Times New Roman"/>
          <w:sz w:val="28"/>
          <w:szCs w:val="28"/>
          <w:lang w:eastAsia="en-US"/>
        </w:rPr>
        <w:t xml:space="preserve">и жилищно-коммунального хозяйства </w:t>
      </w:r>
      <w:r w:rsidRPr="0087112F">
        <w:rPr>
          <w:rFonts w:ascii="Times New Roman" w:eastAsia="Calibri" w:hAnsi="Times New Roman" w:cs="Times New Roman"/>
          <w:sz w:val="28"/>
          <w:szCs w:val="28"/>
          <w:lang w:eastAsia="en-US"/>
        </w:rPr>
        <w:t xml:space="preserve">составили </w:t>
      </w:r>
      <w:r w:rsidR="003D2958" w:rsidRPr="0087112F">
        <w:rPr>
          <w:rFonts w:ascii="Times New Roman" w:eastAsia="Calibri" w:hAnsi="Times New Roman" w:cs="Times New Roman"/>
          <w:sz w:val="28"/>
          <w:szCs w:val="28"/>
          <w:lang w:eastAsia="en-US"/>
        </w:rPr>
        <w:t>1 389 443,5</w:t>
      </w:r>
      <w:r w:rsidRPr="0087112F">
        <w:rPr>
          <w:rFonts w:ascii="Times New Roman" w:eastAsia="Calibri" w:hAnsi="Times New Roman" w:cs="Times New Roman"/>
          <w:sz w:val="28"/>
          <w:szCs w:val="28"/>
          <w:lang w:eastAsia="en-US"/>
        </w:rPr>
        <w:t xml:space="preserve"> тыс. рублей или </w:t>
      </w:r>
      <w:r w:rsidR="003D2958" w:rsidRPr="0087112F">
        <w:rPr>
          <w:rFonts w:ascii="Times New Roman" w:eastAsia="Calibri" w:hAnsi="Times New Roman" w:cs="Times New Roman"/>
          <w:sz w:val="28"/>
          <w:szCs w:val="28"/>
          <w:lang w:eastAsia="en-US"/>
        </w:rPr>
        <w:t>22</w:t>
      </w:r>
      <w:r w:rsidRPr="0087112F">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87112F">
        <w:rPr>
          <w:rFonts w:ascii="Times New Roman" w:eastAsia="Calibri" w:hAnsi="Times New Roman" w:cs="Times New Roman"/>
          <w:sz w:val="28"/>
          <w:szCs w:val="28"/>
          <w:lang w:eastAsia="en-US"/>
        </w:rPr>
        <w:t>направлено</w:t>
      </w:r>
      <w:r w:rsidRPr="0087112F">
        <w:rPr>
          <w:rFonts w:ascii="Times New Roman" w:eastAsia="Calibri" w:hAnsi="Times New Roman" w:cs="Times New Roman"/>
          <w:sz w:val="28"/>
          <w:szCs w:val="28"/>
          <w:lang w:eastAsia="en-US"/>
        </w:rPr>
        <w:t xml:space="preserve"> </w:t>
      </w:r>
      <w:r w:rsidR="00EA4B8B" w:rsidRPr="0087112F">
        <w:rPr>
          <w:rFonts w:ascii="Times New Roman" w:eastAsia="Calibri" w:hAnsi="Times New Roman" w:cs="Times New Roman"/>
          <w:sz w:val="28"/>
          <w:szCs w:val="28"/>
          <w:lang w:eastAsia="en-US"/>
        </w:rPr>
        <w:t>1</w:t>
      </w:r>
      <w:r w:rsidR="003D2958" w:rsidRPr="0087112F">
        <w:rPr>
          <w:rFonts w:ascii="Times New Roman" w:eastAsia="Calibri" w:hAnsi="Times New Roman" w:cs="Times New Roman"/>
          <w:sz w:val="28"/>
          <w:szCs w:val="28"/>
          <w:lang w:eastAsia="en-US"/>
        </w:rPr>
        <w:t>0</w:t>
      </w:r>
      <w:r w:rsidRPr="0087112F">
        <w:rPr>
          <w:rFonts w:ascii="Times New Roman" w:eastAsia="Calibri" w:hAnsi="Times New Roman" w:cs="Times New Roman"/>
          <w:sz w:val="28"/>
          <w:szCs w:val="28"/>
          <w:lang w:eastAsia="en-US"/>
        </w:rPr>
        <w:t xml:space="preserve">% в структуре программных расходов или </w:t>
      </w:r>
      <w:r w:rsidR="003D2958" w:rsidRPr="0087112F">
        <w:rPr>
          <w:rFonts w:ascii="Times New Roman" w:eastAsia="Calibri" w:hAnsi="Times New Roman" w:cs="Times New Roman"/>
          <w:sz w:val="28"/>
          <w:szCs w:val="28"/>
          <w:lang w:eastAsia="en-US"/>
        </w:rPr>
        <w:t>641 700,8</w:t>
      </w:r>
      <w:r w:rsidRPr="0087112F">
        <w:rPr>
          <w:rFonts w:ascii="Times New Roman" w:eastAsia="Calibri" w:hAnsi="Times New Roman" w:cs="Times New Roman"/>
          <w:sz w:val="28"/>
          <w:szCs w:val="28"/>
          <w:lang w:eastAsia="en-US"/>
        </w:rPr>
        <w:t xml:space="preserve"> тыс. рублей.</w:t>
      </w:r>
    </w:p>
    <w:p w:rsidR="008532E2" w:rsidRPr="002B233F" w:rsidRDefault="008532E2" w:rsidP="00A91028">
      <w:pPr>
        <w:spacing w:after="0" w:line="360" w:lineRule="auto"/>
        <w:ind w:firstLine="567"/>
        <w:jc w:val="both"/>
        <w:rPr>
          <w:rFonts w:ascii="Times New Roman" w:eastAsia="Courier New" w:hAnsi="Times New Roman" w:cs="Times New Roman"/>
          <w:color w:val="000000"/>
          <w:sz w:val="28"/>
          <w:szCs w:val="28"/>
        </w:rPr>
      </w:pPr>
      <w:r w:rsidRPr="0087112F">
        <w:rPr>
          <w:rFonts w:ascii="Times New Roman" w:eastAsia="Courier New" w:hAnsi="Times New Roman" w:cs="Times New Roman"/>
          <w:color w:val="000000"/>
          <w:sz w:val="28"/>
          <w:szCs w:val="28"/>
        </w:rPr>
        <w:t xml:space="preserve">На реализацию </w:t>
      </w:r>
      <w:r w:rsidR="004554C1" w:rsidRPr="0087112F">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87112F">
        <w:rPr>
          <w:rFonts w:ascii="Times New Roman" w:eastAsia="Courier New" w:hAnsi="Times New Roman" w:cs="Times New Roman"/>
          <w:color w:val="000000"/>
          <w:sz w:val="28"/>
          <w:szCs w:val="28"/>
        </w:rPr>
        <w:t>национальных</w:t>
      </w:r>
      <w:r w:rsidR="004554C1" w:rsidRPr="0087112F">
        <w:rPr>
          <w:rFonts w:ascii="Times New Roman" w:eastAsia="Courier New" w:hAnsi="Times New Roman" w:cs="Times New Roman"/>
          <w:color w:val="000000"/>
          <w:sz w:val="28"/>
          <w:szCs w:val="28"/>
        </w:rPr>
        <w:t xml:space="preserve"> (федеральных)</w:t>
      </w:r>
      <w:r w:rsidRPr="0087112F">
        <w:rPr>
          <w:rFonts w:ascii="Times New Roman" w:eastAsia="Courier New" w:hAnsi="Times New Roman" w:cs="Times New Roman"/>
          <w:color w:val="000000"/>
          <w:sz w:val="28"/>
          <w:szCs w:val="28"/>
        </w:rPr>
        <w:t xml:space="preserve"> проектов </w:t>
      </w:r>
      <w:r w:rsidR="00DA1D2F" w:rsidRPr="0087112F">
        <w:rPr>
          <w:rFonts w:ascii="Times New Roman" w:eastAsia="Courier New" w:hAnsi="Times New Roman" w:cs="Times New Roman"/>
          <w:color w:val="000000"/>
          <w:sz w:val="28"/>
          <w:szCs w:val="28"/>
        </w:rPr>
        <w:t>за полугодие</w:t>
      </w:r>
      <w:r w:rsidR="00512CE4" w:rsidRPr="0087112F">
        <w:rPr>
          <w:rFonts w:ascii="Times New Roman" w:eastAsia="Courier New" w:hAnsi="Times New Roman" w:cs="Times New Roman"/>
          <w:color w:val="000000"/>
          <w:sz w:val="28"/>
          <w:szCs w:val="28"/>
        </w:rPr>
        <w:t xml:space="preserve"> </w:t>
      </w:r>
      <w:r w:rsidRPr="0087112F">
        <w:rPr>
          <w:rFonts w:ascii="Times New Roman" w:eastAsia="Courier New" w:hAnsi="Times New Roman" w:cs="Times New Roman"/>
          <w:color w:val="000000"/>
          <w:sz w:val="28"/>
          <w:szCs w:val="28"/>
        </w:rPr>
        <w:t>202</w:t>
      </w:r>
      <w:r w:rsidR="00512CE4" w:rsidRPr="0087112F">
        <w:rPr>
          <w:rFonts w:ascii="Times New Roman" w:eastAsia="Courier New" w:hAnsi="Times New Roman" w:cs="Times New Roman"/>
          <w:color w:val="000000"/>
          <w:sz w:val="28"/>
          <w:szCs w:val="28"/>
        </w:rPr>
        <w:t>4</w:t>
      </w:r>
      <w:r w:rsidRPr="0087112F">
        <w:rPr>
          <w:rFonts w:ascii="Times New Roman" w:eastAsia="Courier New" w:hAnsi="Times New Roman" w:cs="Times New Roman"/>
          <w:color w:val="000000"/>
          <w:sz w:val="28"/>
          <w:szCs w:val="28"/>
        </w:rPr>
        <w:t xml:space="preserve"> году направлены средства в сумме </w:t>
      </w:r>
      <w:r w:rsidR="00D87003" w:rsidRPr="0087112F">
        <w:rPr>
          <w:rFonts w:ascii="Times New Roman" w:eastAsia="Courier New" w:hAnsi="Times New Roman" w:cs="Times New Roman"/>
          <w:color w:val="000000"/>
          <w:sz w:val="28"/>
          <w:szCs w:val="28"/>
        </w:rPr>
        <w:t>550 251,1</w:t>
      </w:r>
      <w:r w:rsidRPr="0087112F">
        <w:rPr>
          <w:rFonts w:ascii="Times New Roman" w:eastAsia="Courier New" w:hAnsi="Times New Roman" w:cs="Times New Roman"/>
          <w:color w:val="000000"/>
          <w:sz w:val="28"/>
          <w:szCs w:val="28"/>
        </w:rPr>
        <w:t xml:space="preserve"> тыс. рублей, из них средства местного бюджета</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56 030,9</w:t>
      </w:r>
      <w:r w:rsidR="008B241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 xml:space="preserve">тыс. рублей, </w:t>
      </w:r>
      <w:r w:rsidR="007C7D87" w:rsidRPr="002B233F">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494 220,2</w:t>
      </w:r>
      <w:r w:rsidR="0069596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тыс. рублей.</w:t>
      </w:r>
    </w:p>
    <w:p w:rsidR="005E254B" w:rsidRPr="002B233F" w:rsidRDefault="004554C1" w:rsidP="00A91028">
      <w:pPr>
        <w:spacing w:after="0" w:line="360" w:lineRule="auto"/>
        <w:ind w:right="-1" w:firstLine="567"/>
        <w:jc w:val="both"/>
        <w:rPr>
          <w:rFonts w:ascii="Times New Roman" w:hAnsi="Times New Roman" w:cs="Times New Roman"/>
          <w:sz w:val="28"/>
          <w:szCs w:val="28"/>
        </w:rPr>
      </w:pPr>
      <w:r w:rsidRPr="002B233F">
        <w:rPr>
          <w:rFonts w:ascii="Times New Roman" w:hAnsi="Times New Roman" w:cs="Times New Roman"/>
          <w:sz w:val="28"/>
          <w:szCs w:val="28"/>
        </w:rPr>
        <w:t xml:space="preserve">Более подробный анализ </w:t>
      </w:r>
      <w:r w:rsidR="005E254B" w:rsidRPr="002B233F">
        <w:rPr>
          <w:rFonts w:ascii="Times New Roman" w:hAnsi="Times New Roman" w:cs="Times New Roman"/>
          <w:sz w:val="28"/>
          <w:szCs w:val="28"/>
        </w:rPr>
        <w:t xml:space="preserve">исполнения </w:t>
      </w:r>
      <w:r w:rsidRPr="002B233F">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w:t>
      </w:r>
      <w:r w:rsidR="005E254B" w:rsidRPr="002B233F">
        <w:rPr>
          <w:rFonts w:ascii="Times New Roman" w:hAnsi="Times New Roman" w:cs="Times New Roman"/>
          <w:sz w:val="28"/>
          <w:szCs w:val="28"/>
        </w:rPr>
        <w:t xml:space="preserve"> представлен в </w:t>
      </w:r>
      <w:r w:rsidR="00757BEA" w:rsidRPr="002B233F">
        <w:rPr>
          <w:rFonts w:ascii="Times New Roman" w:hAnsi="Times New Roman" w:cs="Times New Roman"/>
          <w:sz w:val="28"/>
          <w:szCs w:val="28"/>
        </w:rPr>
        <w:t>приложении 2 к пояснительной записке</w:t>
      </w:r>
      <w:r w:rsidR="005E254B" w:rsidRPr="002B233F">
        <w:rPr>
          <w:rFonts w:ascii="Times New Roman" w:hAnsi="Times New Roman" w:cs="Times New Roman"/>
          <w:sz w:val="28"/>
          <w:szCs w:val="28"/>
        </w:rPr>
        <w:t>.</w:t>
      </w:r>
    </w:p>
    <w:p w:rsidR="008532E2" w:rsidRPr="002B233F" w:rsidRDefault="008532E2" w:rsidP="00A91028">
      <w:pPr>
        <w:spacing w:after="0" w:line="240" w:lineRule="auto"/>
        <w:ind w:firstLine="567"/>
        <w:jc w:val="center"/>
        <w:rPr>
          <w:rFonts w:ascii="Times New Roman" w:hAnsi="Times New Roman" w:cs="Times New Roman"/>
          <w:b/>
          <w:color w:val="FF0000"/>
          <w:sz w:val="28"/>
          <w:szCs w:val="28"/>
        </w:rPr>
      </w:pPr>
    </w:p>
    <w:p w:rsidR="008532E2" w:rsidRPr="002B233F" w:rsidRDefault="008532E2" w:rsidP="00AB6B60">
      <w:pPr>
        <w:spacing w:after="0"/>
        <w:jc w:val="right"/>
        <w:rPr>
          <w:rFonts w:ascii="Times New Roman" w:hAnsi="Times New Roman" w:cs="Times New Roman"/>
          <w:sz w:val="24"/>
          <w:szCs w:val="24"/>
        </w:rPr>
      </w:pPr>
    </w:p>
    <w:p w:rsidR="008532E2" w:rsidRPr="002B233F" w:rsidRDefault="008532E2" w:rsidP="00AB6B60">
      <w:pPr>
        <w:spacing w:after="0"/>
        <w:jc w:val="right"/>
        <w:rPr>
          <w:rFonts w:ascii="Times New Roman" w:hAnsi="Times New Roman" w:cs="Times New Roman"/>
          <w:sz w:val="24"/>
          <w:szCs w:val="24"/>
        </w:rPr>
      </w:pPr>
      <w:r w:rsidRPr="002B233F">
        <w:rPr>
          <w:rFonts w:ascii="Times New Roman" w:eastAsia="Times New Roman" w:hAnsi="Times New Roman" w:cs="Times New Roman"/>
          <w:color w:val="000000" w:themeColor="text1"/>
          <w:sz w:val="28"/>
          <w:szCs w:val="28"/>
        </w:rPr>
        <w:t>Директор Департамента                                                                       О.И.Граф</w:t>
      </w:r>
    </w:p>
    <w:p w:rsidR="002D0C44" w:rsidRPr="002B233F" w:rsidRDefault="002D0C44" w:rsidP="002D0C44">
      <w:pPr>
        <w:spacing w:after="0"/>
        <w:ind w:firstLine="709"/>
        <w:jc w:val="both"/>
        <w:rPr>
          <w:rFonts w:ascii="Times New Roman" w:eastAsia="Times New Roman" w:hAnsi="Times New Roman" w:cs="Times New Roman"/>
          <w:color w:val="FF0000"/>
          <w:sz w:val="28"/>
          <w:szCs w:val="28"/>
        </w:rPr>
      </w:pPr>
    </w:p>
    <w:p w:rsidR="00AB6B60" w:rsidRPr="002B233F" w:rsidRDefault="00AB6B60" w:rsidP="00D74A3B">
      <w:pPr>
        <w:spacing w:after="0"/>
        <w:rPr>
          <w:rFonts w:ascii="Times New Roman" w:eastAsia="Times New Roman" w:hAnsi="Times New Roman" w:cs="Times New Roman"/>
          <w:color w:val="FF0000"/>
          <w:sz w:val="28"/>
          <w:szCs w:val="28"/>
        </w:rPr>
      </w:pPr>
    </w:p>
    <w:p w:rsidR="0037638C" w:rsidRPr="002B233F" w:rsidRDefault="0037638C" w:rsidP="00D74A3B">
      <w:pPr>
        <w:spacing w:after="0"/>
        <w:rPr>
          <w:rFonts w:ascii="Times New Roman" w:eastAsia="Times New Roman" w:hAnsi="Times New Roman" w:cs="Times New Roman"/>
          <w:color w:val="000000" w:themeColor="text1"/>
          <w:sz w:val="28"/>
          <w:szCs w:val="28"/>
        </w:rPr>
        <w:sectPr w:rsidR="0037638C" w:rsidRPr="002B233F" w:rsidSect="000C15D9">
          <w:headerReference w:type="default" r:id="rId18"/>
          <w:pgSz w:w="11906" w:h="16838"/>
          <w:pgMar w:top="1135" w:right="1276" w:bottom="1134" w:left="1559" w:header="709" w:footer="709" w:gutter="0"/>
          <w:cols w:space="708"/>
          <w:titlePg/>
          <w:docGrid w:linePitch="360"/>
        </w:sectPr>
      </w:pPr>
    </w:p>
    <w:p w:rsidR="00757BEA" w:rsidRPr="002B233F" w:rsidRDefault="001A63D5" w:rsidP="001A63D5">
      <w:pPr>
        <w:jc w:val="right"/>
        <w:rPr>
          <w:rFonts w:ascii="Times New Roman" w:eastAsia="Times New Roman" w:hAnsi="Times New Roman" w:cs="Times New Roman"/>
          <w:sz w:val="14"/>
          <w:szCs w:val="14"/>
        </w:rPr>
      </w:pPr>
      <w:bookmarkStart w:id="1" w:name="RANGE!A1:S454"/>
      <w:bookmarkEnd w:id="1"/>
      <w:r w:rsidRPr="002B233F">
        <w:rPr>
          <w:rFonts w:ascii="Times New Roman" w:eastAsia="Times New Roman" w:hAnsi="Times New Roman" w:cs="Times New Roman"/>
          <w:sz w:val="14"/>
          <w:szCs w:val="14"/>
        </w:rPr>
        <w:t>Приложение 1 к пояснительной записке</w:t>
      </w:r>
    </w:p>
    <w:p w:rsidR="001A63D5" w:rsidRPr="002B233F" w:rsidRDefault="001A63D5" w:rsidP="001A63D5">
      <w:pPr>
        <w:jc w:val="right"/>
        <w:rPr>
          <w:rFonts w:ascii="Times New Roman" w:eastAsia="Times New Roman" w:hAnsi="Times New Roman" w:cs="Times New Roman"/>
          <w:sz w:val="14"/>
          <w:szCs w:val="14"/>
        </w:rPr>
      </w:pPr>
    </w:p>
    <w:p w:rsidR="001A63D5" w:rsidRPr="002B233F" w:rsidRDefault="001A63D5" w:rsidP="001A63D5">
      <w:pPr>
        <w:jc w:val="center"/>
        <w:rPr>
          <w:rFonts w:ascii="Times New Roman" w:eastAsia="Times New Roman" w:hAnsi="Times New Roman" w:cs="Times New Roman"/>
          <w:b/>
          <w:sz w:val="20"/>
          <w:szCs w:val="20"/>
        </w:rPr>
      </w:pPr>
      <w:r w:rsidRPr="002B233F">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DA1D2F">
        <w:rPr>
          <w:rFonts w:ascii="Times New Roman" w:eastAsia="Times New Roman" w:hAnsi="Times New Roman" w:cs="Times New Roman"/>
          <w:b/>
          <w:sz w:val="20"/>
          <w:szCs w:val="20"/>
        </w:rPr>
        <w:t>полугодие</w:t>
      </w:r>
      <w:r w:rsidRPr="002B233F">
        <w:rPr>
          <w:rFonts w:ascii="Times New Roman" w:eastAsia="Times New Roman" w:hAnsi="Times New Roman" w:cs="Times New Roman"/>
          <w:b/>
          <w:sz w:val="20"/>
          <w:szCs w:val="20"/>
        </w:rPr>
        <w:t xml:space="preserve"> 202</w:t>
      </w:r>
      <w:r w:rsidR="003B670E" w:rsidRPr="002B233F">
        <w:rPr>
          <w:rFonts w:ascii="Times New Roman" w:eastAsia="Times New Roman" w:hAnsi="Times New Roman" w:cs="Times New Roman"/>
          <w:b/>
          <w:sz w:val="20"/>
          <w:szCs w:val="20"/>
        </w:rPr>
        <w:t>4</w:t>
      </w:r>
      <w:r w:rsidRPr="002B233F">
        <w:rPr>
          <w:rFonts w:ascii="Times New Roman" w:eastAsia="Times New Roman" w:hAnsi="Times New Roman" w:cs="Times New Roman"/>
          <w:b/>
          <w:sz w:val="20"/>
          <w:szCs w:val="20"/>
        </w:rPr>
        <w:t xml:space="preserve"> года</w:t>
      </w:r>
    </w:p>
    <w:p w:rsidR="001A63D5" w:rsidRPr="002B233F" w:rsidRDefault="001A63D5" w:rsidP="001A63D5">
      <w:pPr>
        <w:jc w:val="right"/>
        <w:rPr>
          <w:rFonts w:ascii="Times New Roman" w:eastAsia="Times New Roman" w:hAnsi="Times New Roman" w:cs="Times New Roman"/>
          <w:sz w:val="14"/>
          <w:szCs w:val="14"/>
        </w:rPr>
      </w:pPr>
      <w:r w:rsidRPr="002B233F">
        <w:rPr>
          <w:rFonts w:ascii="Times New Roman" w:eastAsia="Times New Roman" w:hAnsi="Times New Roman" w:cs="Times New Roman"/>
          <w:sz w:val="14"/>
          <w:szCs w:val="14"/>
        </w:rPr>
        <w:t>(рубли)</w:t>
      </w:r>
    </w:p>
    <w:tbl>
      <w:tblPr>
        <w:tblW w:w="14878" w:type="dxa"/>
        <w:tblInd w:w="113" w:type="dxa"/>
        <w:tblLook w:val="04A0" w:firstRow="1" w:lastRow="0" w:firstColumn="1" w:lastColumn="0" w:noHBand="0" w:noVBand="1"/>
      </w:tblPr>
      <w:tblGrid>
        <w:gridCol w:w="4840"/>
        <w:gridCol w:w="1180"/>
        <w:gridCol w:w="1880"/>
        <w:gridCol w:w="742"/>
        <w:gridCol w:w="1701"/>
        <w:gridCol w:w="1701"/>
        <w:gridCol w:w="1701"/>
        <w:gridCol w:w="1133"/>
      </w:tblGrid>
      <w:tr w:rsidR="000C3106" w:rsidRPr="000C3106" w:rsidTr="000C3106">
        <w:trPr>
          <w:trHeight w:val="55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Наименование</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Исполнение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Остаток от уточненного плана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 исполнения уточненного плана</w:t>
            </w:r>
          </w:p>
        </w:tc>
      </w:tr>
      <w:tr w:rsidR="000C3106" w:rsidRPr="000C3106" w:rsidTr="000C3106">
        <w:trPr>
          <w:trHeight w:val="357"/>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РзПр</w:t>
            </w:r>
          </w:p>
        </w:tc>
        <w:tc>
          <w:tcPr>
            <w:tcW w:w="18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ЦСР</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r>
      <w:tr w:rsidR="000C3106" w:rsidRPr="000C3106" w:rsidTr="000C3106">
        <w:trPr>
          <w:trHeight w:val="6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58 871 082,29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50 893 118,43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7 977 963,86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86,4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57 444 745,54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50 623 155,01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6 821 590,53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88,1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4 703 470,80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0310120060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4 703 470,80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10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4 978 700,00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2 209 753,65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2 768 946,35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44,4 </w:t>
            </w:r>
          </w:p>
        </w:tc>
      </w:tr>
      <w:tr w:rsidR="000C3106" w:rsidRPr="000C3106" w:rsidTr="000C3106">
        <w:trPr>
          <w:trHeight w:val="19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2 139 753,65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2 538 146,35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230 800,00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0310420050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0310651200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44 514 882,00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0310942110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44 514 882,00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892 940,00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0320185230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29,3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263 433,33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285 152 006,72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130 088 446,82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155 063 559,90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"Градостроительное обеспечение и комплексное развитие территории"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33 934 563,13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20 933 913,58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полномочий в области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30 707 295,13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17 706 645,58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0410182910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10 612 600,00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10 612 600,00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11 400 649,55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3 387 375,58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04101S2910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1 311 670,00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1 311 670,00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Гранты в форме субсидий общественным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0410361800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62 756 142,12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16 132 187,05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46 623 955,07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35 452 544,62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3 436 059,55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32 016 485,07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0420182751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9 859 500,00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21 367 544,62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3 436 059,55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17 931 485,07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04201S2751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4 225 500,00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27 303 597,50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12 696 127,50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042F255550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27 303 597,50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12 696 127,50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77 186 229,57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42 952 247,65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34 233 981,92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25 130 205,84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8 426 979,66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16 703 226,18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33,5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78 711 631,06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47 258 809,18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31 452 821,88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888 240,00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1 493 763,79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3 893 338,01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88 156,74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274 083,26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384 684 906,12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184 329 459,36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200 355 446,76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62 702 782,66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25 071 623,41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37 631 159,25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36 507 142,16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17 523 614,11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18 983 528,05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145 921,65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204 078,35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5 303 300,00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5 303 300,00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11 614 281,98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8 339 205,28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5 763 410,48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5 136 944,42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7 468 009,30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6 747 486,50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Мероприятий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855 872,00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7 468 009,30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5 891 614,50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11 980 144,70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11 900 144,70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0,7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3 186 400,00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4 890 565,76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182 773,68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167 705,26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189 116 816,43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95 336 407,86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93 780 408,57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109 284 448,86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53 861 267,24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55 423 181,62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21 454 910,00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9 399 835,80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12 055 074,20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483 670,00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1 162 417,17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116 067,25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219 762,75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60 587,80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83 443,20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282 168 902,99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143 813 168,32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138 355 734,67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105 039 394,42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43 501 329,13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61 538 065,29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104 931 794,42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43 396 957,13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61 534 837,29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103 842 259,42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42 613 099,13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61 229 160,29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0610182520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129 983,00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49 427,00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Государственная поддержка отрасли культуры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06101L5191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06101S2520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51 250,00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104 372,00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10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0610284100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104 372,00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164 484 063,57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97 161 321,23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67 322 742,34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59,1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11 625 445,00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2 130 517,96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9 494 927,04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8 586 968 041,86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3 713 241 653,25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4 873 726 388,61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5 983 366 619,13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2 921 888 268,63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3 061 478 350,50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2 921 280,00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183 392,85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2 737 887,15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323 800,00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1 195 320,00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1 402 160,00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183 392,85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1 218 767,15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13,1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27 441 817,35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39 415 619,32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1 778 028,23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5 250 141,77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6 403 659,29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12 200 040,71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0710284080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14 991 023,62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13 799 076,38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07102S2050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4 269 106,21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8 133 360,46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7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5 813 292 584,37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2 877 889 376,64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2 935 403 207,73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227 730 375,75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120 476 681,19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107 253 694,56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278 639 145,55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146 132 753,09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132 506 392,46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359 094 082,11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203 278 936,88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155 815 145,23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15 348 651,82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7 716 047,13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7 632 604,69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50,3 </w:t>
            </w:r>
          </w:p>
        </w:tc>
      </w:tr>
      <w:tr w:rsidR="000C3106" w:rsidRPr="000C3106" w:rsidTr="000C3106">
        <w:trPr>
          <w:trHeight w:val="17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0710382470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3 928 000,00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10 376 000,00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27,5 </w:t>
            </w:r>
          </w:p>
        </w:tc>
      </w:tr>
      <w:tr w:rsidR="000C3106" w:rsidRPr="000C3106" w:rsidTr="000C3106">
        <w:trPr>
          <w:trHeight w:val="15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165 298 201,69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133 247 598,31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3 121 632,64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1 526 855,82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67,2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293 261,04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45 129 534,40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38 834 465,60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53,7 </w:t>
            </w:r>
          </w:p>
        </w:tc>
      </w:tr>
      <w:tr w:rsidR="000C3106" w:rsidRPr="000C3106" w:rsidTr="000C3106">
        <w:trPr>
          <w:trHeight w:val="17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1 829 454 607,75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772 923 353,48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1 056 531 254,27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42,2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123 199 992,25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57 062 500,00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66 137 492,25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w:t>
            </w:r>
          </w:p>
        </w:tc>
      </w:tr>
      <w:tr w:rsidR="000C3106" w:rsidRPr="000C3106" w:rsidTr="000C3106">
        <w:trPr>
          <w:trHeight w:val="16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74 880 600,00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24 592 489,65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50 288 110,35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32,8 </w:t>
            </w:r>
          </w:p>
        </w:tc>
      </w:tr>
      <w:tr w:rsidR="000C3106" w:rsidRPr="000C3106" w:rsidTr="000C3106">
        <w:trPr>
          <w:trHeight w:val="16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2 258 282 700,00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1 206 952 228,95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1 051 330 471,05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8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4 263 751,06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5 562 648,94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431 609,83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986 419,31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55 166 726,00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40 764 674,00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61 121 669,61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76 253 130,39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44,5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94 402 187,09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13 442 157,32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80 960 029,77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4 142 343,12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52 121 360,39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212 296,30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364 218,17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36,8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15 855 800,82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1 662 585,37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14 193 215,45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21 706 168,29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7 424 932,53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14 281 235,76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2 931 524,47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071EВ51790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2 931 524,47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7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142 945,00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36,7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913 710,20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2 430 301,80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808 521,20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808 521,20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105 189,00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105 189,00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2 599 735 210,73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790 167 327,42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1 809 567 883,31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35 391 895,80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20 816 198,62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14 575 697,18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31 640 929,80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18 823 483,75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12 817 446,05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1 821 846,00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205 594,87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1 616 251,13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11,3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126 391 734,69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71 734 881,03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54 656 853,66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56,8 </w:t>
            </w:r>
          </w:p>
        </w:tc>
      </w:tr>
      <w:tr w:rsidR="000C3106" w:rsidRPr="000C3106" w:rsidTr="000C3106">
        <w:trPr>
          <w:trHeight w:val="4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116 050 785,46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67 546 532,58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48 504 252,88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3 868 649,45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5 856 579,78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2 779,00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68 181,00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273 720,00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23 890 986,56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47 824 899,68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33,3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8 642 323,54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23 584 765,06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13 967 690,64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22 565 331,91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1 280 972,38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1 674 802,71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43,3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578 656 884,93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139 101 783,57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439 555 101,36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1 881 100,00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8 989 800,00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344 044 000,00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9 579 540,00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3 266 699,57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6 312 840,43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687 084,00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8 749 116,49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131 610 000,00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6 871 481,48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20 987 751,85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38 227 111,11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1 787 578 809,07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534 623 477,64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1 252 955 331,43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074E153050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232 403 760,00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232 403 760,00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39 469 636,85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70 578 490,00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40 049 953,66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30 528 536,34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13 412 395,11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15 889 627,11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074E1А3050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516 900 300,00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635 206 400,00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360 449 572,95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274 756 827,05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120 711 555,92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143 006 644,08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74 402,00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1 334 589 988,66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685 062 267,10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649 527 721,56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жилищного и дорожного хозяйства, благоустройство"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1 251 499 815,57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651 195 480,70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600 304 334,87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329 658 230,05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162 331 408,13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167 326 821,92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49,2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72 231 439,35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41 955 718,68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30 275 720,67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58,1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21 155 863,02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12 723 745,68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8 432 117,34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60,1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136 058 171,31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59 689 357,96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76 368 813,35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111 429,96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1 836,74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76 426 697,85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44 822 598,06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31 604 099,79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58,6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474 902,40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414 077,60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1 925 279,39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5 031 055,03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128 155,00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13 988 460,40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13 988 460,40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1 133 231,00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1 133 231,00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85 830 273,61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47 387 885,38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38 442 388,23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13 395 140,11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12 310 159,89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0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38 253 400,00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12 123 771,66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26 129 628,34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31,7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461 363 145,96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300 200 901,12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461 363 145,96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300 200 901,12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374 648 165,95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141 275 286,07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233 372 879,88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37,7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75 378 358,98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39 028 343,97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36 350 015,01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51,8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0810420020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11 477 114,43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2 340 359,44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66 251 037,90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37 266,00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1 249 361,08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3 377 672,92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27,0 </w:t>
            </w:r>
          </w:p>
        </w:tc>
      </w:tr>
      <w:tr w:rsidR="000C3106" w:rsidRPr="000C3106" w:rsidTr="000C3106">
        <w:trPr>
          <w:trHeight w:val="10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213 698 695,20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88 886 566,59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124 812 128,61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83 090 173,09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49 223 386,69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40,8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0820182591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13 857 200,00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08201S2591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3 464 300,00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6 520 265,69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2 977 611,32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1 383 333,33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0820599990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0820609505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6 717 000,00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8 955 300,00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08206S9605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4 098 376,35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Проектирование, строительство, реконструкция (капитальный ремонт) инженерных сетей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0820742110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145 960 542,87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107 342 721,68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38 617 821,19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73,5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109 583 258,43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95 857 456,28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13 725 802,15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87,5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60 233 109,76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2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37 059 088,42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24 843 159,18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12 215 929,24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13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4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4 580 336,78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3 070 502,82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1 509 833,96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36 348 584,44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11 485 265,40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24 863 319,04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0900351350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0900351760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4 393 210,76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4 393 210,76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09003L4970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11 485 265,40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6 471 908,28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64,0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0900484220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239 486 464,16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150 478 977,45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89 007 486,71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62,8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114 076 795,47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81 211 298,02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32 865 497,45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71,2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10 141 641,20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4 132 000,00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6 009 641,20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46 326 776,11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44 623 251,88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1 703 524,23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28 909 168,43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22 754 786,56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6 154 381,87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78,7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5 033 900,00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21 866 461,80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8 736 199,55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13 130 262,25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654 731,83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626 211,03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28 520,80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920 116,10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114 849,00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805 267,10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125 409 668,69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69 267 679,43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56 141 989,26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45 542 024,36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27 538 240,15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18 003 784,21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60,5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7 499 610,00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2 848 876,68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4 650 733,32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38,0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67 151 561,33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37 580 337,64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29 571 223,69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1 265 931,96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3 916 248,04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24,4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207 368 757,82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247 176 697,18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9 224 990,13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9 053 000,71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11 751 623,93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2 789 153,22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8 962 470,71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118 703,27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28 173,27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90 530,00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198 143 767,69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238 123 696,47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120 128 503,50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160 246 633,99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53 121 568,42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44 431 083,16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22 912 258,12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31 064 741,88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1 213 419,21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1 618 653,34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536 581,51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448 798,81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231 436,93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313 785,29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441 309 156,60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93 360 180,18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347 948 976,42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100 518 059,00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56 746 754,35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43 771 304,65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74 552 300,00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48 625 156,40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25 927 143,60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274 370,00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594 292,82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17 775 643,85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4 193 043,95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13 582 599,90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6 450 408,33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2 783 140,00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3 667 268,33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132 815,82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132 815,82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170 000 000,00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170 000 000,00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1400320210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96 596 678,60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69 194 419,00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36 480 610,01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32 713 808,99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19 439 372,00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11 836 913,35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7 602 458,65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60,9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14 436 640,00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8 117 687,88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6 318 952,12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453 869,00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490 575,00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318 587,11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160 587,11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158 000,00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Выполнение полномочий Думы города в сфере наград и почетных званий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574 700,00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109 193,00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465 507,00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Председатель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7 006 643,00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3 093 576,44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3 913 066,56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Депутаты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5 513 086,00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2 926 329,61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2 586 756,39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53,1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9 719 308,00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4 983 509,96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4 735 798,04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1 071 728,85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5 017 351,15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3 531 015,89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2 105 671,81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1 425 344,08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59,6 </w:t>
            </w:r>
          </w:p>
        </w:tc>
      </w:tr>
      <w:tr w:rsidR="000C3106" w:rsidRPr="000C3106" w:rsidTr="000C3106">
        <w:trPr>
          <w:trHeight w:val="12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363 125 501,17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197 580 627,18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165 544 873,99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54,4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130 839 520,22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106 515 599,76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24 323 920,46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1500183000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11 452 820,22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11 452 820,22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15001S3000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23 522 700,00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10 651 599,76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12 871 100,24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45,3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2 406 985,62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21 883 296,33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1 708 485,62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1 691 514,38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20 191 781,95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88 658 041,80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119 337 657,20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26 180 761,03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88 658 041,80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93 156 896,17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417 566 011,83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212 762 165,34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204 803 846,49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30 572 000,00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14 199 534,25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46,4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27 572 000,00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14 199 534,25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51,5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50 262 055,21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85 396 432,50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37,1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45 785 080,56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82 183 607,19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149 998,50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450 001,50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4 326 976,15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2 762 823,81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61,0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188 191 739,73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106 644 926,17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81 546 813,56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29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1700356940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10 075 496,00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19 364 458,00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27 828 228,00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9 516 464,00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9 516 464,00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32 665,47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37 570,53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3 644 349,30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1 916 351,95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1 727 997,35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13 466 565,19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12 721 162,81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82 383 773,43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56 776 301,56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25 607 471,87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5 013 088,00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4 107 915,00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63 143 784,39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41 655 649,71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21 488 134,68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66,0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59 444 909,14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40 675 567,16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18 769 341,98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68,4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3 698 875,25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980 082,55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2 718 792,70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26,5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174 353 077,05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80 585 875,49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93 767 201,56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30 530 193,02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7 516 864,16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23 013 328,86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24,6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14 293 971,51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1 974 322,88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12 319 648,63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114 886,88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2 355 599,01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5 295 730,62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501 929,00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4 793 801,62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1 357 507,00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5 170 248,00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16 236 221,51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5 542 541,28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10 693 680,23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5 542 541,28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5 644 035,23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5 049 645,00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5 049 645,00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2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129 494 867,45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69 639 196,88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59 855 670,57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53,8 </w:t>
            </w:r>
          </w:p>
        </w:tc>
      </w:tr>
      <w:tr w:rsidR="000C3106" w:rsidRPr="000C3106" w:rsidTr="000C3106">
        <w:trPr>
          <w:trHeight w:val="4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13 904 167,82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3 275 928,45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10 628 239,37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153 886,00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269 962,76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58 152 916,94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в сфере молодежной политики"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9 765 000,00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МБУ "Центр молодежных проектов"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26 283 479,52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700 676 165,09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416 861 651,19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283 814 513,90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1 014 000,00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583 845,00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1 014 000,00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583 845,00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63 461,50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63 461,50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699 382 165,09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416 214 344,69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283 167 820,40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182 580 428,07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121 512 299,76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61 068 128,31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66,6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117 388 786,27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55 406 769,09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61 982 017,18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47,2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1 853 724,62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5 347 775,38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366 757,00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332 073,00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7 753 423,00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4 527 362,46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3 226 060,54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306 170 023,08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200 576 635,88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105 593 387,20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24 922 307,36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6 176 741,34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18 745 566,02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7 708 394,17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9 282 897,83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973 500,00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1 769 278,00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1 164 663,20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435 336,80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72,8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3 547 131,51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1 252 868,49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891 093,51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5 176 194,76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6 190 025,24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220 538,50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1 937 141,50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10,2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26005D9300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2 199 266,60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1 994 333,40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98 191 540,98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18 864 382,33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79 327 158,65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271I482330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271I4S2330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53 533,33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271I582380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5 888 900,00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271I5S2380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654 322,22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38 039 400,00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4 165 962,89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33 873 437,11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2720284382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2720484383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20 500 000,00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2 335 962,89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2720861100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2 335 962,89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25 303 455,27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9 250 419,44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16 053 035,83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123 505,00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2740384120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4 886 925,00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2 801 908,38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57,3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2 381 578,38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53,3 </w:t>
            </w:r>
          </w:p>
        </w:tc>
      </w:tr>
      <w:tr w:rsidR="000C3106" w:rsidRPr="000C3106" w:rsidTr="000C3106">
        <w:trPr>
          <w:trHeight w:val="11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19 303 025,27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6 448 511,06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12 854 514,21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содействию трудоустройству граждан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2740685060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8 850 900,00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3 861 467,00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4 989 433,00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2 587 044,06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7 865 081,21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10 942 662,00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5 448 000,00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4 002 000,00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14 052 085 239,85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6 418 916 931,46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7 633 168 308,39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bl>
    <w:p w:rsidR="001A63D5" w:rsidRPr="00BD168B" w:rsidRDefault="001A63D5" w:rsidP="001A63D5">
      <w:pPr>
        <w:jc w:val="right"/>
        <w:rPr>
          <w:rFonts w:ascii="Times New Roman" w:eastAsia="Times New Roman" w:hAnsi="Times New Roman" w:cs="Times New Roman"/>
          <w:sz w:val="28"/>
          <w:szCs w:val="28"/>
        </w:rPr>
      </w:pPr>
    </w:p>
    <w:p w:rsidR="00757BEA" w:rsidRPr="00BD168B" w:rsidRDefault="00757BEA">
      <w:pPr>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br w:type="page"/>
      </w:r>
    </w:p>
    <w:p w:rsidR="00757BEA" w:rsidRPr="00BD168B" w:rsidRDefault="00757BEA" w:rsidP="00757BEA">
      <w:pPr>
        <w:spacing w:after="0" w:line="240" w:lineRule="auto"/>
        <w:jc w:val="right"/>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t xml:space="preserve">Приложение </w:t>
      </w:r>
      <w:r w:rsidR="005638CB" w:rsidRPr="00BD168B">
        <w:rPr>
          <w:rFonts w:ascii="Times New Roman" w:eastAsia="Times New Roman" w:hAnsi="Times New Roman" w:cs="Times New Roman"/>
          <w:sz w:val="14"/>
          <w:szCs w:val="14"/>
        </w:rPr>
        <w:t>2</w:t>
      </w:r>
      <w:r w:rsidRPr="00BD168B">
        <w:rPr>
          <w:rFonts w:ascii="Times New Roman" w:eastAsia="Times New Roman" w:hAnsi="Times New Roman" w:cs="Times New Roman"/>
          <w:sz w:val="14"/>
          <w:szCs w:val="14"/>
        </w:rPr>
        <w:t xml:space="preserve"> к пояснительной записке</w:t>
      </w: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jc w:val="center"/>
        <w:rPr>
          <w:rFonts w:ascii="Times New Roman" w:eastAsia="Times New Roman" w:hAnsi="Times New Roman" w:cs="Times New Roman"/>
          <w:sz w:val="14"/>
          <w:szCs w:val="14"/>
        </w:rPr>
      </w:pPr>
      <w:r w:rsidRPr="00BD168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DA1D2F">
        <w:rPr>
          <w:rFonts w:ascii="Times New Roman" w:eastAsia="Times New Roman" w:hAnsi="Times New Roman" w:cs="Times New Roman"/>
          <w:b/>
          <w:bCs/>
          <w:sz w:val="20"/>
          <w:szCs w:val="20"/>
        </w:rPr>
        <w:t>полугодие</w:t>
      </w:r>
      <w:r w:rsidRPr="00BD168B">
        <w:rPr>
          <w:rFonts w:ascii="Times New Roman" w:eastAsia="Times New Roman" w:hAnsi="Times New Roman" w:cs="Times New Roman"/>
          <w:b/>
          <w:bCs/>
          <w:sz w:val="20"/>
          <w:szCs w:val="20"/>
        </w:rPr>
        <w:t xml:space="preserve"> 202</w:t>
      </w:r>
      <w:r w:rsidR="003B670E" w:rsidRPr="00BD168B">
        <w:rPr>
          <w:rFonts w:ascii="Times New Roman" w:eastAsia="Times New Roman" w:hAnsi="Times New Roman" w:cs="Times New Roman"/>
          <w:b/>
          <w:bCs/>
          <w:sz w:val="20"/>
          <w:szCs w:val="20"/>
        </w:rPr>
        <w:t>4</w:t>
      </w:r>
      <w:r w:rsidRPr="00BD168B">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BD168B">
        <w:rPr>
          <w:rFonts w:ascii="Times New Roman" w:eastAsia="Times New Roman" w:hAnsi="Times New Roman" w:cs="Times New Roman"/>
          <w:bCs/>
          <w:sz w:val="18"/>
          <w:szCs w:val="18"/>
        </w:rPr>
        <w:t>(</w:t>
      </w:r>
      <w:r w:rsidRPr="00BD168B">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633"/>
        <w:gridCol w:w="1630"/>
        <w:gridCol w:w="1203"/>
        <w:gridCol w:w="1134"/>
        <w:gridCol w:w="1134"/>
        <w:gridCol w:w="1206"/>
        <w:gridCol w:w="1276"/>
        <w:gridCol w:w="1135"/>
        <w:gridCol w:w="1134"/>
        <w:gridCol w:w="1134"/>
        <w:gridCol w:w="992"/>
        <w:gridCol w:w="992"/>
        <w:gridCol w:w="992"/>
        <w:gridCol w:w="709"/>
      </w:tblGrid>
      <w:tr w:rsidR="003C6CB3" w:rsidRPr="009A455E" w:rsidTr="009A455E">
        <w:trPr>
          <w:trHeight w:val="282"/>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п/п</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Наименование проекта</w:t>
            </w:r>
          </w:p>
        </w:tc>
        <w:tc>
          <w:tcPr>
            <w:tcW w:w="13041" w:type="dxa"/>
            <w:gridSpan w:val="12"/>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2024 год</w:t>
            </w:r>
          </w:p>
        </w:tc>
      </w:tr>
      <w:tr w:rsidR="003C6CB3" w:rsidRPr="009A455E" w:rsidTr="009A455E">
        <w:trPr>
          <w:trHeight w:val="282"/>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3471" w:type="dxa"/>
            <w:gridSpan w:val="3"/>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4679"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Исполнено, в том числе:</w:t>
            </w:r>
          </w:p>
        </w:tc>
        <w:tc>
          <w:tcPr>
            <w:tcW w:w="3685"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исполнения</w:t>
            </w:r>
          </w:p>
        </w:tc>
      </w:tr>
      <w:tr w:rsidR="003C6CB3" w:rsidRPr="009A455E" w:rsidTr="009A455E">
        <w:trPr>
          <w:trHeight w:val="3387"/>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6" w:type="dxa"/>
            <w:vMerge/>
            <w:tcBorders>
              <w:top w:val="nil"/>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color w:val="000000"/>
                <w:sz w:val="14"/>
                <w:szCs w:val="14"/>
              </w:rPr>
            </w:pPr>
            <w:r w:rsidRPr="009A455E">
              <w:rPr>
                <w:rFonts w:ascii="Times New Roman" w:eastAsia="Times New Roman" w:hAnsi="Times New Roman" w:cs="Times New Roman"/>
                <w:b/>
                <w:bCs/>
                <w:color w:val="000000"/>
                <w:sz w:val="14"/>
                <w:szCs w:val="14"/>
              </w:rPr>
              <w:t>Всего на реализацию национальных проектов</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1 682 276 438,00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1 827 854 093,12</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494 220 240,19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550 251 129,61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29,38</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30,10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''Культура''(А)</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''Цифровая экономика''(D)</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''Образование''(Е)</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1 654 062 860,00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1 793 471 940,07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484 063 338,19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537 555 002,11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29,27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29,97</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"Современная школа"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1 648 228 660,00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1 787 578 809,07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481 161 128,87</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534 623 477,64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29,19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29,91</w:t>
            </w:r>
          </w:p>
        </w:tc>
      </w:tr>
      <w:tr w:rsidR="003C6CB3" w:rsidRPr="009A455E" w:rsidTr="009A455E">
        <w:trPr>
          <w:trHeight w:val="278"/>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5 893 131,00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2 902 209,32</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2 931 524,47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''Экология''(G)</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08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7 078 555,55</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535 333,33</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6 543 222,22</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''Здравоохранение''(N)</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''Демография''(Р)</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36"/>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FD" w:rsidRDefault="00993CFD" w:rsidP="004C25A4">
      <w:pPr>
        <w:spacing w:after="0" w:line="240" w:lineRule="auto"/>
      </w:pPr>
      <w:r>
        <w:separator/>
      </w:r>
    </w:p>
  </w:endnote>
  <w:endnote w:type="continuationSeparator" w:id="0">
    <w:p w:rsidR="00993CFD" w:rsidRDefault="00993CFD"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FD" w:rsidRDefault="00993CFD" w:rsidP="004C25A4">
      <w:pPr>
        <w:spacing w:after="0" w:line="240" w:lineRule="auto"/>
      </w:pPr>
      <w:r>
        <w:separator/>
      </w:r>
    </w:p>
  </w:footnote>
  <w:footnote w:type="continuationSeparator" w:id="0">
    <w:p w:rsidR="00993CFD" w:rsidRDefault="00993CFD"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993CFD" w:rsidRDefault="00993CFD">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9A184B">
          <w:rPr>
            <w:noProof/>
            <w:sz w:val="28"/>
            <w:szCs w:val="28"/>
          </w:rPr>
          <w:t>9</w:t>
        </w:r>
        <w:r w:rsidRPr="000E4D41">
          <w:rPr>
            <w:sz w:val="28"/>
            <w:szCs w:val="28"/>
          </w:rPr>
          <w:fldChar w:fldCharType="end"/>
        </w:r>
      </w:p>
    </w:sdtContent>
  </w:sdt>
  <w:p w:rsidR="00993CFD" w:rsidRDefault="00993C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4CFB"/>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84B"/>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2547483.2000000002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5194032.8</c:v>
                </c:pt>
              </c:numCache>
            </c:numRef>
          </c:val>
        </c:ser>
        <c:dLbls>
          <c:showLegendKey val="0"/>
          <c:showVal val="0"/>
          <c:showCatName val="0"/>
          <c:showSerName val="0"/>
          <c:showPercent val="0"/>
          <c:showBubbleSize val="0"/>
        </c:dLbls>
        <c:gapWidth val="182"/>
        <c:axId val="121260624"/>
        <c:axId val="121262192"/>
      </c:barChart>
      <c:catAx>
        <c:axId val="121260624"/>
        <c:scaling>
          <c:orientation val="minMax"/>
        </c:scaling>
        <c:delete val="1"/>
        <c:axPos val="l"/>
        <c:numFmt formatCode="General" sourceLinked="1"/>
        <c:majorTickMark val="none"/>
        <c:minorTickMark val="none"/>
        <c:tickLblPos val="nextTo"/>
        <c:crossAx val="121262192"/>
        <c:crosses val="autoZero"/>
        <c:auto val="1"/>
        <c:lblAlgn val="ctr"/>
        <c:lblOffset val="100"/>
        <c:noMultiLvlLbl val="0"/>
      </c:catAx>
      <c:valAx>
        <c:axId val="121262192"/>
        <c:scaling>
          <c:orientation val="minMax"/>
        </c:scaling>
        <c:delete val="1"/>
        <c:axPos val="b"/>
        <c:numFmt formatCode="_-* #\ ##0.0\ _₽_-;\-* #\ ##0.0\ _₽_-;_-* &quot;-&quot;?\ _₽_-;_-@_-" sourceLinked="1"/>
        <c:majorTickMark val="none"/>
        <c:minorTickMark val="none"/>
        <c:tickLblPos val="nextTo"/>
        <c:crossAx val="121260624"/>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0.68</c:v>
                </c:pt>
                <c:pt idx="1">
                  <c:v>0.22</c:v>
                </c:pt>
                <c:pt idx="2">
                  <c:v>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1991414</c:v>
                </c:pt>
                <c:pt idx="1">
                  <c:v>18581.2</c:v>
                </c:pt>
                <c:pt idx="2">
                  <c:v>482922.4</c:v>
                </c:pt>
                <c:pt idx="3">
                  <c:v>38605.1</c:v>
                </c:pt>
                <c:pt idx="4">
                  <c:v>15960.5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dLbls>
          <c:showLegendKey val="0"/>
          <c:showVal val="0"/>
          <c:showCatName val="0"/>
          <c:showSerName val="0"/>
          <c:showPercent val="0"/>
          <c:showBubbleSize val="0"/>
        </c:dLbls>
        <c:gapWidth val="150"/>
        <c:axId val="121260232"/>
        <c:axId val="121262584"/>
      </c:barChart>
      <c:catAx>
        <c:axId val="121260232"/>
        <c:scaling>
          <c:orientation val="minMax"/>
        </c:scaling>
        <c:delete val="0"/>
        <c:axPos val="l"/>
        <c:numFmt formatCode="General" sourceLinked="0"/>
        <c:majorTickMark val="none"/>
        <c:minorTickMark val="none"/>
        <c:tickLblPos val="nextTo"/>
        <c:txPr>
          <a:bodyPr/>
          <a:lstStyle/>
          <a:p>
            <a:pPr>
              <a:defRPr sz="1000"/>
            </a:pPr>
            <a:endParaRPr lang="ru-RU"/>
          </a:p>
        </c:txPr>
        <c:crossAx val="121262584"/>
        <c:crosses val="autoZero"/>
        <c:auto val="1"/>
        <c:lblAlgn val="ctr"/>
        <c:lblOffset val="100"/>
        <c:noMultiLvlLbl val="0"/>
      </c:catAx>
      <c:valAx>
        <c:axId val="121262584"/>
        <c:scaling>
          <c:orientation val="minMax"/>
        </c:scaling>
        <c:delete val="1"/>
        <c:axPos val="b"/>
        <c:numFmt formatCode="_-* #\ ##0.0_р_._-;\-* #\ ##0.0_р_._-;_-* &quot;-&quot;??_р_._-;_-@_-" sourceLinked="1"/>
        <c:majorTickMark val="out"/>
        <c:minorTickMark val="none"/>
        <c:tickLblPos val="nextTo"/>
        <c:crossAx val="121260232"/>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Поступило за полугодие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1991414</c:v>
                </c:pt>
                <c:pt idx="1">
                  <c:v>18581.2</c:v>
                </c:pt>
                <c:pt idx="2">
                  <c:v>482922.4</c:v>
                </c:pt>
                <c:pt idx="3">
                  <c:v>38605.1</c:v>
                </c:pt>
                <c:pt idx="4">
                  <c:v>15960.5</c:v>
                </c:pt>
              </c:numCache>
            </c:numRef>
          </c:val>
        </c:ser>
        <c:dLbls>
          <c:showLegendKey val="0"/>
          <c:showVal val="0"/>
          <c:showCatName val="0"/>
          <c:showSerName val="0"/>
          <c:showPercent val="0"/>
          <c:showBubbleSize val="0"/>
        </c:dLbls>
        <c:gapWidth val="150"/>
        <c:axId val="121263760"/>
        <c:axId val="121265328"/>
      </c:barChart>
      <c:catAx>
        <c:axId val="121263760"/>
        <c:scaling>
          <c:orientation val="minMax"/>
        </c:scaling>
        <c:delete val="0"/>
        <c:axPos val="b"/>
        <c:numFmt formatCode="General" sourceLinked="0"/>
        <c:majorTickMark val="none"/>
        <c:minorTickMark val="none"/>
        <c:tickLblPos val="nextTo"/>
        <c:crossAx val="121265328"/>
        <c:crosses val="autoZero"/>
        <c:auto val="1"/>
        <c:lblAlgn val="ctr"/>
        <c:lblOffset val="100"/>
        <c:noMultiLvlLbl val="0"/>
      </c:catAx>
      <c:valAx>
        <c:axId val="121265328"/>
        <c:scaling>
          <c:orientation val="minMax"/>
        </c:scaling>
        <c:delete val="1"/>
        <c:axPos val="l"/>
        <c:numFmt formatCode="_-* #\ ##0.0_р_._-;\-* #\ ##0.0_р_._-;_-* &quot;-&quot;??_р_._-;_-@_-" sourceLinked="1"/>
        <c:majorTickMark val="out"/>
        <c:minorTickMark val="none"/>
        <c:tickLblPos val="nextTo"/>
        <c:crossAx val="121263760"/>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79483152"/>
        <c:axId val="118838584"/>
      </c:barChart>
      <c:catAx>
        <c:axId val="79483152"/>
        <c:scaling>
          <c:orientation val="minMax"/>
        </c:scaling>
        <c:delete val="0"/>
        <c:axPos val="l"/>
        <c:numFmt formatCode="General" sourceLinked="0"/>
        <c:majorTickMark val="none"/>
        <c:minorTickMark val="none"/>
        <c:tickLblPos val="nextTo"/>
        <c:txPr>
          <a:bodyPr/>
          <a:lstStyle/>
          <a:p>
            <a:pPr>
              <a:defRPr sz="700"/>
            </a:pPr>
            <a:endParaRPr lang="ru-RU"/>
          </a:p>
        </c:txPr>
        <c:crossAx val="118838584"/>
        <c:crosses val="autoZero"/>
        <c:auto val="1"/>
        <c:lblAlgn val="l"/>
        <c:lblOffset val="100"/>
        <c:noMultiLvlLbl val="0"/>
      </c:catAx>
      <c:valAx>
        <c:axId val="118838584"/>
        <c:scaling>
          <c:orientation val="minMax"/>
        </c:scaling>
        <c:delete val="1"/>
        <c:axPos val="b"/>
        <c:numFmt formatCode="_-* #\ ##0.0_р_._-;\-* #\ ##0.0_р_._-;_-* &quot;-&quot;??_р_._-;_-@_-" sourceLinked="1"/>
        <c:majorTickMark val="none"/>
        <c:minorTickMark val="none"/>
        <c:tickLblPos val="none"/>
        <c:crossAx val="7948315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156636.79999999999</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215307.3</c:v>
                </c:pt>
              </c:numCache>
            </c:numRef>
          </c:val>
        </c:ser>
        <c:dLbls>
          <c:showLegendKey val="0"/>
          <c:showVal val="0"/>
          <c:showCatName val="0"/>
          <c:showSerName val="0"/>
          <c:showPercent val="0"/>
          <c:showBubbleSize val="0"/>
        </c:dLbls>
        <c:gapWidth val="182"/>
        <c:axId val="170708936"/>
        <c:axId val="170710896"/>
      </c:barChart>
      <c:catAx>
        <c:axId val="170708936"/>
        <c:scaling>
          <c:orientation val="minMax"/>
        </c:scaling>
        <c:delete val="1"/>
        <c:axPos val="l"/>
        <c:numFmt formatCode="General" sourceLinked="1"/>
        <c:majorTickMark val="none"/>
        <c:minorTickMark val="none"/>
        <c:tickLblPos val="nextTo"/>
        <c:crossAx val="170710896"/>
        <c:crosses val="autoZero"/>
        <c:auto val="1"/>
        <c:lblAlgn val="ctr"/>
        <c:lblOffset val="100"/>
        <c:noMultiLvlLbl val="0"/>
      </c:catAx>
      <c:valAx>
        <c:axId val="170710896"/>
        <c:scaling>
          <c:orientation val="minMax"/>
        </c:scaling>
        <c:delete val="1"/>
        <c:axPos val="b"/>
        <c:numFmt formatCode="_-* #\ ##0.0\ _₽_-;\-* #\ ##0.0\ _₽_-;_-* &quot;-&quot;?\ _₽_-;_-@_-" sourceLinked="1"/>
        <c:majorTickMark val="none"/>
        <c:minorTickMark val="none"/>
        <c:tickLblPos val="nextTo"/>
        <c:crossAx val="17070893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104993.7</c:v>
                </c:pt>
                <c:pt idx="1">
                  <c:v>-962.3</c:v>
                </c:pt>
                <c:pt idx="2">
                  <c:v>3405.8</c:v>
                </c:pt>
                <c:pt idx="3">
                  <c:v>32736.1</c:v>
                </c:pt>
                <c:pt idx="4">
                  <c:v>13624.1</c:v>
                </c:pt>
                <c:pt idx="5">
                  <c:v>-1239.7</c:v>
                </c:pt>
              </c:numCache>
            </c:numRef>
          </c:val>
        </c:ser>
        <c:dLbls>
          <c:showLegendKey val="0"/>
          <c:showVal val="0"/>
          <c:showCatName val="0"/>
          <c:showSerName val="0"/>
          <c:showPercent val="0"/>
          <c:showBubbleSize val="0"/>
        </c:dLbls>
        <c:gapWidth val="150"/>
        <c:axId val="170712856"/>
        <c:axId val="170710112"/>
      </c:barChart>
      <c:catAx>
        <c:axId val="170712856"/>
        <c:scaling>
          <c:orientation val="minMax"/>
        </c:scaling>
        <c:delete val="0"/>
        <c:axPos val="l"/>
        <c:numFmt formatCode="General" sourceLinked="0"/>
        <c:majorTickMark val="none"/>
        <c:minorTickMark val="none"/>
        <c:tickLblPos val="nextTo"/>
        <c:txPr>
          <a:bodyPr/>
          <a:lstStyle/>
          <a:p>
            <a:pPr>
              <a:defRPr sz="800"/>
            </a:pPr>
            <a:endParaRPr lang="ru-RU"/>
          </a:p>
        </c:txPr>
        <c:crossAx val="170710112"/>
        <c:crosses val="autoZero"/>
        <c:auto val="1"/>
        <c:lblAlgn val="ctr"/>
        <c:lblOffset val="100"/>
        <c:noMultiLvlLbl val="0"/>
      </c:catAx>
      <c:valAx>
        <c:axId val="170710112"/>
        <c:scaling>
          <c:orientation val="minMax"/>
        </c:scaling>
        <c:delete val="1"/>
        <c:axPos val="b"/>
        <c:numFmt formatCode="_-* #\ ##0.0_р_._-;\-* #\ ##0.0_р_._-;_-* &quot;-&quot;??_р_._-;_-@_-" sourceLinked="1"/>
        <c:majorTickMark val="none"/>
        <c:minorTickMark val="none"/>
        <c:tickLblPos val="none"/>
        <c:crossAx val="170712856"/>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3.5756142660255241E-3"/>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3573094.5</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8227492.9000000004</c:v>
                </c:pt>
              </c:numCache>
            </c:numRef>
          </c:val>
        </c:ser>
        <c:dLbls>
          <c:showLegendKey val="0"/>
          <c:showVal val="0"/>
          <c:showCatName val="0"/>
          <c:showSerName val="0"/>
          <c:showPercent val="0"/>
          <c:showBubbleSize val="0"/>
        </c:dLbls>
        <c:gapWidth val="182"/>
        <c:axId val="170709328"/>
        <c:axId val="170712464"/>
      </c:barChart>
      <c:catAx>
        <c:axId val="170709328"/>
        <c:scaling>
          <c:orientation val="minMax"/>
        </c:scaling>
        <c:delete val="1"/>
        <c:axPos val="l"/>
        <c:numFmt formatCode="General" sourceLinked="1"/>
        <c:majorTickMark val="none"/>
        <c:minorTickMark val="none"/>
        <c:tickLblPos val="nextTo"/>
        <c:crossAx val="170712464"/>
        <c:crosses val="autoZero"/>
        <c:auto val="1"/>
        <c:lblAlgn val="ctr"/>
        <c:lblOffset val="100"/>
        <c:noMultiLvlLbl val="0"/>
      </c:catAx>
      <c:valAx>
        <c:axId val="170712464"/>
        <c:scaling>
          <c:orientation val="minMax"/>
        </c:scaling>
        <c:delete val="1"/>
        <c:axPos val="b"/>
        <c:numFmt formatCode="_-* #\ ##0.0\ _₽_-;\-* #\ ##0.0\ _₽_-;_-* &quot;-&quot;?\ _₽_-;_-@_-" sourceLinked="1"/>
        <c:majorTickMark val="none"/>
        <c:minorTickMark val="none"/>
        <c:tickLblPos val="nextTo"/>
        <c:crossAx val="170709328"/>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149364</c:v>
                </c:pt>
                <c:pt idx="1">
                  <c:v>1076504.6000000001</c:v>
                </c:pt>
                <c:pt idx="2">
                  <c:v>2325764.6</c:v>
                </c:pt>
                <c:pt idx="3">
                  <c:v>98434.7</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312437.90000000002</c:v>
                </c:pt>
                <c:pt idx="1">
                  <c:v>3002446</c:v>
                </c:pt>
                <c:pt idx="2">
                  <c:v>4807826.7</c:v>
                </c:pt>
                <c:pt idx="3">
                  <c:v>104782.3</c:v>
                </c:pt>
              </c:numCache>
            </c:numRef>
          </c:val>
        </c:ser>
        <c:dLbls>
          <c:showLegendKey val="0"/>
          <c:showVal val="0"/>
          <c:showCatName val="0"/>
          <c:showSerName val="0"/>
          <c:showPercent val="0"/>
          <c:showBubbleSize val="0"/>
        </c:dLbls>
        <c:gapWidth val="150"/>
        <c:axId val="170712072"/>
        <c:axId val="170708544"/>
      </c:barChart>
      <c:catAx>
        <c:axId val="170712072"/>
        <c:scaling>
          <c:orientation val="minMax"/>
        </c:scaling>
        <c:delete val="0"/>
        <c:axPos val="l"/>
        <c:numFmt formatCode="General" sourceLinked="0"/>
        <c:majorTickMark val="none"/>
        <c:minorTickMark val="none"/>
        <c:tickLblPos val="nextTo"/>
        <c:crossAx val="170708544"/>
        <c:crosses val="autoZero"/>
        <c:auto val="1"/>
        <c:lblAlgn val="ctr"/>
        <c:lblOffset val="100"/>
        <c:noMultiLvlLbl val="0"/>
      </c:catAx>
      <c:valAx>
        <c:axId val="170708544"/>
        <c:scaling>
          <c:orientation val="minMax"/>
        </c:scaling>
        <c:delete val="1"/>
        <c:axPos val="b"/>
        <c:numFmt formatCode="_-* #\ ##0.0_р_._-;\-* #\ ##0.0_р_._-;_-* &quot;-&quot;??_р_._-;_-@_-" sourceLinked="1"/>
        <c:majorTickMark val="none"/>
        <c:minorTickMark val="none"/>
        <c:tickLblPos val="none"/>
        <c:crossAx val="170712072"/>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149364</c:v>
                </c:pt>
                <c:pt idx="1">
                  <c:v>1076504.6000000001</c:v>
                </c:pt>
                <c:pt idx="2">
                  <c:v>2325764.6</c:v>
                </c:pt>
                <c:pt idx="3">
                  <c:v>98434.7</c:v>
                </c:pt>
                <c:pt idx="4">
                  <c:v>-76973.399999999994</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184746.7</c:v>
                </c:pt>
                <c:pt idx="1">
                  <c:v>1264755.2</c:v>
                </c:pt>
                <c:pt idx="2">
                  <c:v>2147178.4</c:v>
                </c:pt>
                <c:pt idx="3">
                  <c:v>96358.2</c:v>
                </c:pt>
                <c:pt idx="4">
                  <c:v>-126795.7</c:v>
                </c:pt>
              </c:numCache>
            </c:numRef>
          </c:val>
        </c:ser>
        <c:dLbls>
          <c:showLegendKey val="0"/>
          <c:showVal val="0"/>
          <c:showCatName val="0"/>
          <c:showSerName val="0"/>
          <c:showPercent val="0"/>
          <c:showBubbleSize val="0"/>
        </c:dLbls>
        <c:gapWidth val="150"/>
        <c:axId val="170709720"/>
        <c:axId val="170711680"/>
      </c:barChart>
      <c:catAx>
        <c:axId val="170709720"/>
        <c:scaling>
          <c:orientation val="minMax"/>
        </c:scaling>
        <c:delete val="0"/>
        <c:axPos val="l"/>
        <c:numFmt formatCode="General" sourceLinked="0"/>
        <c:majorTickMark val="none"/>
        <c:minorTickMark val="none"/>
        <c:tickLblPos val="nextTo"/>
        <c:crossAx val="170711680"/>
        <c:crosses val="autoZero"/>
        <c:auto val="1"/>
        <c:lblAlgn val="ctr"/>
        <c:lblOffset val="100"/>
        <c:noMultiLvlLbl val="0"/>
      </c:catAx>
      <c:valAx>
        <c:axId val="170711680"/>
        <c:scaling>
          <c:orientation val="minMax"/>
        </c:scaling>
        <c:delete val="1"/>
        <c:axPos val="b"/>
        <c:numFmt formatCode="_-* #\ ##0.0_р_._-;\-* #\ ##0.0_р_._-;_-* &quot;-&quot;??_р_._-;_-@_-" sourceLinked="1"/>
        <c:majorTickMark val="none"/>
        <c:minorTickMark val="none"/>
        <c:tickLblPos val="none"/>
        <c:crossAx val="170709720"/>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9ADDA-E72C-4DF2-B6B7-61F28953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12346</TotalTime>
  <Pages>47</Pages>
  <Words>14851</Words>
  <Characters>84652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366</cp:revision>
  <cp:lastPrinted>2024-07-08T10:31:00Z</cp:lastPrinted>
  <dcterms:created xsi:type="dcterms:W3CDTF">2020-07-14T10:31:00Z</dcterms:created>
  <dcterms:modified xsi:type="dcterms:W3CDTF">2024-09-17T04:12:00Z</dcterms:modified>
</cp:coreProperties>
</file>