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21653D">
        <w:rPr>
          <w:rFonts w:ascii="Times New Roman" w:hAnsi="Times New Roman" w:cs="Times New Roman"/>
          <w:b/>
          <w:sz w:val="28"/>
          <w:szCs w:val="28"/>
        </w:rPr>
        <w:t>решени</w:t>
      </w:r>
      <w:r w:rsidR="00AE4542">
        <w:rPr>
          <w:rFonts w:ascii="Times New Roman" w:hAnsi="Times New Roman" w:cs="Times New Roman"/>
          <w:b/>
          <w:sz w:val="28"/>
          <w:szCs w:val="28"/>
        </w:rPr>
        <w:t>ю</w:t>
      </w:r>
      <w:r w:rsidR="002D527F">
        <w:rPr>
          <w:rFonts w:ascii="Times New Roman" w:hAnsi="Times New Roman" w:cs="Times New Roman"/>
          <w:b/>
          <w:sz w:val="28"/>
          <w:szCs w:val="28"/>
        </w:rPr>
        <w:t xml:space="preserve"> Думы города</w:t>
      </w:r>
      <w:r w:rsidR="00465BA6">
        <w:rPr>
          <w:rFonts w:ascii="Times New Roman" w:hAnsi="Times New Roman" w:cs="Times New Roman"/>
          <w:b/>
          <w:sz w:val="28"/>
          <w:szCs w:val="28"/>
        </w:rPr>
        <w:t xml:space="preserve"> </w:t>
      </w:r>
      <w:r>
        <w:rPr>
          <w:rFonts w:ascii="Times New Roman" w:hAnsi="Times New Roman" w:cs="Times New Roman"/>
          <w:b/>
          <w:sz w:val="28"/>
          <w:szCs w:val="28"/>
        </w:rPr>
        <w:t>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5A4426">
        <w:rPr>
          <w:rFonts w:ascii="Times New Roman" w:hAnsi="Times New Roman" w:cs="Times New Roman"/>
          <w:sz w:val="28"/>
          <w:szCs w:val="28"/>
        </w:rPr>
        <w:t>п</w:t>
      </w:r>
      <w:r w:rsidR="006A70FF">
        <w:rPr>
          <w:rFonts w:ascii="Times New Roman" w:hAnsi="Times New Roman" w:cs="Times New Roman"/>
          <w:sz w:val="28"/>
          <w:szCs w:val="28"/>
        </w:rPr>
        <w:t>олугодие</w:t>
      </w:r>
      <w:r>
        <w:rPr>
          <w:rFonts w:ascii="Times New Roman" w:hAnsi="Times New Roman" w:cs="Times New Roman"/>
          <w:sz w:val="28"/>
          <w:szCs w:val="28"/>
        </w:rPr>
        <w:t xml:space="preserve"> 20</w:t>
      </w:r>
      <w:r w:rsidR="00EB17B4">
        <w:rPr>
          <w:rFonts w:ascii="Times New Roman" w:hAnsi="Times New Roman" w:cs="Times New Roman"/>
          <w:sz w:val="28"/>
          <w:szCs w:val="28"/>
        </w:rPr>
        <w:t>2</w:t>
      </w:r>
      <w:r w:rsidR="00A300AC">
        <w:rPr>
          <w:rFonts w:ascii="Times New Roman" w:hAnsi="Times New Roman" w:cs="Times New Roman"/>
          <w:sz w:val="28"/>
          <w:szCs w:val="28"/>
        </w:rPr>
        <w:t>2</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236684" w:rsidRDefault="00236684" w:rsidP="00192E59">
      <w:pPr>
        <w:autoSpaceDE w:val="0"/>
        <w:autoSpaceDN w:val="0"/>
        <w:adjustRightInd w:val="0"/>
        <w:spacing w:after="0"/>
        <w:ind w:firstLine="709"/>
        <w:jc w:val="both"/>
        <w:rPr>
          <w:rFonts w:ascii="Times New Roman" w:hAnsi="Times New Roman" w:cs="Times New Roman"/>
          <w:sz w:val="28"/>
          <w:szCs w:val="28"/>
        </w:rPr>
      </w:pPr>
    </w:p>
    <w:p w:rsidR="00236684" w:rsidRDefault="00236684" w:rsidP="00192E59">
      <w:pPr>
        <w:autoSpaceDE w:val="0"/>
        <w:autoSpaceDN w:val="0"/>
        <w:adjustRightInd w:val="0"/>
        <w:spacing w:after="0"/>
        <w:ind w:firstLine="709"/>
        <w:jc w:val="both"/>
        <w:rPr>
          <w:rFonts w:ascii="Times New Roman" w:hAnsi="Times New Roman" w:cs="Times New Roman"/>
          <w:sz w:val="28"/>
          <w:szCs w:val="28"/>
        </w:rPr>
      </w:pPr>
    </w:p>
    <w:p w:rsidR="007025BC" w:rsidRPr="000A5928" w:rsidRDefault="00D74A3B" w:rsidP="00192E59">
      <w:pPr>
        <w:autoSpaceDE w:val="0"/>
        <w:autoSpaceDN w:val="0"/>
        <w:adjustRightInd w:val="0"/>
        <w:spacing w:after="0"/>
        <w:ind w:firstLine="709"/>
        <w:jc w:val="both"/>
        <w:rPr>
          <w:rFonts w:ascii="Times New Roman" w:hAnsi="Times New Roman" w:cs="Times New Roman"/>
          <w:sz w:val="28"/>
          <w:szCs w:val="28"/>
        </w:rPr>
      </w:pPr>
      <w:r w:rsidRPr="000A5928">
        <w:rPr>
          <w:rFonts w:ascii="Times New Roman" w:hAnsi="Times New Roman" w:cs="Times New Roman"/>
          <w:sz w:val="28"/>
          <w:szCs w:val="28"/>
        </w:rPr>
        <w:t xml:space="preserve">Отчёт об исполнении бюджета за </w:t>
      </w:r>
      <w:r w:rsidR="006A70FF">
        <w:rPr>
          <w:rFonts w:ascii="Times New Roman" w:hAnsi="Times New Roman" w:cs="Times New Roman"/>
          <w:sz w:val="28"/>
          <w:szCs w:val="28"/>
        </w:rPr>
        <w:t>полугодие</w:t>
      </w:r>
      <w:r w:rsidR="00943557" w:rsidRPr="000A5928">
        <w:rPr>
          <w:rFonts w:ascii="Times New Roman" w:hAnsi="Times New Roman" w:cs="Times New Roman"/>
          <w:sz w:val="28"/>
          <w:szCs w:val="28"/>
        </w:rPr>
        <w:t xml:space="preserve"> </w:t>
      </w:r>
      <w:r w:rsidRPr="000A5928">
        <w:rPr>
          <w:rFonts w:ascii="Times New Roman" w:hAnsi="Times New Roman" w:cs="Times New Roman"/>
          <w:sz w:val="28"/>
          <w:szCs w:val="28"/>
        </w:rPr>
        <w:t>20</w:t>
      </w:r>
      <w:r w:rsidR="00EB17B4" w:rsidRPr="000A5928">
        <w:rPr>
          <w:rFonts w:ascii="Times New Roman" w:hAnsi="Times New Roman" w:cs="Times New Roman"/>
          <w:sz w:val="28"/>
          <w:szCs w:val="28"/>
        </w:rPr>
        <w:t>2</w:t>
      </w:r>
      <w:r w:rsidR="000A5928" w:rsidRPr="000A5928">
        <w:rPr>
          <w:rFonts w:ascii="Times New Roman" w:hAnsi="Times New Roman" w:cs="Times New Roman"/>
          <w:sz w:val="28"/>
          <w:szCs w:val="28"/>
        </w:rPr>
        <w:t>2</w:t>
      </w:r>
      <w:r w:rsidRPr="000A5928">
        <w:rPr>
          <w:rFonts w:ascii="Times New Roman" w:hAnsi="Times New Roman" w:cs="Times New Roman"/>
          <w:sz w:val="28"/>
          <w:szCs w:val="28"/>
        </w:rPr>
        <w:t xml:space="preserve"> года подготовлен в </w:t>
      </w:r>
      <w:r w:rsidR="00633748" w:rsidRPr="000A5928">
        <w:rPr>
          <w:rFonts w:ascii="Times New Roman" w:hAnsi="Times New Roman" w:cs="Times New Roman"/>
          <w:sz w:val="28"/>
          <w:szCs w:val="28"/>
        </w:rPr>
        <w:t xml:space="preserve">соответствии со статьями 264.1 </w:t>
      </w:r>
      <w:r w:rsidRPr="000A5928">
        <w:rPr>
          <w:rFonts w:ascii="Times New Roman" w:hAnsi="Times New Roman" w:cs="Times New Roman"/>
          <w:sz w:val="28"/>
          <w:szCs w:val="28"/>
        </w:rPr>
        <w:t>и 264.2 Бюджетного кодекса Российской Федерации, решени</w:t>
      </w:r>
      <w:r w:rsidR="00633748" w:rsidRPr="000A5928">
        <w:rPr>
          <w:rFonts w:ascii="Times New Roman" w:hAnsi="Times New Roman" w:cs="Times New Roman"/>
          <w:sz w:val="28"/>
          <w:szCs w:val="28"/>
        </w:rPr>
        <w:t>ем Думы города Ханты-Мансийска</w:t>
      </w:r>
      <w:r w:rsidR="00633748" w:rsidRPr="000A5928">
        <w:rPr>
          <w:rFonts w:ascii="Times New Roman" w:hAnsi="Times New Roman" w:cs="Times New Roman"/>
          <w:sz w:val="28"/>
          <w:szCs w:val="28"/>
        </w:rPr>
        <w:br/>
      </w:r>
      <w:r w:rsidRPr="000A5928">
        <w:rPr>
          <w:rFonts w:ascii="Times New Roman" w:eastAsia="Times New Roman" w:hAnsi="Times New Roman" w:cs="Times New Roman"/>
          <w:sz w:val="28"/>
          <w:szCs w:val="28"/>
        </w:rPr>
        <w:t xml:space="preserve">№ </w:t>
      </w:r>
      <w:r w:rsidR="007025BC" w:rsidRPr="000A5928">
        <w:rPr>
          <w:rFonts w:ascii="Times New Roman" w:eastAsia="Times New Roman" w:hAnsi="Times New Roman" w:cs="Times New Roman"/>
          <w:sz w:val="28"/>
          <w:szCs w:val="28"/>
        </w:rPr>
        <w:t>141</w:t>
      </w:r>
      <w:r w:rsidRPr="000A5928">
        <w:rPr>
          <w:rFonts w:ascii="Times New Roman" w:eastAsia="Times New Roman" w:hAnsi="Times New Roman" w:cs="Times New Roman"/>
          <w:sz w:val="28"/>
          <w:szCs w:val="28"/>
        </w:rPr>
        <w:t>-</w:t>
      </w:r>
      <w:r w:rsidRPr="000A5928">
        <w:rPr>
          <w:rFonts w:ascii="Times New Roman" w:eastAsia="Times New Roman" w:hAnsi="Times New Roman" w:cs="Times New Roman"/>
          <w:sz w:val="28"/>
          <w:szCs w:val="28"/>
          <w:lang w:val="en-US"/>
        </w:rPr>
        <w:t>V</w:t>
      </w:r>
      <w:r w:rsidR="007025BC" w:rsidRPr="000A5928">
        <w:rPr>
          <w:rFonts w:ascii="Times New Roman" w:eastAsia="Times New Roman" w:hAnsi="Times New Roman" w:cs="Times New Roman"/>
          <w:sz w:val="28"/>
          <w:szCs w:val="28"/>
          <w:lang w:val="en-US"/>
        </w:rPr>
        <w:t>I</w:t>
      </w:r>
      <w:r w:rsidR="008E3D9C" w:rsidRPr="000A5928">
        <w:rPr>
          <w:rFonts w:ascii="Times New Roman" w:eastAsia="Times New Roman" w:hAnsi="Times New Roman" w:cs="Times New Roman"/>
          <w:sz w:val="28"/>
          <w:szCs w:val="28"/>
        </w:rPr>
        <w:t xml:space="preserve"> РД </w:t>
      </w:r>
      <w:r w:rsidRPr="000A5928">
        <w:rPr>
          <w:rFonts w:ascii="Times New Roman" w:eastAsia="Times New Roman" w:hAnsi="Times New Roman" w:cs="Times New Roman"/>
          <w:sz w:val="28"/>
          <w:szCs w:val="28"/>
        </w:rPr>
        <w:t xml:space="preserve">от </w:t>
      </w:r>
      <w:r w:rsidR="007025BC" w:rsidRPr="000A5928">
        <w:rPr>
          <w:rFonts w:ascii="Times New Roman" w:eastAsia="Times New Roman" w:hAnsi="Times New Roman" w:cs="Times New Roman"/>
          <w:sz w:val="28"/>
          <w:szCs w:val="28"/>
        </w:rPr>
        <w:t xml:space="preserve">30.06.2017 </w:t>
      </w:r>
      <w:r w:rsidR="008E3D9C" w:rsidRPr="000A5928">
        <w:rPr>
          <w:rFonts w:ascii="Times New Roman" w:hAnsi="Times New Roman" w:cs="Times New Roman"/>
          <w:sz w:val="28"/>
          <w:szCs w:val="28"/>
        </w:rPr>
        <w:t xml:space="preserve">«О Положении об </w:t>
      </w:r>
      <w:r w:rsidRPr="000A5928">
        <w:rPr>
          <w:rFonts w:ascii="Times New Roman" w:hAnsi="Times New Roman" w:cs="Times New Roman"/>
          <w:sz w:val="28"/>
          <w:szCs w:val="28"/>
        </w:rPr>
        <w:t>отдельных вопросах организации и осуществлен</w:t>
      </w:r>
      <w:r w:rsidR="008E3D9C" w:rsidRPr="000A5928">
        <w:rPr>
          <w:rFonts w:ascii="Times New Roman" w:hAnsi="Times New Roman" w:cs="Times New Roman"/>
          <w:sz w:val="28"/>
          <w:szCs w:val="28"/>
        </w:rPr>
        <w:t>ия бюджетного процесса в городе</w:t>
      </w:r>
      <w:r w:rsidR="008E3D9C" w:rsidRPr="000A5928">
        <w:rPr>
          <w:rFonts w:ascii="Times New Roman" w:hAnsi="Times New Roman" w:cs="Times New Roman"/>
          <w:sz w:val="28"/>
          <w:szCs w:val="28"/>
        </w:rPr>
        <w:br/>
      </w:r>
      <w:r w:rsidRPr="000A5928">
        <w:rPr>
          <w:rFonts w:ascii="Times New Roman" w:hAnsi="Times New Roman" w:cs="Times New Roman"/>
          <w:sz w:val="28"/>
          <w:szCs w:val="28"/>
        </w:rPr>
        <w:t>Ханты-Мансийске»</w:t>
      </w:r>
      <w:r w:rsidR="007025BC" w:rsidRPr="000A5928">
        <w:rPr>
          <w:rFonts w:ascii="Times New Roman" w:hAnsi="Times New Roman" w:cs="Times New Roman"/>
          <w:sz w:val="28"/>
          <w:szCs w:val="28"/>
        </w:rPr>
        <w:t>.</w:t>
      </w:r>
    </w:p>
    <w:p w:rsidR="00D74A3B" w:rsidRPr="000A5928" w:rsidRDefault="00D74A3B" w:rsidP="00192E59">
      <w:pPr>
        <w:autoSpaceDE w:val="0"/>
        <w:autoSpaceDN w:val="0"/>
        <w:adjustRightInd w:val="0"/>
        <w:spacing w:after="0"/>
        <w:ind w:firstLine="709"/>
        <w:jc w:val="both"/>
        <w:rPr>
          <w:rFonts w:ascii="Times New Roman" w:hAnsi="Times New Roman" w:cs="Times New Roman"/>
          <w:sz w:val="28"/>
          <w:szCs w:val="28"/>
        </w:rPr>
      </w:pPr>
      <w:r w:rsidRPr="000A5928">
        <w:rPr>
          <w:rFonts w:ascii="Times New Roman" w:hAnsi="Times New Roman" w:cs="Times New Roman"/>
          <w:sz w:val="28"/>
          <w:szCs w:val="28"/>
        </w:rPr>
        <w:t xml:space="preserve">Отчёт об исполнении бюджета города </w:t>
      </w:r>
      <w:r w:rsidR="001F0A57" w:rsidRPr="000A5928">
        <w:rPr>
          <w:rFonts w:ascii="Times New Roman" w:hAnsi="Times New Roman" w:cs="Times New Roman"/>
          <w:sz w:val="28"/>
          <w:szCs w:val="28"/>
        </w:rPr>
        <w:t xml:space="preserve">за </w:t>
      </w:r>
      <w:r w:rsidR="006A70FF">
        <w:rPr>
          <w:rFonts w:ascii="Times New Roman" w:hAnsi="Times New Roman" w:cs="Times New Roman"/>
          <w:sz w:val="28"/>
          <w:szCs w:val="28"/>
        </w:rPr>
        <w:t>полугодие</w:t>
      </w:r>
      <w:r w:rsidR="001F0A57" w:rsidRPr="000A5928">
        <w:rPr>
          <w:rFonts w:ascii="Times New Roman" w:hAnsi="Times New Roman" w:cs="Times New Roman"/>
          <w:sz w:val="28"/>
          <w:szCs w:val="28"/>
        </w:rPr>
        <w:t xml:space="preserve"> 202</w:t>
      </w:r>
      <w:r w:rsidR="00A300AC">
        <w:rPr>
          <w:rFonts w:ascii="Times New Roman" w:hAnsi="Times New Roman" w:cs="Times New Roman"/>
          <w:sz w:val="28"/>
          <w:szCs w:val="28"/>
        </w:rPr>
        <w:t>2</w:t>
      </w:r>
      <w:r w:rsidR="00A21010" w:rsidRPr="000A5928">
        <w:rPr>
          <w:rFonts w:ascii="Times New Roman" w:hAnsi="Times New Roman" w:cs="Times New Roman"/>
          <w:sz w:val="28"/>
          <w:szCs w:val="28"/>
        </w:rPr>
        <w:t xml:space="preserve"> года </w:t>
      </w:r>
      <w:r w:rsidRPr="000A5928">
        <w:rPr>
          <w:rFonts w:ascii="Times New Roman" w:hAnsi="Times New Roman" w:cs="Times New Roman"/>
          <w:sz w:val="28"/>
          <w:szCs w:val="28"/>
        </w:rPr>
        <w:t>соста</w:t>
      </w:r>
      <w:r w:rsidR="00F606AA" w:rsidRPr="000A5928">
        <w:rPr>
          <w:rFonts w:ascii="Times New Roman" w:hAnsi="Times New Roman" w:cs="Times New Roman"/>
          <w:sz w:val="28"/>
          <w:szCs w:val="28"/>
        </w:rPr>
        <w:t xml:space="preserve">влен в соответствии с приказом </w:t>
      </w:r>
      <w:r w:rsidRPr="000A5928">
        <w:rPr>
          <w:rFonts w:ascii="Times New Roman" w:hAnsi="Times New Roman" w:cs="Times New Roman"/>
          <w:sz w:val="28"/>
          <w:szCs w:val="28"/>
        </w:rPr>
        <w:t>Министерства Финансов Российской Федерации</w:t>
      </w:r>
      <w:r w:rsidR="008E3D9C" w:rsidRPr="000A5928">
        <w:rPr>
          <w:rFonts w:ascii="Times New Roman" w:hAnsi="Times New Roman" w:cs="Times New Roman"/>
          <w:sz w:val="28"/>
          <w:szCs w:val="28"/>
        </w:rPr>
        <w:t xml:space="preserve"> от </w:t>
      </w:r>
      <w:r w:rsidRPr="000A5928">
        <w:rPr>
          <w:rFonts w:ascii="Times New Roman" w:hAnsi="Times New Roman" w:cs="Times New Roman"/>
          <w:sz w:val="28"/>
          <w:szCs w:val="28"/>
        </w:rPr>
        <w:t>2</w:t>
      </w:r>
      <w:r w:rsidR="00762834" w:rsidRPr="000A5928">
        <w:rPr>
          <w:rFonts w:ascii="Times New Roman" w:hAnsi="Times New Roman" w:cs="Times New Roman"/>
          <w:sz w:val="28"/>
          <w:szCs w:val="28"/>
        </w:rPr>
        <w:t>8</w:t>
      </w:r>
      <w:r w:rsidR="008E3D9C" w:rsidRPr="000A5928">
        <w:rPr>
          <w:rFonts w:ascii="Times New Roman" w:hAnsi="Times New Roman" w:cs="Times New Roman"/>
          <w:sz w:val="28"/>
          <w:szCs w:val="28"/>
        </w:rPr>
        <w:t>.12.</w:t>
      </w:r>
      <w:r w:rsidRPr="000A5928">
        <w:rPr>
          <w:rFonts w:ascii="Times New Roman" w:hAnsi="Times New Roman" w:cs="Times New Roman"/>
          <w:sz w:val="28"/>
          <w:szCs w:val="28"/>
        </w:rPr>
        <w:t xml:space="preserve">2010 </w:t>
      </w:r>
      <w:r w:rsidR="008E3D9C" w:rsidRPr="000A5928">
        <w:rPr>
          <w:rFonts w:ascii="Times New Roman" w:hAnsi="Times New Roman" w:cs="Times New Roman"/>
          <w:sz w:val="28"/>
          <w:szCs w:val="28"/>
        </w:rPr>
        <w:t>№</w:t>
      </w:r>
      <w:r w:rsidRPr="000A5928">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0A5928" w:rsidRDefault="00D74A3B" w:rsidP="00192E59">
      <w:pPr>
        <w:pStyle w:val="ConsPlusNormal"/>
        <w:spacing w:line="276" w:lineRule="auto"/>
        <w:ind w:firstLine="709"/>
        <w:jc w:val="both"/>
        <w:rPr>
          <w:rFonts w:ascii="Times New Roman" w:hAnsi="Times New Roman" w:cs="Times New Roman"/>
          <w:sz w:val="28"/>
          <w:szCs w:val="28"/>
        </w:rPr>
      </w:pPr>
      <w:r w:rsidRPr="000A5928">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E37417"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0A5928">
        <w:rPr>
          <w:rFonts w:ascii="Times New Roman" w:hAnsi="Times New Roman" w:cs="Times New Roman"/>
          <w:sz w:val="28"/>
          <w:szCs w:val="28"/>
        </w:rPr>
        <w:t>В представленном отч</w:t>
      </w:r>
      <w:r w:rsidR="001960C0" w:rsidRPr="000A5928">
        <w:rPr>
          <w:rFonts w:ascii="Times New Roman" w:hAnsi="Times New Roman" w:cs="Times New Roman"/>
          <w:sz w:val="28"/>
          <w:szCs w:val="28"/>
        </w:rPr>
        <w:t>е</w:t>
      </w:r>
      <w:r w:rsidRPr="000A5928">
        <w:rPr>
          <w:rFonts w:ascii="Times New Roman" w:hAnsi="Times New Roman" w:cs="Times New Roman"/>
          <w:sz w:val="28"/>
          <w:szCs w:val="28"/>
        </w:rPr>
        <w:t xml:space="preserve">те уточнённые бюджетные назначения отличаются от плана, </w:t>
      </w:r>
      <w:r w:rsidR="00B55D53" w:rsidRPr="000A5928">
        <w:rPr>
          <w:rFonts w:ascii="Times New Roman" w:hAnsi="Times New Roman" w:cs="Times New Roman"/>
          <w:sz w:val="28"/>
          <w:szCs w:val="28"/>
        </w:rPr>
        <w:t>утвержденного</w:t>
      </w:r>
      <w:r w:rsidRPr="000A5928">
        <w:rPr>
          <w:rFonts w:ascii="Times New Roman" w:hAnsi="Times New Roman" w:cs="Times New Roman"/>
          <w:sz w:val="28"/>
          <w:szCs w:val="28"/>
        </w:rPr>
        <w:t xml:space="preserve"> Решением Думы города</w:t>
      </w:r>
      <w:r w:rsidR="00233B2F" w:rsidRPr="000A5928">
        <w:rPr>
          <w:rFonts w:ascii="Times New Roman" w:hAnsi="Times New Roman" w:cs="Times New Roman"/>
          <w:sz w:val="28"/>
          <w:szCs w:val="28"/>
        </w:rPr>
        <w:br/>
      </w:r>
      <w:r w:rsidRPr="000A5928">
        <w:rPr>
          <w:rFonts w:ascii="Times New Roman" w:hAnsi="Times New Roman" w:cs="Times New Roman"/>
          <w:sz w:val="28"/>
          <w:szCs w:val="28"/>
        </w:rPr>
        <w:t xml:space="preserve">Ханты-Мансийска </w:t>
      </w:r>
      <w:r w:rsidR="006B770C" w:rsidRPr="000A5928">
        <w:rPr>
          <w:rFonts w:ascii="Times New Roman" w:eastAsia="Times New Roman" w:hAnsi="Times New Roman" w:cs="Times New Roman"/>
          <w:sz w:val="28"/>
          <w:szCs w:val="28"/>
        </w:rPr>
        <w:t>от 24.12.2021 № 26</w:t>
      </w:r>
      <w:r w:rsidR="006B770C" w:rsidRPr="006B770C">
        <w:rPr>
          <w:rFonts w:ascii="Times New Roman" w:eastAsia="Times New Roman" w:hAnsi="Times New Roman" w:cs="Times New Roman"/>
          <w:sz w:val="28"/>
          <w:szCs w:val="28"/>
        </w:rPr>
        <w:t>-</w:t>
      </w:r>
      <w:r w:rsidR="006B770C" w:rsidRPr="006B770C">
        <w:rPr>
          <w:rFonts w:ascii="Times New Roman" w:eastAsia="Times New Roman" w:hAnsi="Times New Roman" w:cs="Times New Roman"/>
          <w:sz w:val="28"/>
          <w:szCs w:val="28"/>
          <w:lang w:val="en-US"/>
        </w:rPr>
        <w:t>VII</w:t>
      </w:r>
      <w:r w:rsidR="006B770C" w:rsidRPr="006B770C">
        <w:rPr>
          <w:rFonts w:ascii="Times New Roman" w:eastAsia="Times New Roman" w:hAnsi="Times New Roman" w:cs="Times New Roman"/>
          <w:sz w:val="28"/>
          <w:szCs w:val="28"/>
        </w:rPr>
        <w:t xml:space="preserve"> РД</w:t>
      </w:r>
      <w:r w:rsidR="00233B2F" w:rsidRPr="006B770C">
        <w:rPr>
          <w:rFonts w:ascii="Times New Roman" w:hAnsi="Times New Roman" w:cs="Times New Roman"/>
          <w:sz w:val="28"/>
          <w:szCs w:val="28"/>
        </w:rPr>
        <w:t xml:space="preserve">. </w:t>
      </w:r>
      <w:r w:rsidRPr="006B770C">
        <w:rPr>
          <w:rFonts w:ascii="Times New Roman" w:hAnsi="Times New Roman" w:cs="Times New Roman"/>
          <w:sz w:val="28"/>
          <w:szCs w:val="28"/>
        </w:rPr>
        <w:t>В соответствии со стать</w:t>
      </w:r>
      <w:r w:rsidR="00F606AA" w:rsidRPr="006B770C">
        <w:rPr>
          <w:rFonts w:ascii="Times New Roman" w:hAnsi="Times New Roman" w:cs="Times New Roman"/>
          <w:sz w:val="28"/>
          <w:szCs w:val="28"/>
        </w:rPr>
        <w:t>е</w:t>
      </w:r>
      <w:r w:rsidRPr="006B770C">
        <w:rPr>
          <w:rFonts w:ascii="Times New Roman" w:hAnsi="Times New Roman" w:cs="Times New Roman"/>
          <w:sz w:val="28"/>
          <w:szCs w:val="28"/>
        </w:rPr>
        <w:t>й 217 Бюджетного кодекса Р</w:t>
      </w:r>
      <w:r w:rsidR="00233B2F" w:rsidRPr="006B770C">
        <w:rPr>
          <w:rFonts w:ascii="Times New Roman" w:hAnsi="Times New Roman" w:cs="Times New Roman"/>
          <w:sz w:val="28"/>
          <w:szCs w:val="28"/>
        </w:rPr>
        <w:t>оссийской Федерации</w:t>
      </w:r>
      <w:r w:rsidR="002B1006" w:rsidRPr="006B770C">
        <w:rPr>
          <w:rFonts w:ascii="Times New Roman" w:hAnsi="Times New Roman" w:cs="Times New Roman"/>
          <w:sz w:val="28"/>
          <w:szCs w:val="28"/>
        </w:rPr>
        <w:t>, стать</w:t>
      </w:r>
      <w:r w:rsidR="001960C0" w:rsidRPr="006B770C">
        <w:rPr>
          <w:rFonts w:ascii="Times New Roman" w:hAnsi="Times New Roman" w:cs="Times New Roman"/>
          <w:sz w:val="28"/>
          <w:szCs w:val="28"/>
        </w:rPr>
        <w:t>е</w:t>
      </w:r>
      <w:r w:rsidR="002B1006" w:rsidRPr="006B770C">
        <w:rPr>
          <w:rFonts w:ascii="Times New Roman" w:hAnsi="Times New Roman" w:cs="Times New Roman"/>
          <w:sz w:val="28"/>
          <w:szCs w:val="28"/>
        </w:rPr>
        <w:t>й 1</w:t>
      </w:r>
      <w:r w:rsidR="006B770C" w:rsidRPr="006B770C">
        <w:rPr>
          <w:rFonts w:ascii="Times New Roman" w:hAnsi="Times New Roman" w:cs="Times New Roman"/>
          <w:sz w:val="28"/>
          <w:szCs w:val="28"/>
        </w:rPr>
        <w:t>3</w:t>
      </w:r>
      <w:r w:rsidR="002B1006" w:rsidRPr="006B770C">
        <w:rPr>
          <w:rFonts w:ascii="Times New Roman" w:hAnsi="Times New Roman" w:cs="Times New Roman"/>
          <w:sz w:val="28"/>
          <w:szCs w:val="28"/>
        </w:rPr>
        <w:t xml:space="preserve"> Решения</w:t>
      </w:r>
      <w:r w:rsidRPr="006B770C">
        <w:rPr>
          <w:rFonts w:ascii="Times New Roman" w:hAnsi="Times New Roman" w:cs="Times New Roman"/>
          <w:sz w:val="28"/>
          <w:szCs w:val="28"/>
        </w:rPr>
        <w:t xml:space="preserve"> </w:t>
      </w:r>
      <w:r w:rsidR="00233B2F" w:rsidRPr="006B770C">
        <w:rPr>
          <w:rFonts w:ascii="Times New Roman" w:eastAsia="Times New Roman" w:hAnsi="Times New Roman" w:cs="Times New Roman"/>
          <w:sz w:val="28"/>
          <w:szCs w:val="28"/>
        </w:rPr>
        <w:t xml:space="preserve">Думы города </w:t>
      </w:r>
      <w:r w:rsidR="002B1006" w:rsidRPr="006B770C">
        <w:rPr>
          <w:rFonts w:ascii="Times New Roman" w:eastAsia="Times New Roman" w:hAnsi="Times New Roman" w:cs="Times New Roman"/>
          <w:sz w:val="28"/>
          <w:szCs w:val="28"/>
        </w:rPr>
        <w:t xml:space="preserve">Ханты-Мансийска от </w:t>
      </w:r>
      <w:r w:rsidR="006B770C" w:rsidRPr="006B770C">
        <w:rPr>
          <w:rFonts w:ascii="Times New Roman" w:eastAsia="Times New Roman" w:hAnsi="Times New Roman" w:cs="Times New Roman"/>
          <w:sz w:val="28"/>
          <w:szCs w:val="28"/>
        </w:rPr>
        <w:t>24</w:t>
      </w:r>
      <w:r w:rsidR="00FA4EA2" w:rsidRPr="006B770C">
        <w:rPr>
          <w:rFonts w:ascii="Times New Roman" w:eastAsia="Times New Roman" w:hAnsi="Times New Roman" w:cs="Times New Roman"/>
          <w:sz w:val="28"/>
          <w:szCs w:val="28"/>
        </w:rPr>
        <w:t>.12.202</w:t>
      </w:r>
      <w:r w:rsidR="006B770C" w:rsidRPr="006B770C">
        <w:rPr>
          <w:rFonts w:ascii="Times New Roman" w:eastAsia="Times New Roman" w:hAnsi="Times New Roman" w:cs="Times New Roman"/>
          <w:sz w:val="28"/>
          <w:szCs w:val="28"/>
        </w:rPr>
        <w:t>1 № 26</w:t>
      </w:r>
      <w:r w:rsidR="00FA4EA2" w:rsidRPr="006B770C">
        <w:rPr>
          <w:rFonts w:ascii="Times New Roman" w:eastAsia="Times New Roman" w:hAnsi="Times New Roman" w:cs="Times New Roman"/>
          <w:sz w:val="28"/>
          <w:szCs w:val="28"/>
        </w:rPr>
        <w:t>-</w:t>
      </w:r>
      <w:r w:rsidR="00FA4EA2" w:rsidRPr="006B770C">
        <w:rPr>
          <w:rFonts w:ascii="Times New Roman" w:eastAsia="Times New Roman" w:hAnsi="Times New Roman" w:cs="Times New Roman"/>
          <w:sz w:val="28"/>
          <w:szCs w:val="28"/>
          <w:lang w:val="en-US"/>
        </w:rPr>
        <w:t>VI</w:t>
      </w:r>
      <w:r w:rsidR="006B770C" w:rsidRPr="006B770C">
        <w:rPr>
          <w:rFonts w:ascii="Times New Roman" w:eastAsia="Times New Roman" w:hAnsi="Times New Roman" w:cs="Times New Roman"/>
          <w:sz w:val="28"/>
          <w:szCs w:val="28"/>
          <w:lang w:val="en-US"/>
        </w:rPr>
        <w:t>I</w:t>
      </w:r>
      <w:r w:rsidR="00FA4EA2" w:rsidRPr="006B770C">
        <w:rPr>
          <w:rFonts w:ascii="Times New Roman" w:eastAsia="Times New Roman" w:hAnsi="Times New Roman" w:cs="Times New Roman"/>
          <w:sz w:val="28"/>
          <w:szCs w:val="28"/>
        </w:rPr>
        <w:t xml:space="preserve"> РД</w:t>
      </w:r>
      <w:r w:rsidR="00233B2F" w:rsidRPr="006B770C">
        <w:rPr>
          <w:rFonts w:ascii="Times New Roman" w:eastAsia="Times New Roman" w:hAnsi="Times New Roman" w:cs="Times New Roman"/>
          <w:sz w:val="28"/>
          <w:szCs w:val="28"/>
        </w:rPr>
        <w:t xml:space="preserve"> «О бюджете города </w:t>
      </w:r>
      <w:r w:rsidR="00EE7D81" w:rsidRPr="006B770C">
        <w:rPr>
          <w:rFonts w:ascii="Times New Roman" w:eastAsia="Times New Roman" w:hAnsi="Times New Roman" w:cs="Times New Roman"/>
          <w:sz w:val="28"/>
          <w:szCs w:val="28"/>
        </w:rPr>
        <w:t>Ханты-Мансийска на 202</w:t>
      </w:r>
      <w:r w:rsidR="006B770C" w:rsidRPr="006B770C">
        <w:rPr>
          <w:rFonts w:ascii="Times New Roman" w:eastAsia="Times New Roman" w:hAnsi="Times New Roman" w:cs="Times New Roman"/>
          <w:sz w:val="28"/>
          <w:szCs w:val="28"/>
        </w:rPr>
        <w:t>2</w:t>
      </w:r>
      <w:r w:rsidR="00233B2F" w:rsidRPr="006B770C">
        <w:rPr>
          <w:rFonts w:ascii="Times New Roman" w:eastAsia="Times New Roman" w:hAnsi="Times New Roman" w:cs="Times New Roman"/>
          <w:sz w:val="28"/>
          <w:szCs w:val="28"/>
        </w:rPr>
        <w:t xml:space="preserve"> год и плановый период</w:t>
      </w:r>
      <w:r w:rsidR="00233B2F" w:rsidRPr="006B770C">
        <w:rPr>
          <w:rFonts w:ascii="Times New Roman" w:eastAsia="Times New Roman" w:hAnsi="Times New Roman" w:cs="Times New Roman"/>
          <w:sz w:val="28"/>
          <w:szCs w:val="28"/>
        </w:rPr>
        <w:br/>
      </w:r>
      <w:r w:rsidR="002B1006" w:rsidRPr="006B770C">
        <w:rPr>
          <w:rFonts w:ascii="Times New Roman" w:eastAsia="Times New Roman" w:hAnsi="Times New Roman" w:cs="Times New Roman"/>
          <w:sz w:val="28"/>
          <w:szCs w:val="28"/>
        </w:rPr>
        <w:t>20</w:t>
      </w:r>
      <w:r w:rsidR="00FA4EA2" w:rsidRPr="006B770C">
        <w:rPr>
          <w:rFonts w:ascii="Times New Roman" w:eastAsia="Times New Roman" w:hAnsi="Times New Roman" w:cs="Times New Roman"/>
          <w:sz w:val="28"/>
          <w:szCs w:val="28"/>
        </w:rPr>
        <w:t>2</w:t>
      </w:r>
      <w:r w:rsidR="006B770C" w:rsidRPr="006B770C">
        <w:rPr>
          <w:rFonts w:ascii="Times New Roman" w:eastAsia="Times New Roman" w:hAnsi="Times New Roman" w:cs="Times New Roman"/>
          <w:sz w:val="28"/>
          <w:szCs w:val="28"/>
        </w:rPr>
        <w:t>3</w:t>
      </w:r>
      <w:r w:rsidR="002B1006" w:rsidRPr="006B770C">
        <w:rPr>
          <w:rFonts w:ascii="Times New Roman" w:eastAsia="Times New Roman" w:hAnsi="Times New Roman" w:cs="Times New Roman"/>
          <w:sz w:val="28"/>
          <w:szCs w:val="28"/>
        </w:rPr>
        <w:t xml:space="preserve"> и 20</w:t>
      </w:r>
      <w:r w:rsidR="00762834" w:rsidRPr="006B770C">
        <w:rPr>
          <w:rFonts w:ascii="Times New Roman" w:eastAsia="Times New Roman" w:hAnsi="Times New Roman" w:cs="Times New Roman"/>
          <w:sz w:val="28"/>
          <w:szCs w:val="28"/>
        </w:rPr>
        <w:t>2</w:t>
      </w:r>
      <w:r w:rsidR="006B770C" w:rsidRPr="006B770C">
        <w:rPr>
          <w:rFonts w:ascii="Times New Roman" w:eastAsia="Times New Roman" w:hAnsi="Times New Roman" w:cs="Times New Roman"/>
          <w:sz w:val="28"/>
          <w:szCs w:val="28"/>
        </w:rPr>
        <w:t>4</w:t>
      </w:r>
      <w:r w:rsidR="002B1006" w:rsidRPr="006B770C">
        <w:rPr>
          <w:rFonts w:ascii="Times New Roman" w:eastAsia="Times New Roman" w:hAnsi="Times New Roman" w:cs="Times New Roman"/>
          <w:sz w:val="28"/>
          <w:szCs w:val="28"/>
        </w:rPr>
        <w:t xml:space="preserve"> годов» </w:t>
      </w:r>
      <w:r w:rsidRPr="000A5928">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поступлением </w:t>
      </w:r>
      <w:r w:rsidR="00E772D0" w:rsidRPr="000A5928">
        <w:rPr>
          <w:rFonts w:ascii="Times New Roman" w:hAnsi="Times New Roman" w:cs="Times New Roman"/>
          <w:sz w:val="28"/>
          <w:szCs w:val="28"/>
        </w:rPr>
        <w:t>иных межбюджетных трансфертов</w:t>
      </w:r>
      <w:r w:rsidRPr="000A5928">
        <w:rPr>
          <w:rFonts w:ascii="Times New Roman" w:hAnsi="Times New Roman" w:cs="Times New Roman"/>
          <w:sz w:val="28"/>
          <w:szCs w:val="28"/>
        </w:rPr>
        <w:t xml:space="preserve"> из бюджета Ханты-М</w:t>
      </w:r>
      <w:r w:rsidR="00233B2F" w:rsidRPr="000A5928">
        <w:rPr>
          <w:rFonts w:ascii="Times New Roman" w:hAnsi="Times New Roman" w:cs="Times New Roman"/>
          <w:sz w:val="28"/>
          <w:szCs w:val="28"/>
        </w:rPr>
        <w:t xml:space="preserve">ансийского автономного округа, </w:t>
      </w:r>
      <w:r w:rsidRPr="000A5928">
        <w:rPr>
          <w:rFonts w:ascii="Times New Roman" w:hAnsi="Times New Roman" w:cs="Times New Roman"/>
          <w:sz w:val="28"/>
          <w:szCs w:val="28"/>
        </w:rPr>
        <w:t>имеющих целевое назначение,</w:t>
      </w:r>
      <w:r w:rsidR="0004199D" w:rsidRPr="000A5928">
        <w:rPr>
          <w:rFonts w:ascii="Times New Roman" w:hAnsi="Times New Roman" w:cs="Times New Roman"/>
          <w:sz w:val="28"/>
          <w:szCs w:val="28"/>
        </w:rPr>
        <w:t xml:space="preserve"> </w:t>
      </w:r>
      <w:r w:rsidRPr="000A5928">
        <w:rPr>
          <w:rFonts w:ascii="Times New Roman" w:hAnsi="Times New Roman" w:cs="Times New Roman"/>
          <w:sz w:val="28"/>
          <w:szCs w:val="28"/>
        </w:rPr>
        <w:t>сверх объемов, утвержденных Решением Думы города Ха</w:t>
      </w:r>
      <w:r w:rsidR="00233B2F" w:rsidRPr="000A5928">
        <w:rPr>
          <w:rFonts w:ascii="Times New Roman" w:hAnsi="Times New Roman" w:cs="Times New Roman"/>
          <w:sz w:val="28"/>
          <w:szCs w:val="28"/>
        </w:rPr>
        <w:t>нты-Мансийска «О бюджете</w:t>
      </w:r>
      <w:r w:rsidR="00E75426" w:rsidRPr="000A5928">
        <w:rPr>
          <w:rFonts w:ascii="Times New Roman" w:hAnsi="Times New Roman" w:cs="Times New Roman"/>
          <w:sz w:val="28"/>
          <w:szCs w:val="28"/>
        </w:rPr>
        <w:t xml:space="preserve"> </w:t>
      </w:r>
      <w:r w:rsidR="00233B2F" w:rsidRPr="000A5928">
        <w:rPr>
          <w:rFonts w:ascii="Times New Roman" w:hAnsi="Times New Roman" w:cs="Times New Roman"/>
          <w:sz w:val="28"/>
          <w:szCs w:val="28"/>
        </w:rPr>
        <w:t>города</w:t>
      </w:r>
      <w:r w:rsidR="00E75426" w:rsidRPr="000A5928">
        <w:rPr>
          <w:rFonts w:ascii="Times New Roman" w:hAnsi="Times New Roman" w:cs="Times New Roman"/>
          <w:sz w:val="28"/>
          <w:szCs w:val="28"/>
        </w:rPr>
        <w:t xml:space="preserve"> </w:t>
      </w:r>
      <w:r w:rsidR="00EE7D81" w:rsidRPr="000A5928">
        <w:rPr>
          <w:rFonts w:ascii="Times New Roman" w:hAnsi="Times New Roman" w:cs="Times New Roman"/>
          <w:sz w:val="28"/>
          <w:szCs w:val="28"/>
        </w:rPr>
        <w:t>Ханты-Мансийска на 202</w:t>
      </w:r>
      <w:r w:rsidR="00A300AC">
        <w:rPr>
          <w:rFonts w:ascii="Times New Roman" w:hAnsi="Times New Roman" w:cs="Times New Roman"/>
          <w:sz w:val="28"/>
          <w:szCs w:val="28"/>
        </w:rPr>
        <w:t>2</w:t>
      </w:r>
      <w:r w:rsidRPr="000A5928">
        <w:rPr>
          <w:rFonts w:ascii="Times New Roman" w:hAnsi="Times New Roman" w:cs="Times New Roman"/>
          <w:sz w:val="28"/>
          <w:szCs w:val="28"/>
        </w:rPr>
        <w:t xml:space="preserve"> год и плановый период</w:t>
      </w:r>
      <w:r w:rsidR="00EE7D81" w:rsidRPr="000A5928">
        <w:rPr>
          <w:rFonts w:ascii="Times New Roman" w:hAnsi="Times New Roman" w:cs="Times New Roman"/>
          <w:sz w:val="28"/>
          <w:szCs w:val="28"/>
        </w:rPr>
        <w:t xml:space="preserve"> 202</w:t>
      </w:r>
      <w:r w:rsidR="00A300AC">
        <w:rPr>
          <w:rFonts w:ascii="Times New Roman" w:hAnsi="Times New Roman" w:cs="Times New Roman"/>
          <w:sz w:val="28"/>
          <w:szCs w:val="28"/>
        </w:rPr>
        <w:t>3</w:t>
      </w:r>
      <w:r w:rsidR="00762834" w:rsidRPr="000A5928">
        <w:rPr>
          <w:rFonts w:ascii="Times New Roman" w:hAnsi="Times New Roman" w:cs="Times New Roman"/>
          <w:sz w:val="28"/>
          <w:szCs w:val="28"/>
        </w:rPr>
        <w:t xml:space="preserve"> </w:t>
      </w:r>
      <w:r w:rsidR="00EC70A8" w:rsidRPr="000A5928">
        <w:rPr>
          <w:rFonts w:ascii="Times New Roman" w:hAnsi="Times New Roman" w:cs="Times New Roman"/>
          <w:sz w:val="28"/>
          <w:szCs w:val="28"/>
        </w:rPr>
        <w:t xml:space="preserve">и </w:t>
      </w:r>
      <w:r w:rsidR="00762834" w:rsidRPr="000A5928">
        <w:rPr>
          <w:rFonts w:ascii="Times New Roman" w:hAnsi="Times New Roman" w:cs="Times New Roman"/>
          <w:sz w:val="28"/>
          <w:szCs w:val="28"/>
        </w:rPr>
        <w:t>202</w:t>
      </w:r>
      <w:r w:rsidR="00A300AC">
        <w:rPr>
          <w:rFonts w:ascii="Times New Roman" w:hAnsi="Times New Roman" w:cs="Times New Roman"/>
          <w:sz w:val="28"/>
          <w:szCs w:val="28"/>
        </w:rPr>
        <w:t>4</w:t>
      </w:r>
      <w:r w:rsidR="00E75426" w:rsidRPr="000A5928">
        <w:rPr>
          <w:rFonts w:ascii="Times New Roman" w:hAnsi="Times New Roman" w:cs="Times New Roman"/>
          <w:sz w:val="28"/>
          <w:szCs w:val="28"/>
        </w:rPr>
        <w:t xml:space="preserve"> </w:t>
      </w:r>
      <w:r w:rsidR="00762834" w:rsidRPr="000A5928">
        <w:rPr>
          <w:rFonts w:ascii="Times New Roman" w:hAnsi="Times New Roman" w:cs="Times New Roman"/>
          <w:sz w:val="28"/>
          <w:szCs w:val="28"/>
        </w:rPr>
        <w:t>годов</w:t>
      </w:r>
      <w:r w:rsidR="00E75426" w:rsidRPr="00E37417">
        <w:rPr>
          <w:rFonts w:ascii="Times New Roman" w:hAnsi="Times New Roman" w:cs="Times New Roman"/>
          <w:sz w:val="28"/>
          <w:szCs w:val="28"/>
        </w:rPr>
        <w:t xml:space="preserve"> </w:t>
      </w:r>
      <w:r w:rsidR="004A6DA8" w:rsidRPr="00E37417">
        <w:rPr>
          <w:rFonts w:ascii="Times New Roman" w:hAnsi="Times New Roman" w:cs="Times New Roman"/>
          <w:sz w:val="28"/>
          <w:szCs w:val="28"/>
        </w:rPr>
        <w:t>п</w:t>
      </w:r>
      <w:r w:rsidR="00F606AA" w:rsidRPr="00E37417">
        <w:rPr>
          <w:rFonts w:ascii="Times New Roman" w:hAnsi="Times New Roman" w:cs="Times New Roman"/>
          <w:sz w:val="28"/>
          <w:szCs w:val="28"/>
        </w:rPr>
        <w:t>о доходам</w:t>
      </w:r>
      <w:r w:rsidR="00DA62C2" w:rsidRPr="00E37417">
        <w:rPr>
          <w:rFonts w:ascii="Times New Roman" w:hAnsi="Times New Roman" w:cs="Times New Roman"/>
          <w:sz w:val="28"/>
          <w:szCs w:val="28"/>
        </w:rPr>
        <w:t xml:space="preserve"> </w:t>
      </w:r>
      <w:r w:rsidR="000B2B46" w:rsidRPr="00E37417">
        <w:rPr>
          <w:rFonts w:ascii="Times New Roman" w:hAnsi="Times New Roman" w:cs="Times New Roman"/>
          <w:sz w:val="28"/>
          <w:szCs w:val="28"/>
        </w:rPr>
        <w:t xml:space="preserve">на сумму </w:t>
      </w:r>
      <w:r w:rsidR="00236684">
        <w:rPr>
          <w:rFonts w:ascii="Times New Roman" w:hAnsi="Times New Roman" w:cs="Times New Roman"/>
          <w:sz w:val="28"/>
          <w:szCs w:val="28"/>
        </w:rPr>
        <w:t>8 735,6</w:t>
      </w:r>
      <w:r w:rsidR="00BE5078" w:rsidRPr="00E37417">
        <w:rPr>
          <w:rFonts w:ascii="Times New Roman" w:eastAsia="Times New Roman" w:hAnsi="Times New Roman" w:cs="Times New Roman"/>
          <w:sz w:val="28"/>
          <w:szCs w:val="28"/>
        </w:rPr>
        <w:t> </w:t>
      </w:r>
      <w:r w:rsidR="000B2B46" w:rsidRPr="00E37417">
        <w:rPr>
          <w:rFonts w:ascii="Times New Roman" w:hAnsi="Times New Roman" w:cs="Times New Roman"/>
          <w:sz w:val="28"/>
          <w:szCs w:val="28"/>
        </w:rPr>
        <w:t xml:space="preserve">тыс. рублей </w:t>
      </w:r>
      <w:r w:rsidR="00DA62C2" w:rsidRPr="00E37417">
        <w:rPr>
          <w:rFonts w:ascii="Times New Roman" w:hAnsi="Times New Roman" w:cs="Times New Roman"/>
          <w:sz w:val="28"/>
          <w:szCs w:val="28"/>
        </w:rPr>
        <w:t>и расходам</w:t>
      </w:r>
      <w:r w:rsidR="00F606AA" w:rsidRPr="00E37417">
        <w:rPr>
          <w:rFonts w:ascii="Times New Roman" w:hAnsi="Times New Roman" w:cs="Times New Roman"/>
          <w:sz w:val="28"/>
          <w:szCs w:val="28"/>
        </w:rPr>
        <w:t xml:space="preserve"> на </w:t>
      </w:r>
      <w:r w:rsidRPr="00E37417">
        <w:rPr>
          <w:rFonts w:ascii="Times New Roman" w:hAnsi="Times New Roman" w:cs="Times New Roman"/>
          <w:sz w:val="28"/>
          <w:szCs w:val="28"/>
        </w:rPr>
        <w:t xml:space="preserve">сумму </w:t>
      </w:r>
      <w:r w:rsidR="00236684">
        <w:rPr>
          <w:rFonts w:ascii="Times New Roman" w:hAnsi="Times New Roman" w:cs="Times New Roman"/>
          <w:sz w:val="28"/>
          <w:szCs w:val="28"/>
        </w:rPr>
        <w:t>8 735,6</w:t>
      </w:r>
      <w:r w:rsidR="002B1006" w:rsidRPr="00E37417">
        <w:rPr>
          <w:rFonts w:ascii="Times New Roman" w:eastAsia="Times New Roman" w:hAnsi="Times New Roman" w:cs="Times New Roman"/>
          <w:sz w:val="28"/>
          <w:szCs w:val="28"/>
        </w:rPr>
        <w:t>тыс.</w:t>
      </w:r>
      <w:r w:rsidR="00EC70A8" w:rsidRPr="00E37417">
        <w:rPr>
          <w:rFonts w:ascii="Times New Roman" w:eastAsia="Times New Roman" w:hAnsi="Times New Roman" w:cs="Times New Roman"/>
          <w:sz w:val="28"/>
          <w:szCs w:val="28"/>
        </w:rPr>
        <w:t xml:space="preserve"> </w:t>
      </w:r>
      <w:r w:rsidR="00233B2F" w:rsidRPr="00E37417">
        <w:rPr>
          <w:rFonts w:ascii="Times New Roman" w:hAnsi="Times New Roman" w:cs="Times New Roman"/>
          <w:sz w:val="28"/>
          <w:szCs w:val="28"/>
        </w:rPr>
        <w:t>рублей</w:t>
      </w:r>
      <w:r w:rsidRPr="00E37417">
        <w:rPr>
          <w:rFonts w:ascii="Times New Roman" w:hAnsi="Times New Roman" w:cs="Times New Roman"/>
          <w:sz w:val="28"/>
          <w:szCs w:val="28"/>
        </w:rPr>
        <w:t>.</w:t>
      </w:r>
      <w:r w:rsidR="00271985" w:rsidRPr="00E37417">
        <w:rPr>
          <w:rFonts w:ascii="Times New Roman" w:eastAsia="Times New Roman" w:hAnsi="Times New Roman" w:cs="Times New Roman"/>
          <w:sz w:val="28"/>
          <w:szCs w:val="28"/>
        </w:rPr>
        <w:t xml:space="preserve"> </w:t>
      </w:r>
    </w:p>
    <w:p w:rsidR="00236684" w:rsidRDefault="00236684" w:rsidP="003B53D3">
      <w:pPr>
        <w:autoSpaceDE w:val="0"/>
        <w:autoSpaceDN w:val="0"/>
        <w:adjustRightInd w:val="0"/>
        <w:spacing w:after="0"/>
        <w:ind w:firstLine="540"/>
        <w:jc w:val="both"/>
        <w:rPr>
          <w:rFonts w:ascii="Times New Roman" w:hAnsi="Times New Roman" w:cs="Times New Roman"/>
          <w:sz w:val="28"/>
          <w:szCs w:val="28"/>
        </w:rPr>
      </w:pPr>
    </w:p>
    <w:p w:rsidR="00D74A3B" w:rsidRPr="00E37417" w:rsidRDefault="00D74A3B" w:rsidP="003B53D3">
      <w:pPr>
        <w:autoSpaceDE w:val="0"/>
        <w:autoSpaceDN w:val="0"/>
        <w:adjustRightInd w:val="0"/>
        <w:spacing w:after="0"/>
        <w:ind w:firstLine="540"/>
        <w:jc w:val="both"/>
        <w:rPr>
          <w:rFonts w:ascii="Times New Roman" w:hAnsi="Times New Roman" w:cs="Times New Roman"/>
          <w:sz w:val="28"/>
          <w:szCs w:val="28"/>
        </w:rPr>
      </w:pPr>
      <w:r w:rsidRPr="00E37417">
        <w:rPr>
          <w:rFonts w:ascii="Times New Roman" w:hAnsi="Times New Roman" w:cs="Times New Roman"/>
          <w:sz w:val="28"/>
          <w:szCs w:val="28"/>
        </w:rPr>
        <w:lastRenderedPageBreak/>
        <w:t>Изменения, внес</w:t>
      </w:r>
      <w:r w:rsidR="001960C0" w:rsidRPr="00E37417">
        <w:rPr>
          <w:rFonts w:ascii="Times New Roman" w:hAnsi="Times New Roman" w:cs="Times New Roman"/>
          <w:sz w:val="28"/>
          <w:szCs w:val="28"/>
        </w:rPr>
        <w:t>е</w:t>
      </w:r>
      <w:r w:rsidRPr="00E37417">
        <w:rPr>
          <w:rFonts w:ascii="Times New Roman" w:hAnsi="Times New Roman" w:cs="Times New Roman"/>
          <w:sz w:val="28"/>
          <w:szCs w:val="28"/>
        </w:rPr>
        <w:t>нные в роспись бюджета города Ханты</w:t>
      </w:r>
      <w:r w:rsidR="007025BC" w:rsidRPr="00E37417">
        <w:rPr>
          <w:rFonts w:ascii="Times New Roman" w:hAnsi="Times New Roman" w:cs="Times New Roman"/>
          <w:sz w:val="28"/>
          <w:szCs w:val="28"/>
        </w:rPr>
        <w:t xml:space="preserve">-Мансийска, </w:t>
      </w:r>
      <w:r w:rsidRPr="00E37417">
        <w:rPr>
          <w:rFonts w:ascii="Times New Roman" w:hAnsi="Times New Roman" w:cs="Times New Roman"/>
          <w:sz w:val="28"/>
          <w:szCs w:val="28"/>
        </w:rPr>
        <w:t>отражены в таблице:</w:t>
      </w:r>
    </w:p>
    <w:p w:rsidR="004F3EBF" w:rsidRPr="006670EA" w:rsidRDefault="00200270" w:rsidP="00200270">
      <w:pPr>
        <w:jc w:val="right"/>
        <w:rPr>
          <w:rFonts w:ascii="Times New Roman" w:hAnsi="Times New Roman" w:cs="Times New Roman"/>
          <w:sz w:val="24"/>
          <w:szCs w:val="24"/>
        </w:rPr>
      </w:pPr>
      <w:r w:rsidRPr="006670EA">
        <w:rPr>
          <w:rFonts w:ascii="Times New Roman" w:hAnsi="Times New Roman" w:cs="Times New Roman"/>
          <w:sz w:val="24"/>
          <w:szCs w:val="24"/>
        </w:rPr>
        <w:t>рубли</w:t>
      </w:r>
    </w:p>
    <w:tbl>
      <w:tblPr>
        <w:tblW w:w="9095" w:type="dxa"/>
        <w:tblInd w:w="113" w:type="dxa"/>
        <w:tblLook w:val="04A0" w:firstRow="1" w:lastRow="0" w:firstColumn="1" w:lastColumn="0" w:noHBand="0" w:noVBand="1"/>
      </w:tblPr>
      <w:tblGrid>
        <w:gridCol w:w="4815"/>
        <w:gridCol w:w="2140"/>
        <w:gridCol w:w="2140"/>
      </w:tblGrid>
      <w:tr w:rsidR="00236684" w:rsidRPr="00236684" w:rsidTr="00236684">
        <w:trPr>
          <w:trHeight w:val="63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Изменение доходной части</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Изменение расходной части</w:t>
            </w:r>
          </w:p>
        </w:tc>
      </w:tr>
      <w:tr w:rsidR="00236684" w:rsidRPr="00236684" w:rsidTr="00236684">
        <w:trPr>
          <w:trHeight w:val="121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1200585160 - Иные межбюджетные трансферты на реализацию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8 735 600,00</w:t>
            </w:r>
          </w:p>
        </w:tc>
        <w:tc>
          <w:tcPr>
            <w:tcW w:w="2140" w:type="dxa"/>
            <w:tcBorders>
              <w:top w:val="nil"/>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8 735 600,00</w:t>
            </w:r>
          </w:p>
        </w:tc>
      </w:tr>
      <w:tr w:rsidR="00236684" w:rsidRPr="00236684" w:rsidTr="00236684">
        <w:trPr>
          <w:trHeight w:val="48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jc w:val="right"/>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8 735 600,00</w:t>
            </w:r>
          </w:p>
        </w:tc>
        <w:tc>
          <w:tcPr>
            <w:tcW w:w="2140" w:type="dxa"/>
            <w:tcBorders>
              <w:top w:val="nil"/>
              <w:left w:val="nil"/>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jc w:val="right"/>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8 735 600,00</w:t>
            </w:r>
          </w:p>
        </w:tc>
      </w:tr>
    </w:tbl>
    <w:p w:rsidR="00AC7BCA" w:rsidRPr="00F94B23" w:rsidRDefault="00AC7BCA" w:rsidP="00CC5626">
      <w:pPr>
        <w:ind w:firstLine="851"/>
        <w:jc w:val="center"/>
        <w:rPr>
          <w:rFonts w:ascii="Times New Roman" w:hAnsi="Times New Roman" w:cs="Times New Roman"/>
          <w:b/>
          <w:sz w:val="28"/>
          <w:szCs w:val="28"/>
          <w:u w:val="single"/>
        </w:rPr>
      </w:pPr>
    </w:p>
    <w:p w:rsidR="00A934B4" w:rsidRPr="00F94B23" w:rsidRDefault="00A934B4" w:rsidP="00A934B4">
      <w:pPr>
        <w:ind w:firstLine="851"/>
        <w:jc w:val="center"/>
        <w:rPr>
          <w:rFonts w:ascii="Times New Roman" w:hAnsi="Times New Roman" w:cs="Times New Roman"/>
          <w:b/>
          <w:sz w:val="28"/>
          <w:szCs w:val="28"/>
          <w:u w:val="single"/>
        </w:rPr>
      </w:pPr>
      <w:r w:rsidRPr="00F94B23">
        <w:rPr>
          <w:rFonts w:ascii="Times New Roman" w:hAnsi="Times New Roman" w:cs="Times New Roman"/>
          <w:b/>
          <w:sz w:val="28"/>
          <w:szCs w:val="28"/>
          <w:u w:val="single"/>
        </w:rPr>
        <w:t>ДОХОДЫ</w:t>
      </w:r>
    </w:p>
    <w:p w:rsidR="00A934B4" w:rsidRPr="00F94B2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7"/>
          <w:sz w:val="28"/>
          <w:szCs w:val="28"/>
        </w:rPr>
        <w:t xml:space="preserve">По состоянию на 01 </w:t>
      </w:r>
      <w:r w:rsidR="00F94B23" w:rsidRPr="00F94B23">
        <w:rPr>
          <w:rFonts w:ascii="Times New Roman" w:hAnsi="Times New Roman" w:cs="Times New Roman"/>
          <w:color w:val="000000"/>
          <w:spacing w:val="7"/>
          <w:sz w:val="28"/>
          <w:szCs w:val="28"/>
        </w:rPr>
        <w:t>июля</w:t>
      </w:r>
      <w:r w:rsidRPr="00F94B23">
        <w:rPr>
          <w:rFonts w:ascii="Times New Roman" w:hAnsi="Times New Roman" w:cs="Times New Roman"/>
          <w:color w:val="000000"/>
          <w:spacing w:val="7"/>
          <w:sz w:val="28"/>
          <w:szCs w:val="28"/>
        </w:rPr>
        <w:t xml:space="preserve"> 2022 года в бюджет города Ханты-Мансийска поступили доходы в сумме </w:t>
      </w:r>
      <w:r w:rsidR="00F94B23" w:rsidRPr="00F94B23">
        <w:rPr>
          <w:rFonts w:ascii="Times New Roman" w:hAnsi="Times New Roman" w:cs="Times New Roman"/>
          <w:color w:val="000000"/>
          <w:spacing w:val="7"/>
          <w:sz w:val="28"/>
          <w:szCs w:val="28"/>
        </w:rPr>
        <w:t>5 003 271,7</w:t>
      </w:r>
      <w:r w:rsidRPr="00F94B23">
        <w:rPr>
          <w:rFonts w:ascii="Times New Roman" w:hAnsi="Times New Roman" w:cs="Times New Roman"/>
          <w:color w:val="000000"/>
          <w:spacing w:val="7"/>
          <w:sz w:val="28"/>
          <w:szCs w:val="28"/>
        </w:rPr>
        <w:t xml:space="preserve"> тыс. </w:t>
      </w:r>
      <w:r w:rsidRPr="00F94B23">
        <w:rPr>
          <w:rFonts w:ascii="Times New Roman" w:hAnsi="Times New Roman" w:cs="Times New Roman"/>
          <w:bCs/>
          <w:color w:val="000000"/>
          <w:spacing w:val="-2"/>
          <w:sz w:val="28"/>
          <w:szCs w:val="28"/>
        </w:rPr>
        <w:t xml:space="preserve">рублей при уточнённом плане на 2022 год в сумме </w:t>
      </w:r>
      <w:r w:rsidR="00F94B23" w:rsidRPr="00F94B23">
        <w:rPr>
          <w:rFonts w:ascii="Times New Roman" w:hAnsi="Times New Roman" w:cs="Times New Roman"/>
          <w:bCs/>
          <w:color w:val="000000"/>
          <w:spacing w:val="-2"/>
          <w:sz w:val="28"/>
          <w:szCs w:val="28"/>
        </w:rPr>
        <w:t>12 161 716,6</w:t>
      </w:r>
      <w:r w:rsidRPr="00F94B23">
        <w:rPr>
          <w:rFonts w:ascii="Times New Roman" w:hAnsi="Times New Roman" w:cs="Times New Roman"/>
          <w:bCs/>
          <w:color w:val="000000"/>
          <w:spacing w:val="-2"/>
          <w:sz w:val="28"/>
          <w:szCs w:val="28"/>
        </w:rPr>
        <w:t xml:space="preserve"> тыс. рублей, плановые назначения исполнены на </w:t>
      </w:r>
      <w:r w:rsidR="00F94B23" w:rsidRPr="00F94B23">
        <w:rPr>
          <w:rFonts w:ascii="Times New Roman" w:hAnsi="Times New Roman" w:cs="Times New Roman"/>
          <w:bCs/>
          <w:color w:val="000000"/>
          <w:spacing w:val="-2"/>
          <w:sz w:val="28"/>
          <w:szCs w:val="28"/>
        </w:rPr>
        <w:t>41,1</w:t>
      </w:r>
      <w:r w:rsidRPr="00F94B23">
        <w:rPr>
          <w:rFonts w:ascii="Times New Roman" w:hAnsi="Times New Roman" w:cs="Times New Roman"/>
          <w:color w:val="000000"/>
          <w:spacing w:val="-2"/>
          <w:sz w:val="28"/>
          <w:szCs w:val="28"/>
        </w:rPr>
        <w:t xml:space="preserve">%. </w:t>
      </w:r>
    </w:p>
    <w:p w:rsidR="00A934B4" w:rsidRPr="00F94B2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За от</w:t>
      </w:r>
      <w:bookmarkStart w:id="0" w:name="_GoBack"/>
      <w:bookmarkEnd w:id="0"/>
      <w:r w:rsidRPr="00F94B23">
        <w:rPr>
          <w:rFonts w:ascii="Times New Roman" w:hAnsi="Times New Roman" w:cs="Times New Roman"/>
          <w:color w:val="000000"/>
          <w:spacing w:val="-2"/>
          <w:sz w:val="28"/>
          <w:szCs w:val="28"/>
        </w:rPr>
        <w:t>чётный период доходы бюджета города сложились из:</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налоговых доходов, поступивших в сумме </w:t>
      </w:r>
      <w:r w:rsidR="00F94B23" w:rsidRPr="00F94B23">
        <w:rPr>
          <w:rFonts w:ascii="Times New Roman" w:hAnsi="Times New Roman" w:cs="Times New Roman"/>
          <w:color w:val="000000"/>
          <w:spacing w:val="-2"/>
          <w:sz w:val="28"/>
          <w:szCs w:val="28"/>
        </w:rPr>
        <w:t>2 049 815,5</w:t>
      </w:r>
      <w:r w:rsidRPr="00F94B23">
        <w:rPr>
          <w:rFonts w:ascii="Times New Roman CYR" w:eastAsia="Times New Roman" w:hAnsi="Times New Roman CYR" w:cs="Times New Roman CYR"/>
          <w:sz w:val="28"/>
          <w:szCs w:val="28"/>
        </w:rPr>
        <w:t xml:space="preserve"> </w:t>
      </w:r>
      <w:r w:rsidRPr="00F94B23">
        <w:rPr>
          <w:rFonts w:ascii="Times New Roman" w:eastAsia="Times New Roman" w:hAnsi="Times New Roman" w:cs="Times New Roman"/>
          <w:sz w:val="28"/>
          <w:szCs w:val="28"/>
        </w:rPr>
        <w:t xml:space="preserve">тыс. </w:t>
      </w:r>
      <w:r w:rsidRPr="00F94B23">
        <w:rPr>
          <w:rFonts w:ascii="Times New Roman" w:hAnsi="Times New Roman" w:cs="Times New Roman"/>
          <w:color w:val="000000"/>
          <w:spacing w:val="-2"/>
          <w:sz w:val="28"/>
          <w:szCs w:val="28"/>
        </w:rPr>
        <w:t>рублей, их удельный вес в структуре доходов бюджета составил 4</w:t>
      </w:r>
      <w:r w:rsidR="00F94B23" w:rsidRPr="00F94B23">
        <w:rPr>
          <w:rFonts w:ascii="Times New Roman" w:hAnsi="Times New Roman" w:cs="Times New Roman"/>
          <w:color w:val="000000"/>
          <w:spacing w:val="-2"/>
          <w:sz w:val="28"/>
          <w:szCs w:val="28"/>
        </w:rPr>
        <w:t>1</w:t>
      </w:r>
      <w:r w:rsidRPr="00F94B23">
        <w:rPr>
          <w:rFonts w:ascii="Times New Roman" w:hAnsi="Times New Roman" w:cs="Times New Roman"/>
          <w:color w:val="000000"/>
          <w:spacing w:val="-2"/>
          <w:sz w:val="28"/>
          <w:szCs w:val="28"/>
        </w:rPr>
        <w:t>%;</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неналоговых доходов в сумме </w:t>
      </w:r>
      <w:r w:rsidR="00F94B23" w:rsidRPr="00F94B23">
        <w:rPr>
          <w:rFonts w:ascii="Times New Roman" w:eastAsia="Times New Roman" w:hAnsi="Times New Roman" w:cs="Times New Roman"/>
          <w:sz w:val="28"/>
          <w:szCs w:val="28"/>
        </w:rPr>
        <w:t>150 525,0</w:t>
      </w:r>
      <w:r w:rsidRPr="00F94B23">
        <w:rPr>
          <w:rFonts w:ascii="Times New Roman" w:eastAsia="Times New Roman" w:hAnsi="Times New Roman" w:cs="Times New Roman"/>
          <w:sz w:val="28"/>
          <w:szCs w:val="28"/>
        </w:rPr>
        <w:t xml:space="preserve"> тыс.</w:t>
      </w:r>
      <w:r w:rsidRPr="00F94B23">
        <w:rPr>
          <w:rFonts w:ascii="Times New Roman" w:hAnsi="Times New Roman" w:cs="Times New Roman"/>
          <w:color w:val="000000"/>
          <w:spacing w:val="-2"/>
          <w:sz w:val="28"/>
          <w:szCs w:val="28"/>
        </w:rPr>
        <w:t xml:space="preserve"> рублей, занимающих в структуре бюджета 3%;</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безвозмездных поступлений в сумме </w:t>
      </w:r>
      <w:r w:rsidR="00F94B23" w:rsidRPr="00F94B23">
        <w:rPr>
          <w:rFonts w:ascii="Times New Roman" w:hAnsi="Times New Roman" w:cs="Times New Roman"/>
          <w:color w:val="000000"/>
          <w:spacing w:val="-2"/>
          <w:sz w:val="28"/>
          <w:szCs w:val="28"/>
        </w:rPr>
        <w:t>2 802 931,2</w:t>
      </w:r>
      <w:r w:rsidRPr="00F94B23">
        <w:rPr>
          <w:rFonts w:ascii="Times New Roman" w:eastAsia="Times New Roman" w:hAnsi="Times New Roman" w:cs="Times New Roman"/>
          <w:sz w:val="28"/>
          <w:szCs w:val="28"/>
        </w:rPr>
        <w:t xml:space="preserve"> тыс. </w:t>
      </w:r>
      <w:r w:rsidRPr="00F94B23">
        <w:rPr>
          <w:rFonts w:ascii="Times New Roman" w:hAnsi="Times New Roman" w:cs="Times New Roman"/>
          <w:color w:val="000000"/>
          <w:spacing w:val="-2"/>
          <w:sz w:val="28"/>
          <w:szCs w:val="28"/>
        </w:rPr>
        <w:t xml:space="preserve">рублей, занимающих </w:t>
      </w:r>
      <w:r w:rsidR="00F94B23" w:rsidRPr="00F94B23">
        <w:rPr>
          <w:rFonts w:ascii="Times New Roman" w:hAnsi="Times New Roman" w:cs="Times New Roman"/>
          <w:color w:val="000000"/>
          <w:spacing w:val="-2"/>
          <w:sz w:val="28"/>
          <w:szCs w:val="28"/>
        </w:rPr>
        <w:t xml:space="preserve">56 </w:t>
      </w:r>
      <w:r w:rsidRPr="00F94B23">
        <w:rPr>
          <w:rFonts w:ascii="Times New Roman" w:hAnsi="Times New Roman" w:cs="Times New Roman"/>
          <w:color w:val="000000"/>
          <w:spacing w:val="-2"/>
          <w:sz w:val="28"/>
          <w:szCs w:val="28"/>
        </w:rPr>
        <w:t>% в структуре доходов бюджета.</w:t>
      </w:r>
    </w:p>
    <w:p w:rsidR="00A934B4" w:rsidRPr="00A934B4"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4004C2"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4004C2">
        <w:rPr>
          <w:rFonts w:ascii="Times New Roman" w:hAnsi="Times New Roman" w:cs="Times New Roman"/>
          <w:b/>
          <w:color w:val="000000"/>
          <w:spacing w:val="-2"/>
          <w:sz w:val="28"/>
          <w:szCs w:val="28"/>
        </w:rPr>
        <w:t xml:space="preserve">Доходы бюджета города Ханты-Мансийска за  </w:t>
      </w:r>
    </w:p>
    <w:p w:rsidR="00A934B4" w:rsidRPr="004004C2"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4004C2">
        <w:rPr>
          <w:rFonts w:ascii="Times New Roman" w:hAnsi="Times New Roman" w:cs="Times New Roman"/>
          <w:b/>
          <w:color w:val="000000"/>
          <w:spacing w:val="7"/>
          <w:sz w:val="28"/>
          <w:szCs w:val="28"/>
        </w:rPr>
        <w:t>перв</w:t>
      </w:r>
      <w:r w:rsidR="004004C2" w:rsidRPr="004004C2">
        <w:rPr>
          <w:rFonts w:ascii="Times New Roman" w:hAnsi="Times New Roman" w:cs="Times New Roman"/>
          <w:b/>
          <w:color w:val="000000"/>
          <w:spacing w:val="7"/>
          <w:sz w:val="28"/>
          <w:szCs w:val="28"/>
        </w:rPr>
        <w:t>ое</w:t>
      </w:r>
      <w:r w:rsidRPr="004004C2">
        <w:rPr>
          <w:rFonts w:ascii="Times New Roman" w:hAnsi="Times New Roman" w:cs="Times New Roman"/>
          <w:b/>
          <w:color w:val="000000"/>
          <w:spacing w:val="7"/>
          <w:sz w:val="28"/>
          <w:szCs w:val="28"/>
        </w:rPr>
        <w:t xml:space="preserve"> </w:t>
      </w:r>
      <w:r w:rsidR="004004C2" w:rsidRPr="004004C2">
        <w:rPr>
          <w:rFonts w:ascii="Times New Roman" w:hAnsi="Times New Roman" w:cs="Times New Roman"/>
          <w:b/>
          <w:color w:val="000000"/>
          <w:spacing w:val="7"/>
          <w:sz w:val="28"/>
          <w:szCs w:val="28"/>
        </w:rPr>
        <w:t>полугодие</w:t>
      </w:r>
      <w:r w:rsidRPr="004004C2">
        <w:rPr>
          <w:rFonts w:ascii="Times New Roman" w:hAnsi="Times New Roman" w:cs="Times New Roman"/>
          <w:b/>
          <w:color w:val="000000"/>
          <w:spacing w:val="7"/>
          <w:sz w:val="28"/>
          <w:szCs w:val="28"/>
        </w:rPr>
        <w:t xml:space="preserve"> </w:t>
      </w:r>
      <w:r w:rsidRPr="004004C2">
        <w:rPr>
          <w:rFonts w:ascii="Times New Roman" w:hAnsi="Times New Roman" w:cs="Times New Roman"/>
          <w:b/>
          <w:color w:val="000000"/>
          <w:spacing w:val="-2"/>
          <w:sz w:val="28"/>
          <w:szCs w:val="28"/>
        </w:rPr>
        <w:t>2022 года</w:t>
      </w:r>
    </w:p>
    <w:p w:rsidR="00A934B4" w:rsidRPr="004004C2"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4004C2">
        <w:rPr>
          <w:rFonts w:ascii="Times New Roman" w:hAnsi="Times New Roman" w:cs="Times New Roman"/>
          <w:color w:val="000000"/>
          <w:spacing w:val="-2"/>
          <w:sz w:val="24"/>
          <w:szCs w:val="24"/>
        </w:rPr>
        <w:t xml:space="preserve">                    (тыс. рублей)</w:t>
      </w:r>
    </w:p>
    <w:tbl>
      <w:tblPr>
        <w:tblW w:w="9327" w:type="dxa"/>
        <w:tblInd w:w="-5" w:type="dxa"/>
        <w:tblLayout w:type="fixed"/>
        <w:tblLook w:val="04A0" w:firstRow="1" w:lastRow="0" w:firstColumn="1" w:lastColumn="0" w:noHBand="0" w:noVBand="1"/>
      </w:tblPr>
      <w:tblGrid>
        <w:gridCol w:w="3278"/>
        <w:gridCol w:w="1655"/>
        <w:gridCol w:w="1417"/>
        <w:gridCol w:w="1555"/>
        <w:gridCol w:w="1422"/>
      </w:tblGrid>
      <w:tr w:rsidR="00A934B4" w:rsidRPr="004004C2" w:rsidTr="003D39EB">
        <w:trPr>
          <w:trHeight w:val="776"/>
        </w:trPr>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4B4" w:rsidRPr="004004C2" w:rsidRDefault="00A934B4" w:rsidP="003D39EB">
            <w:pPr>
              <w:spacing w:after="0" w:line="240" w:lineRule="auto"/>
              <w:rPr>
                <w:rFonts w:ascii="Times New Roman CYR" w:eastAsia="Times New Roman" w:hAnsi="Times New Roman CYR" w:cs="Times New Roman CYR"/>
                <w:bCs/>
              </w:rPr>
            </w:pPr>
            <w:r w:rsidRPr="004004C2">
              <w:rPr>
                <w:rFonts w:ascii="Times New Roman CYR" w:eastAsia="Times New Roman" w:hAnsi="Times New Roman CYR" w:cs="Times New Roman CYR"/>
                <w:bCs/>
              </w:rPr>
              <w:t>Наименование</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1F7620" w:rsidP="004004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Исполнено за </w:t>
            </w:r>
            <w:r w:rsidR="00A934B4" w:rsidRPr="004004C2">
              <w:rPr>
                <w:rFonts w:ascii="Times New Roman" w:eastAsia="Times New Roman" w:hAnsi="Times New Roman" w:cs="Times New Roman"/>
                <w:color w:val="000000"/>
              </w:rPr>
              <w:t xml:space="preserve"> </w:t>
            </w:r>
            <w:r w:rsidR="004004C2" w:rsidRPr="004004C2">
              <w:rPr>
                <w:rFonts w:ascii="Times New Roman" w:eastAsia="Times New Roman" w:hAnsi="Times New Roman" w:cs="Times New Roman"/>
                <w:color w:val="000000"/>
              </w:rPr>
              <w:t>полугодие</w:t>
            </w:r>
            <w:r w:rsidR="00A934B4" w:rsidRPr="004004C2">
              <w:rPr>
                <w:rFonts w:ascii="Times New Roman" w:eastAsia="Times New Roman" w:hAnsi="Times New Roman" w:cs="Times New Roman"/>
                <w:color w:val="000000"/>
              </w:rPr>
              <w:t xml:space="preserve"> 2021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3D39EB">
            <w:pPr>
              <w:spacing w:after="0" w:line="240" w:lineRule="auto"/>
              <w:jc w:val="center"/>
              <w:rPr>
                <w:rFonts w:ascii="Times New Roman" w:eastAsia="Times New Roman" w:hAnsi="Times New Roman" w:cs="Times New Roman"/>
                <w:color w:val="000000"/>
              </w:rPr>
            </w:pPr>
            <w:r w:rsidRPr="004004C2">
              <w:rPr>
                <w:rFonts w:ascii="Times New Roman" w:eastAsia="Times New Roman" w:hAnsi="Times New Roman" w:cs="Times New Roman"/>
                <w:color w:val="000000"/>
              </w:rPr>
              <w:t>Уточнённый план на 2022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1F7620">
            <w:pPr>
              <w:spacing w:after="0" w:line="240" w:lineRule="auto"/>
              <w:jc w:val="center"/>
              <w:rPr>
                <w:rFonts w:ascii="Times New Roman" w:eastAsia="Times New Roman" w:hAnsi="Times New Roman" w:cs="Times New Roman"/>
                <w:color w:val="000000"/>
              </w:rPr>
            </w:pPr>
            <w:r w:rsidRPr="004004C2">
              <w:rPr>
                <w:rFonts w:ascii="Times New Roman" w:eastAsia="Times New Roman" w:hAnsi="Times New Roman" w:cs="Times New Roman"/>
                <w:color w:val="000000"/>
              </w:rPr>
              <w:t xml:space="preserve">Исполнено за  </w:t>
            </w:r>
            <w:r w:rsidR="004004C2" w:rsidRPr="004004C2">
              <w:rPr>
                <w:rFonts w:ascii="Times New Roman" w:eastAsia="Times New Roman" w:hAnsi="Times New Roman" w:cs="Times New Roman"/>
                <w:color w:val="000000"/>
              </w:rPr>
              <w:t>полугодие</w:t>
            </w:r>
            <w:r w:rsidRPr="004004C2">
              <w:rPr>
                <w:rFonts w:ascii="Times New Roman" w:eastAsia="Times New Roman" w:hAnsi="Times New Roman" w:cs="Times New Roman"/>
                <w:color w:val="000000"/>
              </w:rPr>
              <w:t xml:space="preserve"> 2022 года</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3D39EB">
            <w:pPr>
              <w:spacing w:after="0" w:line="240" w:lineRule="auto"/>
              <w:jc w:val="center"/>
              <w:rPr>
                <w:rFonts w:ascii="Times New Roman" w:eastAsia="Times New Roman" w:hAnsi="Times New Roman" w:cs="Times New Roman"/>
              </w:rPr>
            </w:pPr>
            <w:r w:rsidRPr="004004C2">
              <w:rPr>
                <w:rFonts w:ascii="Times New Roman" w:eastAsia="Times New Roman" w:hAnsi="Times New Roman" w:cs="Times New Roman"/>
              </w:rPr>
              <w:t>Процент исполнения</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на доходы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1 695 334,1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3 845 180,9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1 647 592,6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42,8%</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13 028,8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27 385,7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16 169,0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59,0%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Налоги на совокупный доход</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301 686,5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565 133,0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336 289,3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59,5%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 том числе: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УСНО</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273 040,4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530 708,0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321 866,8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60,6%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ЕНВД</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12 516,6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540,9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4004C2">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ЕСХН</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68,3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625,0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104,1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16,7%</w:t>
            </w:r>
          </w:p>
        </w:tc>
      </w:tr>
      <w:tr w:rsidR="005221E3" w:rsidRPr="004004C2" w:rsidTr="004004C2">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взимаемый в связи с применением патентной системы налогообложения</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16 061,2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33 800,0   </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13 777,5   </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40,8%</w:t>
            </w:r>
          </w:p>
        </w:tc>
      </w:tr>
      <w:tr w:rsidR="005221E3" w:rsidRPr="004004C2" w:rsidTr="004004C2">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lastRenderedPageBreak/>
              <w:t>Налоги на имущество</w:t>
            </w:r>
          </w:p>
        </w:tc>
        <w:tc>
          <w:tcPr>
            <w:tcW w:w="1655"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45 449,6   </w:t>
            </w:r>
          </w:p>
        </w:tc>
        <w:tc>
          <w:tcPr>
            <w:tcW w:w="1417"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160 155,0   </w:t>
            </w:r>
          </w:p>
        </w:tc>
        <w:tc>
          <w:tcPr>
            <w:tcW w:w="1555"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34 248,9   </w:t>
            </w:r>
          </w:p>
        </w:tc>
        <w:tc>
          <w:tcPr>
            <w:tcW w:w="1422" w:type="dxa"/>
            <w:tcBorders>
              <w:top w:val="single" w:sz="4" w:space="0" w:color="auto"/>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21,4%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 том числе: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на имущество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3 548,8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29 215,0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2 778,6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9,5%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8 106,1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34 140,0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8 998,3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26,4%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 с организаций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4 239,4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11 949,0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4 523,8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37,9%</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 с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3 866,7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22 191,0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4 474,5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20,2%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33 794,7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96 800,0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22 472,0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23,2%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 с организаций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31 788,1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80 120,0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21 088,1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26,3%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 с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2 006,6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16 680,0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1 383,9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8,3%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Государственная пошлина, сборы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14 856,2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30 373,0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15 515,9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51,1%</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Задолженность и перерасчёты по отменённым налогам</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0,2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имущества, находящегося в муниципальной собственности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79 808,6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118 256,0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86 391,4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73,1%</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Платежи за пользование природными ресурсами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9 084,9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12 149,6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750,8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оказания платных услуг и компенсация затрат государства</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5 816,1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825,0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1 255,3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152,2%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продажи материальных и нематериальных активов</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44 521,8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51 292,0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49 505,2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96,5%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Штрафы, санкции, возмещение ущерба</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17 056,4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11 451,3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12 363,0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108,0%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Прочие неналоговые доходы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403,6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1 110,0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259,3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23,4%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Итого собственные доходы без учёта безвозмездных поступлений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2 227 043,7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4 823 311,5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2 200 340,5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45,6%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 xml:space="preserve">в числе собственных доходов - налоговые доходы </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2 070 352,3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4 628 227,6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2 049 815,5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44,3%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 xml:space="preserve">в числе собственных доходов - неналоговые доходы </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156 691,4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195 083,9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150 525,0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77,2%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Безвозмездные поступления</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2 749 066,2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7 338 405,1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2 802 931,2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38,2%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Дотации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55 173,0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25 370,0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46,0%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Субсидии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690 330,4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3 230 068,3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568 387,8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17,6%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Субвенции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2 005 565,5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3 913 723,1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2 125 414,3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54,3%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Иные межбюджетные трансферты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53 643,5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139 440,7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87 309,3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62,6%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Прочие безвозмездные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Возврат остатков субсидий и субвенций прошлых лет</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473,2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3 550,2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ВСЕГО ДОХОДОВ</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4 976 109,9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12 161 716,6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5 003 271,7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41,1%</w:t>
            </w:r>
          </w:p>
        </w:tc>
      </w:tr>
    </w:tbl>
    <w:p w:rsidR="00A934B4" w:rsidRPr="004004C2" w:rsidRDefault="00A934B4" w:rsidP="00A934B4">
      <w:pPr>
        <w:shd w:val="clear" w:color="auto" w:fill="FFFFFF"/>
        <w:spacing w:after="0"/>
        <w:ind w:firstLine="851"/>
        <w:jc w:val="right"/>
        <w:rPr>
          <w:rFonts w:ascii="Times New Roman" w:hAnsi="Times New Roman" w:cs="Times New Roman"/>
          <w:color w:val="000000"/>
          <w:spacing w:val="-2"/>
          <w:sz w:val="24"/>
          <w:szCs w:val="24"/>
        </w:rPr>
      </w:pPr>
    </w:p>
    <w:p w:rsidR="005221E3" w:rsidRPr="00A934B4" w:rsidRDefault="005221E3"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787A90">
        <w:rPr>
          <w:rFonts w:ascii="Times New Roman" w:eastAsia="Times New Roman" w:hAnsi="Times New Roman" w:cs="Times New Roman"/>
          <w:b/>
          <w:sz w:val="28"/>
          <w:szCs w:val="28"/>
        </w:rPr>
        <w:t>НАЛОГОВЫЕ ДОХОДЫ</w:t>
      </w:r>
      <w:r w:rsidRPr="00787A90">
        <w:rPr>
          <w:rFonts w:ascii="Times New Roman" w:eastAsia="Times New Roman" w:hAnsi="Times New Roman" w:cs="Times New Roman"/>
          <w:sz w:val="28"/>
          <w:szCs w:val="28"/>
        </w:rPr>
        <w:t xml:space="preserve"> за отчетный период поступили в сумме                </w:t>
      </w:r>
      <w:r w:rsidR="00581016" w:rsidRPr="00787A90">
        <w:rPr>
          <w:rFonts w:ascii="Times New Roman" w:eastAsia="Times New Roman" w:hAnsi="Times New Roman" w:cs="Times New Roman"/>
          <w:sz w:val="28"/>
          <w:szCs w:val="28"/>
        </w:rPr>
        <w:t>2 049 815,5</w:t>
      </w:r>
      <w:r w:rsidRPr="00787A90">
        <w:rPr>
          <w:rFonts w:ascii="Times New Roman" w:eastAsia="Times New Roman" w:hAnsi="Times New Roman" w:cs="Times New Roman"/>
          <w:sz w:val="28"/>
          <w:szCs w:val="28"/>
        </w:rPr>
        <w:t xml:space="preserve"> тыс. рублей, что составило </w:t>
      </w:r>
      <w:r w:rsidR="00787A90" w:rsidRPr="00787A90">
        <w:rPr>
          <w:rFonts w:ascii="Times New Roman" w:eastAsia="Times New Roman" w:hAnsi="Times New Roman" w:cs="Times New Roman"/>
          <w:sz w:val="28"/>
          <w:szCs w:val="28"/>
        </w:rPr>
        <w:t>44,3</w:t>
      </w:r>
      <w:r w:rsidRPr="00787A90">
        <w:rPr>
          <w:rFonts w:ascii="Times New Roman" w:eastAsia="Times New Roman" w:hAnsi="Times New Roman" w:cs="Times New Roman"/>
          <w:sz w:val="28"/>
          <w:szCs w:val="28"/>
        </w:rPr>
        <w:t>% выполнения плана, установленного на 2022 год.</w:t>
      </w:r>
    </w:p>
    <w:p w:rsidR="00976B0C"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976B0C" w:rsidRPr="00787A90"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787A90" w:rsidRDefault="00A934B4" w:rsidP="00A934B4">
      <w:pPr>
        <w:shd w:val="clear" w:color="auto" w:fill="FFFFFF"/>
        <w:spacing w:before="163" w:after="0"/>
        <w:ind w:right="-568"/>
        <w:jc w:val="both"/>
        <w:rPr>
          <w:rFonts w:ascii="Times New Roman" w:eastAsia="Times New Roman" w:hAnsi="Times New Roman" w:cs="Times New Roman"/>
          <w:b/>
          <w:sz w:val="24"/>
          <w:szCs w:val="24"/>
        </w:rPr>
      </w:pPr>
      <w:r w:rsidRPr="00787A90">
        <w:rPr>
          <w:rFonts w:ascii="Times New Roman" w:eastAsia="Times New Roman" w:hAnsi="Times New Roman" w:cs="Times New Roman"/>
          <w:b/>
          <w:sz w:val="24"/>
          <w:szCs w:val="24"/>
        </w:rPr>
        <w:lastRenderedPageBreak/>
        <w:t xml:space="preserve">Налоговые доходы бюджета города Ханты-Мансийска за </w:t>
      </w:r>
      <w:r w:rsidR="00787A90" w:rsidRPr="00787A90">
        <w:rPr>
          <w:rFonts w:ascii="Times New Roman" w:eastAsia="Times New Roman" w:hAnsi="Times New Roman" w:cs="Times New Roman"/>
          <w:b/>
          <w:sz w:val="24"/>
          <w:szCs w:val="24"/>
        </w:rPr>
        <w:t>полугодие</w:t>
      </w:r>
      <w:r w:rsidRPr="00787A90">
        <w:rPr>
          <w:rFonts w:ascii="Times New Roman" w:eastAsia="Times New Roman" w:hAnsi="Times New Roman" w:cs="Times New Roman"/>
          <w:b/>
          <w:sz w:val="24"/>
          <w:szCs w:val="24"/>
        </w:rPr>
        <w:t xml:space="preserve"> 2022 года</w:t>
      </w:r>
    </w:p>
    <w:p w:rsidR="00A934B4" w:rsidRPr="00787A90"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787A90">
        <w:rPr>
          <w:rFonts w:ascii="Times New Roman" w:eastAsia="Times New Roman" w:hAnsi="Times New Roman" w:cs="Times New Roman"/>
          <w:sz w:val="20"/>
          <w:szCs w:val="20"/>
        </w:rPr>
        <w:t>тыс. руб.</w:t>
      </w:r>
    </w:p>
    <w:p w:rsidR="00A934B4" w:rsidRPr="00787A90" w:rsidRDefault="00A934B4" w:rsidP="00A934B4">
      <w:pPr>
        <w:shd w:val="clear" w:color="auto" w:fill="FFFFFF"/>
        <w:spacing w:before="163" w:after="0"/>
        <w:ind w:left="-567" w:firstLine="141"/>
        <w:rPr>
          <w:rFonts w:ascii="Times New Roman" w:eastAsia="Times New Roman" w:hAnsi="Times New Roman" w:cs="Times New Roman"/>
          <w:sz w:val="28"/>
          <w:szCs w:val="28"/>
        </w:rPr>
      </w:pPr>
      <w:r w:rsidRPr="00787A90">
        <w:rPr>
          <w:rFonts w:ascii="Times New Roman" w:eastAsia="Times New Roman" w:hAnsi="Times New Roman" w:cs="Times New Roman"/>
          <w:noProof/>
          <w:color w:val="17365D" w:themeColor="text2" w:themeShade="BF"/>
          <w:sz w:val="24"/>
          <w:szCs w:val="24"/>
        </w:rPr>
        <w:drawing>
          <wp:anchor distT="0" distB="0" distL="114300" distR="114300" simplePos="0" relativeHeight="251652096"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1905"/>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787A90">
        <w:rPr>
          <w:rFonts w:ascii="Times New Roman" w:eastAsia="Times New Roman" w:hAnsi="Times New Roman" w:cs="Times New Roman"/>
          <w:noProof/>
          <w:color w:val="17365D" w:themeColor="text2" w:themeShade="BF"/>
          <w:sz w:val="24"/>
          <w:szCs w:val="24"/>
        </w:rPr>
        <w:drawing>
          <wp:anchor distT="0" distB="0" distL="114300" distR="114300" simplePos="0" relativeHeight="251649024"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787A90" w:rsidRDefault="00A934B4" w:rsidP="00A934B4">
      <w:pPr>
        <w:spacing w:after="0"/>
        <w:ind w:hanging="567"/>
        <w:jc w:val="both"/>
        <w:rPr>
          <w:rFonts w:ascii="Times New Roman" w:eastAsia="Times New Roman" w:hAnsi="Times New Roman" w:cs="Times New Roman"/>
          <w:sz w:val="28"/>
          <w:szCs w:val="28"/>
        </w:rPr>
      </w:pPr>
    </w:p>
    <w:p w:rsidR="00976B0C"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584FE9"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584FE9">
        <w:rPr>
          <w:rFonts w:ascii="Times New Roman" w:eastAsia="Times New Roman" w:hAnsi="Times New Roman" w:cs="Times New Roman"/>
          <w:sz w:val="28"/>
          <w:szCs w:val="28"/>
        </w:rPr>
        <w:t xml:space="preserve">В первом </w:t>
      </w:r>
      <w:r w:rsidR="00787A90" w:rsidRPr="00584FE9">
        <w:rPr>
          <w:rFonts w:ascii="Times New Roman" w:eastAsia="Times New Roman" w:hAnsi="Times New Roman" w:cs="Times New Roman"/>
          <w:sz w:val="28"/>
          <w:szCs w:val="28"/>
        </w:rPr>
        <w:t>полугодии</w:t>
      </w:r>
      <w:r w:rsidRPr="00584FE9">
        <w:rPr>
          <w:rFonts w:ascii="Times New Roman" w:eastAsia="Times New Roman" w:hAnsi="Times New Roman" w:cs="Times New Roman"/>
          <w:sz w:val="28"/>
          <w:szCs w:val="28"/>
        </w:rPr>
        <w:t xml:space="preserve"> 2021 года налоговые доходы поступили в сумме </w:t>
      </w:r>
      <w:r w:rsidR="00787A90" w:rsidRPr="00584FE9">
        <w:rPr>
          <w:rFonts w:ascii="Times New Roman" w:eastAsia="Times New Roman" w:hAnsi="Times New Roman" w:cs="Times New Roman"/>
          <w:sz w:val="28"/>
          <w:szCs w:val="28"/>
        </w:rPr>
        <w:t>2 070 352,3</w:t>
      </w:r>
      <w:r w:rsidRPr="00584FE9">
        <w:rPr>
          <w:rFonts w:ascii="Times New Roman" w:eastAsia="Times New Roman" w:hAnsi="Times New Roman" w:cs="Times New Roman"/>
          <w:sz w:val="28"/>
          <w:szCs w:val="28"/>
        </w:rPr>
        <w:t xml:space="preserve"> тыс. рублей, </w:t>
      </w:r>
      <w:r w:rsidR="00787A90" w:rsidRPr="00584FE9">
        <w:rPr>
          <w:rFonts w:ascii="Times New Roman" w:eastAsia="Times New Roman" w:hAnsi="Times New Roman" w:cs="Times New Roman"/>
          <w:sz w:val="28"/>
          <w:szCs w:val="28"/>
        </w:rPr>
        <w:t>снижение</w:t>
      </w:r>
      <w:r w:rsidRPr="00584FE9">
        <w:rPr>
          <w:rFonts w:ascii="Times New Roman" w:eastAsia="Times New Roman" w:hAnsi="Times New Roman" w:cs="Times New Roman"/>
          <w:sz w:val="28"/>
          <w:szCs w:val="28"/>
        </w:rPr>
        <w:t xml:space="preserve">  поступлени</w:t>
      </w:r>
      <w:r w:rsidR="00787A90" w:rsidRPr="00584FE9">
        <w:rPr>
          <w:rFonts w:ascii="Times New Roman" w:eastAsia="Times New Roman" w:hAnsi="Times New Roman" w:cs="Times New Roman"/>
          <w:sz w:val="28"/>
          <w:szCs w:val="28"/>
        </w:rPr>
        <w:t>й</w:t>
      </w:r>
      <w:r w:rsidRPr="00584FE9">
        <w:rPr>
          <w:rFonts w:ascii="Times New Roman" w:eastAsia="Times New Roman" w:hAnsi="Times New Roman" w:cs="Times New Roman"/>
          <w:sz w:val="28"/>
          <w:szCs w:val="28"/>
        </w:rPr>
        <w:t xml:space="preserve">  налоговых доходов за перв</w:t>
      </w:r>
      <w:r w:rsidR="00787A90" w:rsidRPr="00584FE9">
        <w:rPr>
          <w:rFonts w:ascii="Times New Roman" w:eastAsia="Times New Roman" w:hAnsi="Times New Roman" w:cs="Times New Roman"/>
          <w:sz w:val="28"/>
          <w:szCs w:val="28"/>
        </w:rPr>
        <w:t>ое</w:t>
      </w:r>
      <w:r w:rsidRPr="00584FE9">
        <w:rPr>
          <w:rFonts w:ascii="Times New Roman" w:eastAsia="Times New Roman" w:hAnsi="Times New Roman" w:cs="Times New Roman"/>
          <w:sz w:val="28"/>
          <w:szCs w:val="28"/>
        </w:rPr>
        <w:t xml:space="preserve"> </w:t>
      </w:r>
      <w:r w:rsidR="00787A90" w:rsidRPr="00584FE9">
        <w:rPr>
          <w:rFonts w:ascii="Times New Roman" w:eastAsia="Times New Roman" w:hAnsi="Times New Roman" w:cs="Times New Roman"/>
          <w:sz w:val="28"/>
          <w:szCs w:val="28"/>
        </w:rPr>
        <w:t>полугодие</w:t>
      </w:r>
      <w:r w:rsidRPr="00584FE9">
        <w:rPr>
          <w:rFonts w:ascii="Times New Roman" w:eastAsia="Times New Roman" w:hAnsi="Times New Roman" w:cs="Times New Roman"/>
          <w:sz w:val="28"/>
          <w:szCs w:val="28"/>
        </w:rPr>
        <w:t xml:space="preserve"> 2022 года по отношению к аналогичному периоду предыдущего финансового года составил </w:t>
      </w:r>
      <w:r w:rsidR="00787A90" w:rsidRPr="00584FE9">
        <w:rPr>
          <w:rFonts w:ascii="Times New Roman" w:eastAsia="Times New Roman" w:hAnsi="Times New Roman" w:cs="Times New Roman"/>
          <w:sz w:val="28"/>
          <w:szCs w:val="28"/>
        </w:rPr>
        <w:t>1</w:t>
      </w:r>
      <w:r w:rsidRPr="00584FE9">
        <w:rPr>
          <w:rFonts w:ascii="Times New Roman" w:eastAsia="Times New Roman" w:hAnsi="Times New Roman" w:cs="Times New Roman"/>
          <w:sz w:val="28"/>
          <w:szCs w:val="28"/>
        </w:rPr>
        <w:t xml:space="preserve">,0% или </w:t>
      </w:r>
      <w:r w:rsidR="00787A90" w:rsidRPr="00584FE9">
        <w:rPr>
          <w:rFonts w:ascii="Times New Roman" w:eastAsia="Times New Roman" w:hAnsi="Times New Roman" w:cs="Times New Roman"/>
          <w:sz w:val="28"/>
          <w:szCs w:val="28"/>
        </w:rPr>
        <w:t>20 536,</w:t>
      </w:r>
      <w:r w:rsidRPr="00584FE9">
        <w:rPr>
          <w:rFonts w:ascii="Times New Roman" w:eastAsia="Times New Roman" w:hAnsi="Times New Roman" w:cs="Times New Roman"/>
          <w:sz w:val="28"/>
          <w:szCs w:val="28"/>
        </w:rPr>
        <w:t xml:space="preserve"> тыс. рублей.</w:t>
      </w:r>
    </w:p>
    <w:p w:rsidR="00EF289F" w:rsidRPr="00584FE9" w:rsidRDefault="00EF289F"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A934B4" w:rsidRPr="00584FE9" w:rsidRDefault="00A934B4" w:rsidP="00A934B4">
      <w:pPr>
        <w:spacing w:after="0"/>
        <w:ind w:firstLine="709"/>
        <w:jc w:val="center"/>
        <w:rPr>
          <w:rFonts w:ascii="Times New Roman" w:hAnsi="Times New Roman" w:cs="Times New Roman"/>
          <w:b/>
          <w:color w:val="000000" w:themeColor="text1"/>
          <w:sz w:val="24"/>
          <w:szCs w:val="24"/>
        </w:rPr>
      </w:pPr>
      <w:r w:rsidRPr="00584FE9">
        <w:rPr>
          <w:rFonts w:ascii="Times New Roman" w:hAnsi="Times New Roman" w:cs="Times New Roman"/>
          <w:b/>
          <w:color w:val="000000" w:themeColor="text1"/>
          <w:sz w:val="24"/>
          <w:szCs w:val="24"/>
        </w:rPr>
        <w:lastRenderedPageBreak/>
        <w:t>Поступление налоговых доходов в сопоставлении с поступлениями аналогичного периода прошлого финансового года</w:t>
      </w:r>
    </w:p>
    <w:p w:rsidR="00EF289F" w:rsidRPr="00A934B4" w:rsidRDefault="00A934B4" w:rsidP="00EF289F">
      <w:pPr>
        <w:shd w:val="clear" w:color="auto" w:fill="FFFFFF"/>
        <w:spacing w:before="163" w:after="0"/>
        <w:jc w:val="right"/>
        <w:rPr>
          <w:rFonts w:ascii="Times New Roman" w:eastAsia="Times New Roman" w:hAnsi="Times New Roman" w:cs="Times New Roman"/>
          <w:sz w:val="20"/>
          <w:szCs w:val="20"/>
          <w:highlight w:val="yellow"/>
        </w:rPr>
      </w:pPr>
      <w:r w:rsidRPr="00584FE9">
        <w:rPr>
          <w:rFonts w:ascii="Times New Roman" w:hAnsi="Times New Roman" w:cs="Times New Roman"/>
          <w:color w:val="000000" w:themeColor="text1"/>
          <w:sz w:val="20"/>
          <w:szCs w:val="20"/>
        </w:rPr>
        <w:t>тыс. руб.</w:t>
      </w:r>
      <w:r w:rsidR="00EF289F" w:rsidRPr="001809D0">
        <w:rPr>
          <w:rFonts w:ascii="Times New Roman" w:eastAsia="Times New Roman" w:hAnsi="Times New Roman" w:cs="Times New Roman"/>
          <w:noProof/>
          <w:sz w:val="28"/>
          <w:szCs w:val="28"/>
        </w:rPr>
        <w:drawing>
          <wp:inline distT="0" distB="0" distL="0" distR="0" wp14:anchorId="0CCA088A" wp14:editId="3DB652D3">
            <wp:extent cx="5760085" cy="353441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34B4" w:rsidRPr="00A07E6C" w:rsidRDefault="00A934B4" w:rsidP="00A934B4">
      <w:pPr>
        <w:spacing w:after="0"/>
        <w:ind w:hanging="142"/>
        <w:jc w:val="both"/>
        <w:rPr>
          <w:rFonts w:ascii="Times New Roman" w:eastAsia="Times New Roman" w:hAnsi="Times New Roman" w:cs="Times New Roman"/>
          <w:sz w:val="28"/>
          <w:szCs w:val="28"/>
        </w:rPr>
      </w:pPr>
    </w:p>
    <w:p w:rsidR="00A934B4" w:rsidRPr="00A07E6C" w:rsidRDefault="00A934B4" w:rsidP="00A934B4">
      <w:pPr>
        <w:spacing w:after="0"/>
        <w:ind w:firstLine="567"/>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DD25B1" w:rsidRPr="00A07E6C">
        <w:rPr>
          <w:rFonts w:ascii="Times New Roman" w:eastAsia="Times New Roman" w:hAnsi="Times New Roman" w:cs="Times New Roman"/>
          <w:sz w:val="28"/>
          <w:szCs w:val="28"/>
        </w:rPr>
        <w:t>0</w:t>
      </w:r>
      <w:r w:rsidRPr="00A07E6C">
        <w:rPr>
          <w:rFonts w:ascii="Times New Roman" w:eastAsia="Times New Roman" w:hAnsi="Times New Roman" w:cs="Times New Roman"/>
          <w:sz w:val="28"/>
          <w:szCs w:val="28"/>
        </w:rPr>
        <w:t xml:space="preserve">% </w:t>
      </w:r>
      <w:r w:rsidRPr="00A07E6C">
        <w:rPr>
          <w:rFonts w:ascii="Times New Roman" w:hAnsi="Times New Roman" w:cs="Times New Roman"/>
          <w:sz w:val="28"/>
          <w:szCs w:val="28"/>
        </w:rPr>
        <w:t xml:space="preserve">поступил в сумме </w:t>
      </w:r>
      <w:r w:rsidR="00DD25B1" w:rsidRPr="00A07E6C">
        <w:rPr>
          <w:rFonts w:ascii="Times New Roman" w:hAnsi="Times New Roman" w:cs="Times New Roman"/>
          <w:sz w:val="28"/>
          <w:szCs w:val="28"/>
        </w:rPr>
        <w:t>1 647 592,6</w:t>
      </w:r>
      <w:r w:rsidRPr="00A07E6C">
        <w:rPr>
          <w:rFonts w:ascii="Times New Roman" w:hAnsi="Times New Roman" w:cs="Times New Roman"/>
          <w:sz w:val="28"/>
          <w:szCs w:val="28"/>
        </w:rPr>
        <w:t xml:space="preserve"> тыс. рублей, что составляет </w:t>
      </w:r>
      <w:r w:rsidR="00DD25B1" w:rsidRPr="00A07E6C">
        <w:rPr>
          <w:rFonts w:ascii="Times New Roman" w:hAnsi="Times New Roman" w:cs="Times New Roman"/>
          <w:sz w:val="28"/>
          <w:szCs w:val="28"/>
        </w:rPr>
        <w:t>42,8</w:t>
      </w:r>
      <w:r w:rsidRPr="00A07E6C">
        <w:rPr>
          <w:rFonts w:ascii="Times New Roman" w:hAnsi="Times New Roman" w:cs="Times New Roman"/>
          <w:sz w:val="28"/>
          <w:szCs w:val="28"/>
        </w:rPr>
        <w:t xml:space="preserve">% от плановых назначений 2022 года. По отношению к аналогичному периоду прошлого года наблюдается </w:t>
      </w:r>
      <w:r w:rsidR="00DD25B1" w:rsidRPr="00A07E6C">
        <w:rPr>
          <w:rFonts w:ascii="Times New Roman" w:hAnsi="Times New Roman" w:cs="Times New Roman"/>
          <w:sz w:val="28"/>
          <w:szCs w:val="28"/>
        </w:rPr>
        <w:t>снижение</w:t>
      </w:r>
      <w:r w:rsidRPr="00A07E6C">
        <w:rPr>
          <w:rFonts w:ascii="Times New Roman" w:hAnsi="Times New Roman" w:cs="Times New Roman"/>
          <w:sz w:val="28"/>
          <w:szCs w:val="28"/>
        </w:rPr>
        <w:t xml:space="preserve"> поступлений на </w:t>
      </w:r>
      <w:r w:rsidR="00DD25B1" w:rsidRPr="00A07E6C">
        <w:rPr>
          <w:rFonts w:ascii="Times New Roman" w:hAnsi="Times New Roman" w:cs="Times New Roman"/>
          <w:sz w:val="28"/>
          <w:szCs w:val="28"/>
        </w:rPr>
        <w:t>2,8</w:t>
      </w:r>
      <w:r w:rsidRPr="00A07E6C">
        <w:rPr>
          <w:rFonts w:ascii="Times New Roman" w:hAnsi="Times New Roman" w:cs="Times New Roman"/>
          <w:sz w:val="28"/>
          <w:szCs w:val="28"/>
        </w:rPr>
        <w:t xml:space="preserve">% или на </w:t>
      </w:r>
      <w:r w:rsidR="00DD25B1" w:rsidRPr="00A07E6C">
        <w:rPr>
          <w:rFonts w:ascii="Times New Roman" w:hAnsi="Times New Roman" w:cs="Times New Roman"/>
          <w:sz w:val="28"/>
          <w:szCs w:val="28"/>
        </w:rPr>
        <w:t>47 741,5</w:t>
      </w:r>
      <w:r w:rsidRPr="00A07E6C">
        <w:rPr>
          <w:rFonts w:ascii="Times New Roman" w:hAnsi="Times New Roman" w:cs="Times New Roman"/>
          <w:sz w:val="28"/>
          <w:szCs w:val="28"/>
        </w:rPr>
        <w:t xml:space="preserve"> тыс. рублей. Норматив отчислений в бюджет города Ханты-Мансийска от налога на доходы физических лиц в 2022 году составляет 43,26%, в 2021 году составлял 46,09%. В сопоставимых условиях 2022 года рост поступлений налога на доходы физических лиц составил </w:t>
      </w:r>
      <w:r w:rsidR="00DD25B1" w:rsidRPr="00A07E6C">
        <w:rPr>
          <w:rFonts w:ascii="Times New Roman" w:hAnsi="Times New Roman" w:cs="Times New Roman"/>
          <w:sz w:val="28"/>
          <w:szCs w:val="28"/>
        </w:rPr>
        <w:t>3,5</w:t>
      </w:r>
      <w:r w:rsidRPr="00A07E6C">
        <w:rPr>
          <w:rFonts w:ascii="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A07E6C" w:rsidRPr="00A07E6C">
        <w:rPr>
          <w:rFonts w:ascii="Times New Roman" w:eastAsia="Times New Roman" w:hAnsi="Times New Roman" w:cs="Times New Roman"/>
          <w:sz w:val="28"/>
          <w:szCs w:val="28"/>
        </w:rPr>
        <w:t>16 169,0</w:t>
      </w:r>
      <w:r w:rsidRPr="00A07E6C">
        <w:rPr>
          <w:rFonts w:ascii="Times New Roman" w:eastAsia="Times New Roman" w:hAnsi="Times New Roman" w:cs="Times New Roman"/>
          <w:sz w:val="28"/>
          <w:szCs w:val="28"/>
        </w:rPr>
        <w:t xml:space="preserve"> тыс. рублей, плановые назначения 2022 года исполнены на </w:t>
      </w:r>
      <w:r w:rsidR="00A07E6C" w:rsidRPr="00A07E6C">
        <w:rPr>
          <w:rFonts w:ascii="Times New Roman" w:eastAsia="Times New Roman" w:hAnsi="Times New Roman" w:cs="Times New Roman"/>
          <w:sz w:val="28"/>
          <w:szCs w:val="28"/>
        </w:rPr>
        <w:t>59,0</w:t>
      </w:r>
      <w:r w:rsidRPr="00A07E6C">
        <w:rPr>
          <w:rFonts w:ascii="Times New Roman" w:eastAsia="Times New Roman" w:hAnsi="Times New Roman" w:cs="Times New Roman"/>
          <w:sz w:val="28"/>
          <w:szCs w:val="28"/>
        </w:rPr>
        <w:t>%. По сравнению с аналогичным периодом 2021 года поступление акцизов увеличилось на 24,</w:t>
      </w:r>
      <w:r w:rsidR="00A07E6C" w:rsidRPr="00A07E6C">
        <w:rPr>
          <w:rFonts w:ascii="Times New Roman" w:eastAsia="Times New Roman" w:hAnsi="Times New Roman" w:cs="Times New Roman"/>
          <w:sz w:val="28"/>
          <w:szCs w:val="28"/>
        </w:rPr>
        <w:t>1</w:t>
      </w:r>
      <w:r w:rsidRPr="00A07E6C">
        <w:rPr>
          <w:rFonts w:ascii="Times New Roman" w:eastAsia="Times New Roman" w:hAnsi="Times New Roman" w:cs="Times New Roman"/>
          <w:sz w:val="28"/>
          <w:szCs w:val="28"/>
        </w:rPr>
        <w:t>%.</w:t>
      </w:r>
    </w:p>
    <w:p w:rsidR="00A934B4" w:rsidRPr="00A07E6C"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совокупный доход поступили в сумме </w:t>
      </w:r>
      <w:r w:rsidR="00A07E6C" w:rsidRPr="00A07E6C">
        <w:rPr>
          <w:rFonts w:ascii="Times New Roman" w:eastAsia="Times New Roman" w:hAnsi="Times New Roman" w:cs="Times New Roman"/>
          <w:sz w:val="28"/>
          <w:szCs w:val="28"/>
        </w:rPr>
        <w:t>336 289,3</w:t>
      </w:r>
      <w:r w:rsidRPr="00A07E6C">
        <w:rPr>
          <w:rFonts w:ascii="Times New Roman" w:eastAsia="Times New Roman" w:hAnsi="Times New Roman" w:cs="Times New Roman"/>
          <w:sz w:val="28"/>
          <w:szCs w:val="28"/>
        </w:rPr>
        <w:t xml:space="preserve"> тыс. рублей, что составляет </w:t>
      </w:r>
      <w:r w:rsidR="00A07E6C" w:rsidRPr="00A07E6C">
        <w:rPr>
          <w:rFonts w:ascii="Times New Roman" w:eastAsia="Times New Roman" w:hAnsi="Times New Roman" w:cs="Times New Roman"/>
          <w:sz w:val="28"/>
          <w:szCs w:val="28"/>
        </w:rPr>
        <w:t>59,5</w:t>
      </w:r>
      <w:r w:rsidRPr="00A07E6C">
        <w:rPr>
          <w:rFonts w:ascii="Times New Roman" w:eastAsia="Times New Roman" w:hAnsi="Times New Roman" w:cs="Times New Roman"/>
          <w:sz w:val="28"/>
          <w:szCs w:val="28"/>
        </w:rPr>
        <w:t xml:space="preserve">% плановых назначений 2022 года. По сравнению с аналогичным периодом 2021 года рост налогов на совокупный доход составил </w:t>
      </w:r>
      <w:r w:rsidR="00A07E6C" w:rsidRPr="00A07E6C">
        <w:rPr>
          <w:rFonts w:ascii="Times New Roman" w:eastAsia="Times New Roman" w:hAnsi="Times New Roman" w:cs="Times New Roman"/>
          <w:sz w:val="28"/>
          <w:szCs w:val="28"/>
        </w:rPr>
        <w:t>11,5</w:t>
      </w:r>
      <w:r w:rsidRPr="00A07E6C">
        <w:rPr>
          <w:rFonts w:ascii="Times New Roman" w:eastAsia="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имущество поступили в сумме </w:t>
      </w:r>
      <w:r w:rsidR="00A07E6C" w:rsidRPr="00A07E6C">
        <w:rPr>
          <w:rFonts w:ascii="Times New Roman" w:eastAsia="Times New Roman" w:hAnsi="Times New Roman" w:cs="Times New Roman"/>
          <w:sz w:val="28"/>
          <w:szCs w:val="28"/>
        </w:rPr>
        <w:t>34 248,9</w:t>
      </w:r>
      <w:r w:rsidRPr="00A07E6C">
        <w:rPr>
          <w:rFonts w:ascii="Times New Roman" w:eastAsia="Times New Roman" w:hAnsi="Times New Roman" w:cs="Times New Roman"/>
          <w:sz w:val="28"/>
          <w:szCs w:val="28"/>
        </w:rPr>
        <w:t xml:space="preserve"> тыс. рублей, тем самым плановые назначения 2022 года исполнены на </w:t>
      </w:r>
      <w:r w:rsidR="00A07E6C" w:rsidRPr="00A07E6C">
        <w:rPr>
          <w:rFonts w:ascii="Times New Roman" w:eastAsia="Times New Roman" w:hAnsi="Times New Roman" w:cs="Times New Roman"/>
          <w:sz w:val="28"/>
          <w:szCs w:val="28"/>
        </w:rPr>
        <w:t>21,4</w:t>
      </w:r>
      <w:r w:rsidRPr="00A07E6C">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hAnsi="Times New Roman" w:cs="Times New Roman"/>
          <w:sz w:val="28"/>
          <w:szCs w:val="28"/>
        </w:rPr>
        <w:t>Государственная пошлина по состоянию на 01.0</w:t>
      </w:r>
      <w:r w:rsidR="00A07E6C" w:rsidRPr="00A07E6C">
        <w:rPr>
          <w:rFonts w:ascii="Times New Roman" w:hAnsi="Times New Roman" w:cs="Times New Roman"/>
          <w:sz w:val="28"/>
          <w:szCs w:val="28"/>
        </w:rPr>
        <w:t>7</w:t>
      </w:r>
      <w:r w:rsidRPr="00A07E6C">
        <w:rPr>
          <w:rFonts w:ascii="Times New Roman" w:hAnsi="Times New Roman" w:cs="Times New Roman"/>
          <w:sz w:val="28"/>
          <w:szCs w:val="28"/>
        </w:rPr>
        <w:t xml:space="preserve">.2022 поступила в сумме </w:t>
      </w:r>
      <w:r w:rsidR="00A07E6C" w:rsidRPr="00A07E6C">
        <w:rPr>
          <w:rFonts w:ascii="Times New Roman" w:hAnsi="Times New Roman" w:cs="Times New Roman"/>
          <w:sz w:val="28"/>
          <w:szCs w:val="28"/>
        </w:rPr>
        <w:t>15 515,9</w:t>
      </w:r>
      <w:r w:rsidRPr="00A07E6C">
        <w:rPr>
          <w:rFonts w:ascii="Times New Roman" w:hAnsi="Times New Roman" w:cs="Times New Roman"/>
          <w:sz w:val="28"/>
          <w:szCs w:val="28"/>
        </w:rPr>
        <w:t xml:space="preserve"> тыс. рублей, </w:t>
      </w:r>
      <w:r w:rsidRPr="00A07E6C">
        <w:rPr>
          <w:rFonts w:ascii="Times New Roman" w:eastAsia="Times New Roman" w:hAnsi="Times New Roman" w:cs="Times New Roman"/>
          <w:sz w:val="28"/>
          <w:szCs w:val="28"/>
        </w:rPr>
        <w:t xml:space="preserve">что составляет </w:t>
      </w:r>
      <w:r w:rsidR="00A07E6C" w:rsidRPr="00A07E6C">
        <w:rPr>
          <w:rFonts w:ascii="Times New Roman" w:eastAsia="Times New Roman" w:hAnsi="Times New Roman" w:cs="Times New Roman"/>
          <w:sz w:val="28"/>
          <w:szCs w:val="28"/>
        </w:rPr>
        <w:t>51,1</w:t>
      </w:r>
      <w:r w:rsidRPr="00A07E6C">
        <w:rPr>
          <w:rFonts w:ascii="Times New Roman" w:eastAsia="Times New Roman" w:hAnsi="Times New Roman" w:cs="Times New Roman"/>
          <w:sz w:val="28"/>
          <w:szCs w:val="28"/>
        </w:rPr>
        <w:t xml:space="preserve">% плановых назначений 2022 года. По сравнению с аналогичным периодом 2021 года рост поступлений госпошлины составил </w:t>
      </w:r>
      <w:r w:rsidR="00A07E6C" w:rsidRPr="00A07E6C">
        <w:rPr>
          <w:rFonts w:ascii="Times New Roman" w:eastAsia="Times New Roman" w:hAnsi="Times New Roman" w:cs="Times New Roman"/>
          <w:sz w:val="28"/>
          <w:szCs w:val="28"/>
        </w:rPr>
        <w:t>4,4</w:t>
      </w:r>
      <w:r w:rsidRPr="00A07E6C">
        <w:rPr>
          <w:rFonts w:ascii="Times New Roman" w:eastAsia="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p>
    <w:p w:rsidR="00A934B4" w:rsidRPr="003335EA" w:rsidRDefault="00A934B4" w:rsidP="00A934B4">
      <w:pPr>
        <w:spacing w:after="0"/>
        <w:ind w:firstLine="708"/>
        <w:jc w:val="both"/>
        <w:rPr>
          <w:rFonts w:ascii="Times New Roman" w:eastAsia="Times New Roman" w:hAnsi="Times New Roman" w:cs="Times New Roman"/>
          <w:sz w:val="28"/>
          <w:szCs w:val="28"/>
        </w:rPr>
      </w:pPr>
      <w:r w:rsidRPr="003335EA">
        <w:rPr>
          <w:rFonts w:ascii="Times New Roman" w:eastAsia="Times New Roman" w:hAnsi="Times New Roman" w:cs="Times New Roman"/>
          <w:b/>
          <w:sz w:val="28"/>
          <w:szCs w:val="28"/>
        </w:rPr>
        <w:t>НЕНАЛОГОВЫЕ ДОХОДЫ</w:t>
      </w:r>
      <w:r w:rsidRPr="003335EA">
        <w:rPr>
          <w:rFonts w:ascii="Times New Roman" w:eastAsia="Times New Roman" w:hAnsi="Times New Roman" w:cs="Times New Roman"/>
          <w:sz w:val="28"/>
          <w:szCs w:val="28"/>
        </w:rPr>
        <w:t xml:space="preserve"> по состоянию на 1 </w:t>
      </w:r>
      <w:r w:rsidR="003335EA" w:rsidRPr="003335EA">
        <w:rPr>
          <w:rFonts w:ascii="Times New Roman" w:eastAsia="Times New Roman" w:hAnsi="Times New Roman" w:cs="Times New Roman"/>
          <w:sz w:val="28"/>
          <w:szCs w:val="28"/>
        </w:rPr>
        <w:t>июля</w:t>
      </w:r>
      <w:r w:rsidRPr="003335EA">
        <w:rPr>
          <w:rFonts w:ascii="Times New Roman" w:eastAsia="Times New Roman" w:hAnsi="Times New Roman" w:cs="Times New Roman"/>
          <w:sz w:val="28"/>
          <w:szCs w:val="28"/>
        </w:rPr>
        <w:t xml:space="preserve"> 2022 года поступили в сумме </w:t>
      </w:r>
      <w:r w:rsidR="003335EA" w:rsidRPr="003335EA">
        <w:rPr>
          <w:rFonts w:ascii="Times New Roman" w:eastAsia="Times New Roman" w:hAnsi="Times New Roman" w:cs="Times New Roman"/>
          <w:sz w:val="28"/>
          <w:szCs w:val="28"/>
        </w:rPr>
        <w:t>150 525,0</w:t>
      </w:r>
      <w:r w:rsidRPr="003335EA">
        <w:rPr>
          <w:rFonts w:ascii="Times New Roman" w:eastAsia="Times New Roman" w:hAnsi="Times New Roman" w:cs="Times New Roman"/>
          <w:sz w:val="28"/>
          <w:szCs w:val="28"/>
        </w:rPr>
        <w:t xml:space="preserve"> тыс. рублей, плановые назначения 2022 года выполнены на </w:t>
      </w:r>
      <w:r w:rsidR="003335EA" w:rsidRPr="003335EA">
        <w:rPr>
          <w:rFonts w:ascii="Times New Roman" w:eastAsia="Times New Roman" w:hAnsi="Times New Roman" w:cs="Times New Roman"/>
          <w:sz w:val="28"/>
          <w:szCs w:val="28"/>
        </w:rPr>
        <w:t>77,2</w:t>
      </w:r>
      <w:r w:rsidRPr="003335EA">
        <w:rPr>
          <w:rFonts w:ascii="Times New Roman" w:eastAsia="Times New Roman" w:hAnsi="Times New Roman" w:cs="Times New Roman"/>
          <w:sz w:val="28"/>
          <w:szCs w:val="28"/>
        </w:rPr>
        <w:t xml:space="preserve">%. </w:t>
      </w:r>
    </w:p>
    <w:p w:rsidR="00A934B4" w:rsidRPr="007B001E"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811DC2" w:rsidRDefault="00A934B4" w:rsidP="00A934B4">
      <w:pPr>
        <w:shd w:val="clear" w:color="auto" w:fill="FFFFFF"/>
        <w:spacing w:before="163" w:after="0"/>
        <w:ind w:right="-568"/>
        <w:jc w:val="center"/>
        <w:rPr>
          <w:rFonts w:ascii="Times New Roman" w:eastAsia="Times New Roman" w:hAnsi="Times New Roman" w:cs="Times New Roman"/>
          <w:b/>
        </w:rPr>
      </w:pPr>
      <w:r w:rsidRPr="00811DC2">
        <w:rPr>
          <w:rFonts w:ascii="Times New Roman" w:eastAsia="Times New Roman" w:hAnsi="Times New Roman" w:cs="Times New Roman"/>
          <w:b/>
        </w:rPr>
        <w:t xml:space="preserve">Неналоговые доходы бюджета города Ханты-Мансийска за </w:t>
      </w:r>
      <w:r w:rsidR="00BC1554">
        <w:rPr>
          <w:rFonts w:ascii="Times New Roman" w:eastAsia="Times New Roman" w:hAnsi="Times New Roman" w:cs="Times New Roman"/>
          <w:b/>
        </w:rPr>
        <w:t>полугодие</w:t>
      </w:r>
      <w:r w:rsidRPr="00811DC2">
        <w:rPr>
          <w:rFonts w:ascii="Times New Roman" w:eastAsia="Times New Roman" w:hAnsi="Times New Roman" w:cs="Times New Roman"/>
          <w:b/>
        </w:rPr>
        <w:t xml:space="preserve"> 2022 года</w:t>
      </w:r>
    </w:p>
    <w:p w:rsidR="00A934B4" w:rsidRPr="00811DC2"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811DC2">
        <w:rPr>
          <w:rFonts w:ascii="Times New Roman" w:eastAsia="Times New Roman" w:hAnsi="Times New Roman" w:cs="Times New Roman"/>
          <w:sz w:val="20"/>
          <w:szCs w:val="20"/>
        </w:rPr>
        <w:t>тыс. руб.</w:t>
      </w:r>
    </w:p>
    <w:p w:rsidR="00A934B4" w:rsidRPr="00811DC2"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A934B4" w:rsidRDefault="00A934B4" w:rsidP="00A934B4">
      <w:pPr>
        <w:spacing w:after="0"/>
        <w:ind w:hanging="567"/>
        <w:jc w:val="both"/>
        <w:rPr>
          <w:rFonts w:ascii="Times New Roman" w:eastAsia="Times New Roman" w:hAnsi="Times New Roman" w:cs="Times New Roman"/>
          <w:sz w:val="28"/>
          <w:szCs w:val="28"/>
          <w:highlight w:val="yellow"/>
        </w:rPr>
      </w:pPr>
      <w:r w:rsidRPr="00A934B4">
        <w:rPr>
          <w:rFonts w:ascii="Times New Roman" w:eastAsia="Times New Roman" w:hAnsi="Times New Roman" w:cs="Times New Roman"/>
          <w:noProof/>
          <w:color w:val="17365D" w:themeColor="text2" w:themeShade="BF"/>
          <w:sz w:val="24"/>
          <w:szCs w:val="24"/>
          <w:highlight w:val="yellow"/>
        </w:rPr>
        <w:drawing>
          <wp:anchor distT="0" distB="0" distL="114300" distR="114300" simplePos="0" relativeHeight="251656192" behindDoc="0" locked="0" layoutInCell="1" allowOverlap="1" wp14:anchorId="4DC53DA9" wp14:editId="22DB6B24">
            <wp:simplePos x="0" y="0"/>
            <wp:positionH relativeFrom="column">
              <wp:posOffset>-59690</wp:posOffset>
            </wp:positionH>
            <wp:positionV relativeFrom="paragraph">
              <wp:posOffset>71120</wp:posOffset>
            </wp:positionV>
            <wp:extent cx="2909570" cy="3601720"/>
            <wp:effectExtent l="0" t="0" r="0" b="0"/>
            <wp:wrapThrough wrapText="bothSides">
              <wp:wrapPolygon edited="0">
                <wp:start x="0" y="3313"/>
                <wp:lineTo x="0" y="9597"/>
                <wp:lineTo x="7637" y="10853"/>
                <wp:lineTo x="10748" y="10853"/>
                <wp:lineTo x="2687" y="11996"/>
                <wp:lineTo x="990" y="12339"/>
                <wp:lineTo x="990" y="12795"/>
                <wp:lineTo x="10324" y="14509"/>
                <wp:lineTo x="1131" y="15423"/>
                <wp:lineTo x="990" y="15994"/>
                <wp:lineTo x="3818" y="16451"/>
                <wp:lineTo x="11031" y="16451"/>
                <wp:lineTo x="18385" y="16223"/>
                <wp:lineTo x="18385" y="15537"/>
                <wp:lineTo x="10748" y="14509"/>
                <wp:lineTo x="10041" y="12681"/>
                <wp:lineTo x="11172" y="10853"/>
                <wp:lineTo x="12869" y="9368"/>
                <wp:lineTo x="12869" y="9025"/>
                <wp:lineTo x="17961" y="8340"/>
                <wp:lineTo x="17961" y="7769"/>
                <wp:lineTo x="12869" y="7197"/>
                <wp:lineTo x="14991" y="7197"/>
                <wp:lineTo x="16688" y="6398"/>
                <wp:lineTo x="16546"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A934B4">
        <w:rPr>
          <w:rFonts w:ascii="Times New Roman" w:eastAsia="Times New Roman" w:hAnsi="Times New Roman" w:cs="Times New Roman"/>
          <w:noProof/>
          <w:sz w:val="28"/>
          <w:szCs w:val="28"/>
          <w:highlight w:val="yellow"/>
        </w:rPr>
        <w:drawing>
          <wp:anchor distT="0" distB="0" distL="114300" distR="114300" simplePos="0" relativeHeight="251661312" behindDoc="1" locked="0" layoutInCell="1" allowOverlap="1" wp14:anchorId="56AA0963" wp14:editId="5436F57A">
            <wp:simplePos x="0" y="0"/>
            <wp:positionH relativeFrom="column">
              <wp:posOffset>2460901</wp:posOffset>
            </wp:positionH>
            <wp:positionV relativeFrom="paragraph">
              <wp:posOffset>71451</wp:posOffset>
            </wp:positionV>
            <wp:extent cx="3860800" cy="4651513"/>
            <wp:effectExtent l="0" t="0" r="6350" b="0"/>
            <wp:wrapNone/>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7B001E"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7B001E">
        <w:rPr>
          <w:rFonts w:ascii="Times New Roman" w:eastAsia="Times New Roman" w:hAnsi="Times New Roman" w:cs="Times New Roman"/>
          <w:sz w:val="28"/>
          <w:szCs w:val="28"/>
        </w:rPr>
        <w:t>Неналоговые доходы за перв</w:t>
      </w:r>
      <w:r w:rsidR="007B001E" w:rsidRPr="007B001E">
        <w:rPr>
          <w:rFonts w:ascii="Times New Roman" w:eastAsia="Times New Roman" w:hAnsi="Times New Roman" w:cs="Times New Roman"/>
          <w:sz w:val="28"/>
          <w:szCs w:val="28"/>
        </w:rPr>
        <w:t>ое</w:t>
      </w:r>
      <w:r w:rsidRPr="007B001E">
        <w:rPr>
          <w:rFonts w:ascii="Times New Roman" w:eastAsia="Times New Roman" w:hAnsi="Times New Roman" w:cs="Times New Roman"/>
          <w:sz w:val="28"/>
          <w:szCs w:val="28"/>
        </w:rPr>
        <w:t xml:space="preserve"> </w:t>
      </w:r>
      <w:r w:rsidR="007B001E" w:rsidRPr="007B001E">
        <w:rPr>
          <w:rFonts w:ascii="Times New Roman" w:eastAsia="Times New Roman" w:hAnsi="Times New Roman" w:cs="Times New Roman"/>
          <w:sz w:val="28"/>
          <w:szCs w:val="28"/>
        </w:rPr>
        <w:t>полугодие</w:t>
      </w:r>
      <w:r w:rsidRPr="007B001E">
        <w:rPr>
          <w:rFonts w:ascii="Times New Roman" w:eastAsia="Times New Roman" w:hAnsi="Times New Roman" w:cs="Times New Roman"/>
          <w:sz w:val="28"/>
          <w:szCs w:val="28"/>
        </w:rPr>
        <w:t xml:space="preserve"> 2021 года поступили в сумме </w:t>
      </w:r>
      <w:r w:rsidR="007B001E" w:rsidRPr="007B001E">
        <w:rPr>
          <w:rFonts w:ascii="Times New Roman" w:eastAsia="Times New Roman" w:hAnsi="Times New Roman" w:cs="Times New Roman"/>
          <w:sz w:val="28"/>
          <w:szCs w:val="28"/>
        </w:rPr>
        <w:t>156 691,4</w:t>
      </w:r>
      <w:r w:rsidRPr="007B001E">
        <w:rPr>
          <w:rFonts w:ascii="Times New Roman" w:eastAsia="Times New Roman" w:hAnsi="Times New Roman" w:cs="Times New Roman"/>
          <w:sz w:val="28"/>
          <w:szCs w:val="28"/>
        </w:rPr>
        <w:t xml:space="preserve"> тыс. рублей, снижение  поступлений  неналоговых доходов за перв</w:t>
      </w:r>
      <w:r w:rsidR="007B001E" w:rsidRPr="007B001E">
        <w:rPr>
          <w:rFonts w:ascii="Times New Roman" w:eastAsia="Times New Roman" w:hAnsi="Times New Roman" w:cs="Times New Roman"/>
          <w:sz w:val="28"/>
          <w:szCs w:val="28"/>
        </w:rPr>
        <w:t>ое</w:t>
      </w:r>
      <w:r w:rsidRPr="007B001E">
        <w:rPr>
          <w:rFonts w:ascii="Times New Roman" w:eastAsia="Times New Roman" w:hAnsi="Times New Roman" w:cs="Times New Roman"/>
          <w:sz w:val="28"/>
          <w:szCs w:val="28"/>
        </w:rPr>
        <w:t xml:space="preserve"> </w:t>
      </w:r>
      <w:r w:rsidR="007B001E" w:rsidRPr="007B001E">
        <w:rPr>
          <w:rFonts w:ascii="Times New Roman" w:eastAsia="Times New Roman" w:hAnsi="Times New Roman" w:cs="Times New Roman"/>
          <w:sz w:val="28"/>
          <w:szCs w:val="28"/>
        </w:rPr>
        <w:t>полугодие</w:t>
      </w:r>
      <w:r w:rsidRPr="007B001E">
        <w:rPr>
          <w:rFonts w:ascii="Times New Roman" w:eastAsia="Times New Roman" w:hAnsi="Times New Roman" w:cs="Times New Roman"/>
          <w:sz w:val="28"/>
          <w:szCs w:val="28"/>
        </w:rPr>
        <w:t xml:space="preserve"> 2022 года по отношению к аналогичному периоду предыдущего финансового года составило </w:t>
      </w:r>
      <w:r w:rsidR="007B001E" w:rsidRPr="007B001E">
        <w:rPr>
          <w:rFonts w:ascii="Times New Roman" w:eastAsia="Times New Roman" w:hAnsi="Times New Roman" w:cs="Times New Roman"/>
          <w:sz w:val="28"/>
          <w:szCs w:val="28"/>
        </w:rPr>
        <w:t>3,9</w:t>
      </w:r>
      <w:r w:rsidRPr="007B001E">
        <w:rPr>
          <w:rFonts w:ascii="Times New Roman" w:eastAsia="Times New Roman" w:hAnsi="Times New Roman" w:cs="Times New Roman"/>
          <w:sz w:val="28"/>
          <w:szCs w:val="28"/>
        </w:rPr>
        <w:t xml:space="preserve">% или </w:t>
      </w:r>
      <w:r w:rsidR="007B001E" w:rsidRPr="007B001E">
        <w:rPr>
          <w:rFonts w:ascii="Times New Roman" w:eastAsia="Times New Roman" w:hAnsi="Times New Roman" w:cs="Times New Roman"/>
          <w:sz w:val="28"/>
          <w:szCs w:val="28"/>
        </w:rPr>
        <w:t>6 166,4</w:t>
      </w:r>
      <w:r w:rsidRPr="007B001E">
        <w:rPr>
          <w:rFonts w:ascii="Times New Roman" w:eastAsia="Times New Roman" w:hAnsi="Times New Roman" w:cs="Times New Roman"/>
          <w:sz w:val="28"/>
          <w:szCs w:val="28"/>
        </w:rPr>
        <w:t xml:space="preserve"> тыс. рублей.</w:t>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7B001E" w:rsidRDefault="00A934B4" w:rsidP="00A934B4">
      <w:pPr>
        <w:spacing w:after="0"/>
        <w:ind w:firstLine="709"/>
        <w:jc w:val="center"/>
        <w:rPr>
          <w:rFonts w:ascii="Times New Roman" w:hAnsi="Times New Roman" w:cs="Times New Roman"/>
          <w:b/>
          <w:color w:val="000000" w:themeColor="text1"/>
          <w:sz w:val="24"/>
          <w:szCs w:val="24"/>
        </w:rPr>
      </w:pPr>
      <w:r w:rsidRPr="007B001E">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7B001E" w:rsidRDefault="00A934B4" w:rsidP="00A934B4">
      <w:pPr>
        <w:spacing w:after="0"/>
        <w:ind w:firstLine="709"/>
        <w:jc w:val="right"/>
        <w:rPr>
          <w:rFonts w:ascii="Times New Roman" w:hAnsi="Times New Roman" w:cs="Times New Roman"/>
          <w:color w:val="000000" w:themeColor="text1"/>
          <w:sz w:val="20"/>
          <w:szCs w:val="20"/>
        </w:rPr>
      </w:pPr>
      <w:r w:rsidRPr="007B001E">
        <w:rPr>
          <w:rFonts w:ascii="Times New Roman" w:hAnsi="Times New Roman" w:cs="Times New Roman"/>
          <w:color w:val="000000" w:themeColor="text1"/>
          <w:sz w:val="20"/>
          <w:szCs w:val="20"/>
        </w:rPr>
        <w:t>тыс. руб.</w:t>
      </w:r>
    </w:p>
    <w:p w:rsidR="00A934B4" w:rsidRPr="00C22F56" w:rsidRDefault="00A934B4" w:rsidP="00A934B4">
      <w:pPr>
        <w:spacing w:after="0" w:line="300" w:lineRule="auto"/>
        <w:jc w:val="both"/>
        <w:rPr>
          <w:rFonts w:ascii="Times New Roman" w:eastAsia="Times New Roman" w:hAnsi="Times New Roman" w:cs="Times New Roman"/>
          <w:sz w:val="28"/>
          <w:szCs w:val="28"/>
        </w:rPr>
      </w:pPr>
      <w:r w:rsidRPr="00C22F56">
        <w:rPr>
          <w:rFonts w:ascii="Times New Roman" w:eastAsia="Times New Roman" w:hAnsi="Times New Roman" w:cs="Times New Roman"/>
          <w:noProof/>
          <w:sz w:val="28"/>
          <w:szCs w:val="28"/>
        </w:rPr>
        <w:drawing>
          <wp:inline distT="0" distB="0" distL="0" distR="0" wp14:anchorId="5B743358" wp14:editId="13E291A3">
            <wp:extent cx="5760085" cy="4890052"/>
            <wp:effectExtent l="0" t="0" r="0" b="635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A934B4" w:rsidRDefault="00A934B4" w:rsidP="00A934B4">
      <w:pPr>
        <w:spacing w:after="0"/>
        <w:ind w:firstLine="709"/>
        <w:jc w:val="both"/>
        <w:rPr>
          <w:rFonts w:ascii="Times New Roman" w:hAnsi="Times New Roman" w:cs="Times New Roman"/>
          <w:sz w:val="28"/>
          <w:szCs w:val="28"/>
          <w:highlight w:val="yellow"/>
        </w:rPr>
      </w:pPr>
      <w:r w:rsidRPr="00C22F56">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22F56" w:rsidRPr="00C22F56">
        <w:rPr>
          <w:rFonts w:ascii="Times New Roman" w:eastAsia="Times New Roman" w:hAnsi="Times New Roman" w:cs="Times New Roman"/>
          <w:sz w:val="28"/>
          <w:szCs w:val="28"/>
        </w:rPr>
        <w:t>86 391,4</w:t>
      </w:r>
      <w:r w:rsidRPr="00C22F56">
        <w:rPr>
          <w:rFonts w:ascii="Times New Roman" w:eastAsia="Times New Roman" w:hAnsi="Times New Roman" w:cs="Times New Roman"/>
          <w:sz w:val="28"/>
          <w:szCs w:val="28"/>
        </w:rPr>
        <w:t xml:space="preserve"> тыс. рублей, что составило </w:t>
      </w:r>
      <w:r w:rsidR="00C22F56" w:rsidRPr="00C22F56">
        <w:rPr>
          <w:rFonts w:ascii="Times New Roman" w:eastAsia="Times New Roman" w:hAnsi="Times New Roman" w:cs="Times New Roman"/>
          <w:sz w:val="28"/>
          <w:szCs w:val="28"/>
        </w:rPr>
        <w:t>73,1</w:t>
      </w:r>
      <w:r w:rsidRPr="00C22F56">
        <w:rPr>
          <w:rFonts w:ascii="Times New Roman" w:eastAsia="Times New Roman" w:hAnsi="Times New Roman" w:cs="Times New Roman"/>
          <w:sz w:val="28"/>
          <w:szCs w:val="28"/>
        </w:rPr>
        <w:t>% от плановых назначений на 2022 год. По сравнению с аналогичным периодом прошлого года произошл</w:t>
      </w:r>
      <w:r w:rsidR="00C22F56" w:rsidRPr="00C22F56">
        <w:rPr>
          <w:rFonts w:ascii="Times New Roman" w:eastAsia="Times New Roman" w:hAnsi="Times New Roman" w:cs="Times New Roman"/>
          <w:sz w:val="28"/>
          <w:szCs w:val="28"/>
        </w:rPr>
        <w:t>ел</w:t>
      </w:r>
      <w:r w:rsidRPr="00C22F56">
        <w:rPr>
          <w:rFonts w:ascii="Times New Roman" w:eastAsia="Times New Roman" w:hAnsi="Times New Roman" w:cs="Times New Roman"/>
          <w:sz w:val="28"/>
          <w:szCs w:val="28"/>
        </w:rPr>
        <w:t xml:space="preserve"> </w:t>
      </w:r>
      <w:r w:rsidR="00C22F56" w:rsidRPr="00C22F56">
        <w:rPr>
          <w:rFonts w:ascii="Times New Roman" w:eastAsia="Times New Roman" w:hAnsi="Times New Roman" w:cs="Times New Roman"/>
          <w:sz w:val="28"/>
          <w:szCs w:val="28"/>
        </w:rPr>
        <w:t>рост</w:t>
      </w:r>
      <w:r w:rsidRPr="00C22F56">
        <w:rPr>
          <w:rFonts w:ascii="Times New Roman" w:eastAsia="Times New Roman" w:hAnsi="Times New Roman" w:cs="Times New Roman"/>
          <w:sz w:val="28"/>
          <w:szCs w:val="28"/>
        </w:rPr>
        <w:t xml:space="preserve"> поступлений на </w:t>
      </w:r>
      <w:r w:rsidR="00C22F56" w:rsidRPr="00C22F56">
        <w:rPr>
          <w:rFonts w:ascii="Times New Roman" w:eastAsia="Times New Roman" w:hAnsi="Times New Roman" w:cs="Times New Roman"/>
          <w:sz w:val="28"/>
          <w:szCs w:val="28"/>
        </w:rPr>
        <w:t>8,2</w:t>
      </w:r>
      <w:r w:rsidR="00680A9D">
        <w:rPr>
          <w:rFonts w:ascii="Times New Roman" w:eastAsia="Times New Roman" w:hAnsi="Times New Roman" w:cs="Times New Roman"/>
          <w:sz w:val="28"/>
          <w:szCs w:val="28"/>
        </w:rPr>
        <w:t>%.</w:t>
      </w:r>
    </w:p>
    <w:p w:rsidR="00A934B4" w:rsidRPr="00680A9D" w:rsidRDefault="00A934B4" w:rsidP="00A934B4">
      <w:pPr>
        <w:spacing w:after="0" w:line="300" w:lineRule="auto"/>
        <w:ind w:firstLine="709"/>
        <w:jc w:val="both"/>
        <w:rPr>
          <w:rFonts w:ascii="Times New Roman" w:hAnsi="Times New Roman" w:cs="Times New Roman"/>
          <w:color w:val="000000" w:themeColor="text1"/>
          <w:sz w:val="28"/>
          <w:szCs w:val="28"/>
        </w:rPr>
      </w:pPr>
      <w:r w:rsidRPr="00680A9D">
        <w:rPr>
          <w:rFonts w:ascii="Times New Roman" w:eastAsia="Times New Roman" w:hAnsi="Times New Roman" w:cs="Times New Roman"/>
          <w:sz w:val="28"/>
          <w:szCs w:val="28"/>
        </w:rPr>
        <w:t xml:space="preserve">Платежи за пользование природными ресурсами составили </w:t>
      </w:r>
      <w:r w:rsidR="00017107" w:rsidRPr="00680A9D">
        <w:rPr>
          <w:rFonts w:ascii="Times New Roman" w:eastAsia="Times New Roman" w:hAnsi="Times New Roman" w:cs="Times New Roman"/>
          <w:sz w:val="28"/>
          <w:szCs w:val="28"/>
        </w:rPr>
        <w:t>750,8</w:t>
      </w:r>
      <w:r w:rsidRPr="00680A9D">
        <w:rPr>
          <w:rFonts w:ascii="Times New Roman" w:eastAsia="Times New Roman" w:hAnsi="Times New Roman" w:cs="Times New Roman"/>
          <w:sz w:val="28"/>
          <w:szCs w:val="28"/>
        </w:rPr>
        <w:t xml:space="preserve"> тыс. рублей. </w:t>
      </w:r>
      <w:r w:rsidRPr="00680A9D">
        <w:rPr>
          <w:rFonts w:ascii="Times New Roman" w:hAnsi="Times New Roman" w:cs="Times New Roman"/>
          <w:color w:val="000000" w:themeColor="text1"/>
          <w:sz w:val="28"/>
          <w:szCs w:val="28"/>
        </w:rPr>
        <w:t xml:space="preserve">Плановые назначения 2022 года исполнены на </w:t>
      </w:r>
      <w:r w:rsidR="00017107" w:rsidRPr="00680A9D">
        <w:rPr>
          <w:rFonts w:ascii="Times New Roman" w:hAnsi="Times New Roman" w:cs="Times New Roman"/>
          <w:color w:val="000000" w:themeColor="text1"/>
          <w:sz w:val="28"/>
          <w:szCs w:val="28"/>
        </w:rPr>
        <w:t>6,2</w:t>
      </w:r>
      <w:r w:rsidRPr="00680A9D">
        <w:rPr>
          <w:rFonts w:ascii="Times New Roman" w:hAnsi="Times New Roman" w:cs="Times New Roman"/>
          <w:color w:val="000000" w:themeColor="text1"/>
          <w:sz w:val="28"/>
          <w:szCs w:val="28"/>
        </w:rPr>
        <w:t xml:space="preserve">%. По сравнению с аналогичным периодом прошлого года отмечается снижение поступлений на </w:t>
      </w:r>
      <w:r w:rsidR="00017107" w:rsidRPr="00680A9D">
        <w:rPr>
          <w:rFonts w:ascii="Times New Roman" w:hAnsi="Times New Roman" w:cs="Times New Roman"/>
          <w:color w:val="000000" w:themeColor="text1"/>
          <w:sz w:val="28"/>
          <w:szCs w:val="28"/>
        </w:rPr>
        <w:t>8 334,1</w:t>
      </w:r>
      <w:r w:rsidRPr="00680A9D">
        <w:rPr>
          <w:rFonts w:ascii="Times New Roman" w:hAnsi="Times New Roman" w:cs="Times New Roman"/>
          <w:color w:val="000000" w:themeColor="text1"/>
          <w:sz w:val="28"/>
          <w:szCs w:val="28"/>
        </w:rPr>
        <w:t xml:space="preserve"> тыс. рублей,  в связи с </w:t>
      </w:r>
      <w:r w:rsidR="00017107" w:rsidRPr="00680A9D">
        <w:rPr>
          <w:rFonts w:ascii="Times New Roman" w:hAnsi="Times New Roman" w:cs="Times New Roman"/>
          <w:color w:val="000000" w:themeColor="text1"/>
          <w:sz w:val="28"/>
          <w:szCs w:val="28"/>
        </w:rPr>
        <w:t xml:space="preserve">возвратом </w:t>
      </w:r>
      <w:r w:rsidRPr="00680A9D">
        <w:rPr>
          <w:rFonts w:ascii="Times New Roman" w:hAnsi="Times New Roman" w:cs="Times New Roman"/>
          <w:color w:val="000000" w:themeColor="text1"/>
          <w:sz w:val="28"/>
          <w:szCs w:val="28"/>
        </w:rPr>
        <w:t>ошибочн</w:t>
      </w:r>
      <w:r w:rsidR="00017107" w:rsidRPr="00680A9D">
        <w:rPr>
          <w:rFonts w:ascii="Times New Roman" w:hAnsi="Times New Roman" w:cs="Times New Roman"/>
          <w:color w:val="000000" w:themeColor="text1"/>
          <w:sz w:val="28"/>
          <w:szCs w:val="28"/>
        </w:rPr>
        <w:t>о</w:t>
      </w:r>
      <w:r w:rsidRPr="00680A9D">
        <w:rPr>
          <w:rFonts w:ascii="Times New Roman" w:hAnsi="Times New Roman" w:cs="Times New Roman"/>
          <w:color w:val="000000" w:themeColor="text1"/>
          <w:sz w:val="28"/>
          <w:szCs w:val="28"/>
        </w:rPr>
        <w:t xml:space="preserve"> </w:t>
      </w:r>
      <w:r w:rsidRPr="00680A9D">
        <w:rPr>
          <w:rFonts w:ascii="Times New Roman" w:eastAsia="Times New Roman" w:hAnsi="Times New Roman" w:cs="Times New Roman"/>
          <w:sz w:val="28"/>
          <w:szCs w:val="28"/>
        </w:rPr>
        <w:t>поступ</w:t>
      </w:r>
      <w:r w:rsidR="00017107" w:rsidRPr="00680A9D">
        <w:rPr>
          <w:rFonts w:ascii="Times New Roman" w:eastAsia="Times New Roman" w:hAnsi="Times New Roman" w:cs="Times New Roman"/>
          <w:sz w:val="28"/>
          <w:szCs w:val="28"/>
        </w:rPr>
        <w:t>ивш</w:t>
      </w:r>
      <w:r w:rsidR="00680A9D" w:rsidRPr="00680A9D">
        <w:rPr>
          <w:rFonts w:ascii="Times New Roman" w:eastAsia="Times New Roman" w:hAnsi="Times New Roman" w:cs="Times New Roman"/>
          <w:sz w:val="28"/>
          <w:szCs w:val="28"/>
        </w:rPr>
        <w:t>их</w:t>
      </w:r>
      <w:r w:rsidRPr="00680A9D">
        <w:rPr>
          <w:rFonts w:ascii="Times New Roman" w:eastAsia="Times New Roman" w:hAnsi="Times New Roman" w:cs="Times New Roman"/>
          <w:sz w:val="28"/>
          <w:szCs w:val="28"/>
        </w:rPr>
        <w:t xml:space="preserve"> плат</w:t>
      </w:r>
      <w:r w:rsidR="00680A9D" w:rsidRPr="00680A9D">
        <w:rPr>
          <w:rFonts w:ascii="Times New Roman" w:eastAsia="Times New Roman" w:hAnsi="Times New Roman" w:cs="Times New Roman"/>
          <w:sz w:val="28"/>
          <w:szCs w:val="28"/>
        </w:rPr>
        <w:t>ежей</w:t>
      </w:r>
      <w:r w:rsidRPr="00680A9D">
        <w:rPr>
          <w:rFonts w:ascii="Times New Roman" w:eastAsia="Times New Roman" w:hAnsi="Times New Roman" w:cs="Times New Roman"/>
          <w:sz w:val="28"/>
          <w:szCs w:val="28"/>
        </w:rPr>
        <w:t xml:space="preserve"> за негативное воздействие на окружающую среду</w:t>
      </w:r>
      <w:r w:rsidR="00680A9D" w:rsidRPr="00680A9D">
        <w:rPr>
          <w:rFonts w:ascii="Times New Roman" w:eastAsia="Times New Roman" w:hAnsi="Times New Roman" w:cs="Times New Roman"/>
          <w:sz w:val="28"/>
          <w:szCs w:val="28"/>
        </w:rPr>
        <w:t>.</w:t>
      </w:r>
    </w:p>
    <w:p w:rsidR="00A934B4" w:rsidRPr="00680A9D" w:rsidRDefault="00A934B4" w:rsidP="00A934B4">
      <w:pPr>
        <w:spacing w:after="0"/>
        <w:ind w:firstLine="708"/>
        <w:jc w:val="both"/>
        <w:rPr>
          <w:rFonts w:ascii="Times New Roman" w:eastAsia="Times New Roman" w:hAnsi="Times New Roman" w:cs="Times New Roman"/>
          <w:sz w:val="28"/>
          <w:szCs w:val="28"/>
        </w:rPr>
      </w:pPr>
      <w:r w:rsidRPr="00680A9D">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680A9D" w:rsidRPr="00680A9D">
        <w:rPr>
          <w:rFonts w:ascii="Times New Roman" w:eastAsia="Times New Roman" w:hAnsi="Times New Roman" w:cs="Times New Roman"/>
          <w:sz w:val="28"/>
          <w:szCs w:val="28"/>
        </w:rPr>
        <w:t>1 255,3</w:t>
      </w:r>
      <w:r w:rsidRPr="00680A9D">
        <w:rPr>
          <w:rFonts w:ascii="Times New Roman" w:eastAsia="Times New Roman" w:hAnsi="Times New Roman" w:cs="Times New Roman"/>
          <w:sz w:val="28"/>
          <w:szCs w:val="28"/>
        </w:rPr>
        <w:t xml:space="preserve"> тыс. рублей. </w:t>
      </w:r>
      <w:r w:rsidRPr="00680A9D">
        <w:rPr>
          <w:rFonts w:ascii="Times New Roman" w:hAnsi="Times New Roman" w:cs="Times New Roman"/>
          <w:color w:val="000000" w:themeColor="text1"/>
          <w:sz w:val="28"/>
          <w:szCs w:val="28"/>
        </w:rPr>
        <w:t xml:space="preserve">Плановые назначения 2022 года исполнены на </w:t>
      </w:r>
      <w:r w:rsidR="00680A9D" w:rsidRPr="00680A9D">
        <w:rPr>
          <w:rFonts w:ascii="Times New Roman" w:hAnsi="Times New Roman" w:cs="Times New Roman"/>
          <w:color w:val="000000" w:themeColor="text1"/>
          <w:sz w:val="28"/>
          <w:szCs w:val="28"/>
        </w:rPr>
        <w:t>152,2</w:t>
      </w:r>
      <w:r w:rsidRPr="00680A9D">
        <w:rPr>
          <w:rFonts w:ascii="Times New Roman" w:hAnsi="Times New Roman" w:cs="Times New Roman"/>
          <w:color w:val="000000" w:themeColor="text1"/>
          <w:sz w:val="28"/>
          <w:szCs w:val="28"/>
        </w:rPr>
        <w:t>%.</w:t>
      </w:r>
    </w:p>
    <w:p w:rsidR="005D2F69" w:rsidRPr="005D2F69" w:rsidRDefault="00A934B4" w:rsidP="00A934B4">
      <w:pPr>
        <w:spacing w:after="0" w:line="300" w:lineRule="auto"/>
        <w:ind w:firstLine="709"/>
        <w:jc w:val="both"/>
        <w:rPr>
          <w:rFonts w:ascii="Times New Roman" w:hAnsi="Times New Roman" w:cs="Times New Roman"/>
          <w:color w:val="000000" w:themeColor="text1"/>
          <w:sz w:val="28"/>
          <w:szCs w:val="28"/>
        </w:rPr>
      </w:pPr>
      <w:r w:rsidRPr="00680A9D">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680A9D" w:rsidRPr="00680A9D">
        <w:rPr>
          <w:rFonts w:ascii="Times New Roman" w:eastAsia="Times New Roman" w:hAnsi="Times New Roman" w:cs="Times New Roman"/>
          <w:sz w:val="28"/>
          <w:szCs w:val="28"/>
        </w:rPr>
        <w:t>49 505,2</w:t>
      </w:r>
      <w:r w:rsidRPr="00680A9D">
        <w:rPr>
          <w:rFonts w:ascii="Times New Roman" w:eastAsia="Times New Roman" w:hAnsi="Times New Roman" w:cs="Times New Roman"/>
          <w:sz w:val="28"/>
          <w:szCs w:val="28"/>
        </w:rPr>
        <w:t xml:space="preserve"> тыс. рублей, что составило </w:t>
      </w:r>
      <w:r w:rsidR="00680A9D" w:rsidRPr="00680A9D">
        <w:rPr>
          <w:rFonts w:ascii="Times New Roman" w:eastAsia="Times New Roman" w:hAnsi="Times New Roman" w:cs="Times New Roman"/>
          <w:sz w:val="28"/>
          <w:szCs w:val="28"/>
        </w:rPr>
        <w:t>96,5</w:t>
      </w:r>
      <w:r w:rsidRPr="00680A9D">
        <w:rPr>
          <w:rFonts w:ascii="Times New Roman" w:eastAsia="Times New Roman" w:hAnsi="Times New Roman" w:cs="Times New Roman"/>
          <w:sz w:val="28"/>
          <w:szCs w:val="28"/>
        </w:rPr>
        <w:t xml:space="preserve">% от плановых назначений, установленных на 2022 год. </w:t>
      </w:r>
      <w:r w:rsidRPr="00680A9D">
        <w:rPr>
          <w:rFonts w:ascii="Times New Roman" w:hAnsi="Times New Roman" w:cs="Times New Roman"/>
          <w:color w:val="000000" w:themeColor="text1"/>
          <w:sz w:val="28"/>
          <w:szCs w:val="28"/>
        </w:rPr>
        <w:t>По отношению к аналогичному периоду 2021 года произош</w:t>
      </w:r>
      <w:r w:rsidR="00680A9D" w:rsidRPr="00680A9D">
        <w:rPr>
          <w:rFonts w:ascii="Times New Roman" w:hAnsi="Times New Roman" w:cs="Times New Roman"/>
          <w:color w:val="000000" w:themeColor="text1"/>
          <w:sz w:val="28"/>
          <w:szCs w:val="28"/>
        </w:rPr>
        <w:t>ел рост</w:t>
      </w:r>
      <w:r w:rsidRPr="00680A9D">
        <w:rPr>
          <w:rFonts w:ascii="Times New Roman" w:hAnsi="Times New Roman" w:cs="Times New Roman"/>
          <w:color w:val="000000" w:themeColor="text1"/>
          <w:sz w:val="28"/>
          <w:szCs w:val="28"/>
        </w:rPr>
        <w:t xml:space="preserve"> поступлений на </w:t>
      </w:r>
      <w:r w:rsidR="00680A9D" w:rsidRPr="00680A9D">
        <w:rPr>
          <w:rFonts w:ascii="Times New Roman" w:hAnsi="Times New Roman" w:cs="Times New Roman"/>
          <w:color w:val="000000" w:themeColor="text1"/>
          <w:sz w:val="28"/>
          <w:szCs w:val="28"/>
        </w:rPr>
        <w:t>4 983,4</w:t>
      </w:r>
      <w:r w:rsidRPr="00680A9D">
        <w:rPr>
          <w:rFonts w:ascii="Times New Roman" w:hAnsi="Times New Roman" w:cs="Times New Roman"/>
          <w:color w:val="000000" w:themeColor="text1"/>
          <w:sz w:val="28"/>
          <w:szCs w:val="28"/>
        </w:rPr>
        <w:t xml:space="preserve"> тыс. рублей или на </w:t>
      </w:r>
      <w:r w:rsidR="00680A9D" w:rsidRPr="00680A9D">
        <w:rPr>
          <w:rFonts w:ascii="Times New Roman" w:hAnsi="Times New Roman" w:cs="Times New Roman"/>
          <w:color w:val="000000" w:themeColor="text1"/>
          <w:sz w:val="28"/>
          <w:szCs w:val="28"/>
        </w:rPr>
        <w:t>11</w:t>
      </w:r>
      <w:r w:rsidR="00680A9D" w:rsidRPr="005D2F69">
        <w:rPr>
          <w:rFonts w:ascii="Times New Roman" w:hAnsi="Times New Roman" w:cs="Times New Roman"/>
          <w:color w:val="000000" w:themeColor="text1"/>
          <w:sz w:val="28"/>
          <w:szCs w:val="28"/>
        </w:rPr>
        <w:t>,2</w:t>
      </w:r>
      <w:r w:rsidR="005D2F69" w:rsidRPr="005D2F69">
        <w:rPr>
          <w:rFonts w:ascii="Times New Roman" w:hAnsi="Times New Roman" w:cs="Times New Roman"/>
          <w:color w:val="000000" w:themeColor="text1"/>
          <w:sz w:val="28"/>
          <w:szCs w:val="28"/>
        </w:rPr>
        <w:t>%.</w:t>
      </w:r>
      <w:r w:rsidRPr="005D2F69">
        <w:rPr>
          <w:rFonts w:ascii="Times New Roman" w:hAnsi="Times New Roman" w:cs="Times New Roman"/>
          <w:color w:val="000000" w:themeColor="text1"/>
          <w:sz w:val="28"/>
          <w:szCs w:val="28"/>
        </w:rPr>
        <w:t xml:space="preserve"> </w:t>
      </w:r>
    </w:p>
    <w:p w:rsidR="00A934B4" w:rsidRPr="00A934B4" w:rsidRDefault="00A934B4" w:rsidP="00A934B4">
      <w:pPr>
        <w:spacing w:after="0" w:line="300" w:lineRule="auto"/>
        <w:ind w:firstLine="709"/>
        <w:jc w:val="both"/>
        <w:rPr>
          <w:rFonts w:ascii="Times New Roman" w:hAnsi="Times New Roman" w:cs="Times New Roman"/>
          <w:color w:val="000000" w:themeColor="text1"/>
          <w:sz w:val="28"/>
          <w:szCs w:val="28"/>
          <w:highlight w:val="yellow"/>
        </w:rPr>
      </w:pPr>
      <w:r w:rsidRPr="005D2F69">
        <w:rPr>
          <w:rFonts w:ascii="Times New Roman" w:hAnsi="Times New Roman" w:cs="Times New Roman"/>
          <w:color w:val="000000" w:themeColor="text1"/>
          <w:sz w:val="28"/>
          <w:szCs w:val="28"/>
        </w:rPr>
        <w:t xml:space="preserve">По штрафам поступили средства в сумме </w:t>
      </w:r>
      <w:r w:rsidR="00680A9D" w:rsidRPr="005D2F69">
        <w:rPr>
          <w:rFonts w:ascii="Times New Roman" w:hAnsi="Times New Roman" w:cs="Times New Roman"/>
          <w:color w:val="000000" w:themeColor="text1"/>
          <w:sz w:val="28"/>
          <w:szCs w:val="28"/>
        </w:rPr>
        <w:t>12 363,0</w:t>
      </w:r>
      <w:r w:rsidRPr="005D2F69">
        <w:rPr>
          <w:rFonts w:ascii="Times New Roman" w:hAnsi="Times New Roman" w:cs="Times New Roman"/>
          <w:color w:val="000000" w:themeColor="text1"/>
          <w:sz w:val="28"/>
          <w:szCs w:val="28"/>
        </w:rPr>
        <w:t xml:space="preserve"> тыс. рублей. Плановые назначения 2022 года исполнены на </w:t>
      </w:r>
      <w:r w:rsidR="00680A9D" w:rsidRPr="005D2F69">
        <w:rPr>
          <w:rFonts w:ascii="Times New Roman" w:hAnsi="Times New Roman" w:cs="Times New Roman"/>
          <w:color w:val="000000" w:themeColor="text1"/>
          <w:sz w:val="28"/>
          <w:szCs w:val="28"/>
        </w:rPr>
        <w:t>108,0</w:t>
      </w:r>
      <w:r w:rsidRPr="005D2F69">
        <w:rPr>
          <w:rFonts w:ascii="Times New Roman" w:hAnsi="Times New Roman" w:cs="Times New Roman"/>
          <w:color w:val="000000" w:themeColor="text1"/>
          <w:sz w:val="28"/>
          <w:szCs w:val="28"/>
        </w:rPr>
        <w:t xml:space="preserve">%. </w:t>
      </w:r>
      <w:r w:rsidR="00680A9D" w:rsidRPr="005D2F69">
        <w:rPr>
          <w:rFonts w:ascii="Times New Roman" w:hAnsi="Times New Roman" w:cs="Times New Roman"/>
          <w:color w:val="000000" w:themeColor="text1"/>
          <w:sz w:val="28"/>
          <w:szCs w:val="28"/>
        </w:rPr>
        <w:t xml:space="preserve">По отношению к аналогичному периоду прошлого года произошло снижение поступления штрафов на 4 693,4 тыс. рублей иои на 27,5 % с связи с </w:t>
      </w:r>
      <w:r w:rsidR="005D2F69" w:rsidRPr="005D2F69">
        <w:rPr>
          <w:rFonts w:ascii="Times New Roman" w:hAnsi="Times New Roman" w:cs="Times New Roman"/>
          <w:color w:val="000000" w:themeColor="text1"/>
          <w:sz w:val="28"/>
          <w:szCs w:val="28"/>
        </w:rPr>
        <w:t>в</w:t>
      </w:r>
      <w:r w:rsidR="004B73C9" w:rsidRPr="005D2F69">
        <w:rPr>
          <w:rFonts w:ascii="Times New Roman" w:hAnsi="Times New Roman" w:cs="Times New Roman"/>
          <w:color w:val="000000" w:themeColor="text1"/>
          <w:sz w:val="28"/>
          <w:szCs w:val="28"/>
        </w:rPr>
        <w:t>озврат</w:t>
      </w:r>
      <w:r w:rsidR="005D2F69" w:rsidRPr="005D2F69">
        <w:rPr>
          <w:rFonts w:ascii="Times New Roman" w:hAnsi="Times New Roman" w:cs="Times New Roman"/>
          <w:color w:val="000000" w:themeColor="text1"/>
          <w:sz w:val="28"/>
          <w:szCs w:val="28"/>
        </w:rPr>
        <w:t>ом</w:t>
      </w:r>
      <w:r w:rsidR="004B73C9" w:rsidRPr="005D2F69">
        <w:rPr>
          <w:rFonts w:ascii="Times New Roman" w:hAnsi="Times New Roman" w:cs="Times New Roman"/>
          <w:color w:val="000000" w:themeColor="text1"/>
          <w:sz w:val="28"/>
          <w:szCs w:val="28"/>
        </w:rPr>
        <w:t xml:space="preserve"> ошибочно поступивших  штрафов, поступающих в счет погашения задолженности, образовавшейся</w:t>
      </w:r>
      <w:r w:rsidR="004B73C9" w:rsidRPr="004B73C9">
        <w:rPr>
          <w:rFonts w:ascii="Times New Roman" w:hAnsi="Times New Roman" w:cs="Times New Roman"/>
          <w:color w:val="000000" w:themeColor="text1"/>
          <w:sz w:val="28"/>
          <w:szCs w:val="28"/>
        </w:rPr>
        <w:t xml:space="preserve"> до 1 января 2020 год, администрируемых Росприроднадзором.</w:t>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spacing w:after="0"/>
        <w:ind w:firstLine="708"/>
        <w:jc w:val="both"/>
        <w:rPr>
          <w:rFonts w:ascii="Times New Roman" w:eastAsia="Times New Roman" w:hAnsi="Times New Roman" w:cs="Times New Roman"/>
          <w:sz w:val="28"/>
          <w:szCs w:val="28"/>
        </w:rPr>
      </w:pPr>
      <w:r w:rsidRPr="00811DC2">
        <w:rPr>
          <w:rFonts w:ascii="Times New Roman" w:eastAsia="Times New Roman" w:hAnsi="Times New Roman" w:cs="Times New Roman"/>
          <w:b/>
          <w:sz w:val="28"/>
          <w:szCs w:val="28"/>
        </w:rPr>
        <w:t>БЕЗВОЗМЕЗДНЫЕ ПОСТУПЛЕНИЯ</w:t>
      </w:r>
      <w:r w:rsidRPr="00811DC2">
        <w:rPr>
          <w:rFonts w:ascii="Times New Roman" w:eastAsia="Times New Roman" w:hAnsi="Times New Roman" w:cs="Times New Roman"/>
          <w:sz w:val="28"/>
          <w:szCs w:val="28"/>
        </w:rPr>
        <w:t xml:space="preserve"> в бюджет города по состоянию на 01.0</w:t>
      </w:r>
      <w:r w:rsidR="00F32ED2" w:rsidRPr="00811DC2">
        <w:rPr>
          <w:rFonts w:ascii="Times New Roman" w:eastAsia="Times New Roman" w:hAnsi="Times New Roman" w:cs="Times New Roman"/>
          <w:sz w:val="28"/>
          <w:szCs w:val="28"/>
        </w:rPr>
        <w:t>7</w:t>
      </w:r>
      <w:r w:rsidRPr="00811DC2">
        <w:rPr>
          <w:rFonts w:ascii="Times New Roman" w:eastAsia="Times New Roman" w:hAnsi="Times New Roman" w:cs="Times New Roman"/>
          <w:sz w:val="28"/>
          <w:szCs w:val="28"/>
        </w:rPr>
        <w:t xml:space="preserve">.2022 составили </w:t>
      </w:r>
      <w:r w:rsidR="00F32ED2" w:rsidRPr="00811DC2">
        <w:rPr>
          <w:rFonts w:ascii="Times New Roman" w:eastAsia="Times New Roman" w:hAnsi="Times New Roman" w:cs="Times New Roman"/>
          <w:sz w:val="28"/>
          <w:szCs w:val="28"/>
        </w:rPr>
        <w:t>2 802 931,2</w:t>
      </w:r>
      <w:r w:rsidRPr="00811DC2">
        <w:rPr>
          <w:rFonts w:ascii="Times New Roman" w:eastAsia="Times New Roman" w:hAnsi="Times New Roman" w:cs="Times New Roman"/>
          <w:sz w:val="28"/>
          <w:szCs w:val="28"/>
        </w:rPr>
        <w:t xml:space="preserve"> тыс. рублей, что составляет</w:t>
      </w:r>
      <w:r w:rsidRPr="00F32ED2">
        <w:rPr>
          <w:rFonts w:ascii="Times New Roman" w:eastAsia="Times New Roman" w:hAnsi="Times New Roman" w:cs="Times New Roman"/>
          <w:sz w:val="28"/>
          <w:szCs w:val="28"/>
        </w:rPr>
        <w:t xml:space="preserve"> </w:t>
      </w:r>
      <w:r w:rsidR="00F32ED2" w:rsidRPr="00F32ED2">
        <w:rPr>
          <w:rFonts w:ascii="Times New Roman" w:eastAsia="Times New Roman" w:hAnsi="Times New Roman" w:cs="Times New Roman"/>
          <w:sz w:val="28"/>
          <w:szCs w:val="28"/>
        </w:rPr>
        <w:t>38,2</w:t>
      </w:r>
      <w:r w:rsidRPr="00F32ED2">
        <w:rPr>
          <w:rFonts w:ascii="Times New Roman" w:eastAsia="Times New Roman" w:hAnsi="Times New Roman" w:cs="Times New Roman"/>
          <w:sz w:val="28"/>
          <w:szCs w:val="28"/>
        </w:rPr>
        <w:t xml:space="preserve">% от плановых назначений, установленных на 2022 год. </w:t>
      </w:r>
    </w:p>
    <w:p w:rsidR="00A934B4" w:rsidRPr="00F32ED2" w:rsidRDefault="00A934B4" w:rsidP="00A934B4">
      <w:pPr>
        <w:shd w:val="clear" w:color="auto" w:fill="FFFFFF"/>
        <w:spacing w:before="163" w:after="0"/>
        <w:ind w:right="-568"/>
        <w:jc w:val="center"/>
        <w:rPr>
          <w:rFonts w:ascii="Times New Roman" w:eastAsia="Times New Roman" w:hAnsi="Times New Roman" w:cs="Times New Roman"/>
          <w:b/>
        </w:rPr>
      </w:pPr>
      <w:r w:rsidRPr="00F32ED2">
        <w:rPr>
          <w:rFonts w:ascii="Times New Roman" w:eastAsia="Times New Roman" w:hAnsi="Times New Roman" w:cs="Times New Roman"/>
          <w:b/>
        </w:rPr>
        <w:t>Безвозмездные поступления в  бюджет города Ханты-Мансийска за перв</w:t>
      </w:r>
      <w:r w:rsidR="00F32ED2" w:rsidRPr="00F32ED2">
        <w:rPr>
          <w:rFonts w:ascii="Times New Roman" w:eastAsia="Times New Roman" w:hAnsi="Times New Roman" w:cs="Times New Roman"/>
          <w:b/>
        </w:rPr>
        <w:t>ое</w:t>
      </w:r>
      <w:r w:rsidRPr="00F32ED2">
        <w:rPr>
          <w:rFonts w:ascii="Times New Roman" w:eastAsia="Times New Roman" w:hAnsi="Times New Roman" w:cs="Times New Roman"/>
          <w:b/>
        </w:rPr>
        <w:t xml:space="preserve">  </w:t>
      </w:r>
      <w:r w:rsidR="00F32ED2" w:rsidRPr="00F32ED2">
        <w:rPr>
          <w:rFonts w:ascii="Times New Roman" w:eastAsia="Times New Roman" w:hAnsi="Times New Roman" w:cs="Times New Roman"/>
          <w:b/>
        </w:rPr>
        <w:t>полугодие</w:t>
      </w:r>
      <w:r w:rsidRPr="00F32ED2">
        <w:rPr>
          <w:rFonts w:ascii="Times New Roman" w:eastAsia="Times New Roman" w:hAnsi="Times New Roman" w:cs="Times New Roman"/>
          <w:b/>
        </w:rPr>
        <w:t xml:space="preserve"> 2022 года</w:t>
      </w:r>
    </w:p>
    <w:p w:rsidR="00A934B4" w:rsidRPr="00F32ED2"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F32ED2">
        <w:rPr>
          <w:rFonts w:ascii="Times New Roman" w:eastAsia="Times New Roman" w:hAnsi="Times New Roman" w:cs="Times New Roman"/>
          <w:sz w:val="20"/>
          <w:szCs w:val="20"/>
        </w:rPr>
        <w:t>тыс. руб.</w:t>
      </w:r>
    </w:p>
    <w:p w:rsidR="00A934B4" w:rsidRPr="00F32ED2"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F32ED2">
        <w:rPr>
          <w:rFonts w:ascii="Times New Roman" w:eastAsia="Times New Roman" w:hAnsi="Times New Roman" w:cs="Times New Roman"/>
          <w:noProof/>
          <w:color w:val="17365D" w:themeColor="text2" w:themeShade="BF"/>
          <w:sz w:val="24"/>
          <w:szCs w:val="24"/>
        </w:rPr>
        <w:drawing>
          <wp:anchor distT="0" distB="0" distL="114300" distR="114300" simplePos="0" relativeHeight="251665408" behindDoc="0" locked="0" layoutInCell="1" allowOverlap="1" wp14:anchorId="75F9C572" wp14:editId="0A189F34">
            <wp:simplePos x="0" y="0"/>
            <wp:positionH relativeFrom="column">
              <wp:posOffset>-246380</wp:posOffset>
            </wp:positionH>
            <wp:positionV relativeFrom="paragraph">
              <wp:posOffset>354965</wp:posOffset>
            </wp:positionV>
            <wp:extent cx="2909570" cy="3601720"/>
            <wp:effectExtent l="0" t="0" r="0" b="0"/>
            <wp:wrapThrough wrapText="bothSides">
              <wp:wrapPolygon edited="0">
                <wp:start x="0" y="3313"/>
                <wp:lineTo x="0" y="9597"/>
                <wp:lineTo x="7637" y="10853"/>
                <wp:lineTo x="10748" y="10853"/>
                <wp:lineTo x="2970" y="11996"/>
                <wp:lineTo x="1273" y="12339"/>
                <wp:lineTo x="1273" y="12795"/>
                <wp:lineTo x="10324" y="14509"/>
                <wp:lineTo x="1414" y="15423"/>
                <wp:lineTo x="1273" y="15994"/>
                <wp:lineTo x="4243" y="16451"/>
                <wp:lineTo x="11597" y="16451"/>
                <wp:lineTo x="18102" y="16223"/>
                <wp:lineTo x="18102" y="15537"/>
                <wp:lineTo x="10748" y="14509"/>
                <wp:lineTo x="10607" y="10853"/>
                <wp:lineTo x="4808" y="9025"/>
                <wp:lineTo x="10182" y="8454"/>
                <wp:lineTo x="10182" y="7883"/>
                <wp:lineTo x="4808" y="7197"/>
                <wp:lineTo x="12021" y="7197"/>
                <wp:lineTo x="16688" y="6512"/>
                <wp:lineTo x="16546" y="3313"/>
                <wp:lineTo x="0" y="3313"/>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F32ED2" w:rsidRDefault="00A934B4" w:rsidP="00A934B4">
      <w:pPr>
        <w:tabs>
          <w:tab w:val="left" w:pos="7137"/>
        </w:tabs>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noProof/>
          <w:sz w:val="28"/>
          <w:szCs w:val="28"/>
        </w:rPr>
        <w:drawing>
          <wp:anchor distT="0" distB="0" distL="114300" distR="114300" simplePos="0" relativeHeight="251668480" behindDoc="1" locked="0" layoutInCell="1" allowOverlap="1" wp14:anchorId="6DA039DF" wp14:editId="36D911C1">
            <wp:simplePos x="0" y="0"/>
            <wp:positionH relativeFrom="column">
              <wp:posOffset>2413193</wp:posOffset>
            </wp:positionH>
            <wp:positionV relativeFrom="paragraph">
              <wp:posOffset>151378</wp:posOffset>
            </wp:positionV>
            <wp:extent cx="3872230" cy="4460682"/>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F32ED2">
        <w:rPr>
          <w:rFonts w:ascii="Times New Roman" w:eastAsia="Times New Roman" w:hAnsi="Times New Roman" w:cs="Times New Roman"/>
          <w:sz w:val="28"/>
          <w:szCs w:val="28"/>
        </w:rPr>
        <w:tab/>
      </w:r>
    </w:p>
    <w:p w:rsidR="00A934B4" w:rsidRPr="00F32ED2" w:rsidRDefault="00A934B4" w:rsidP="00A934B4">
      <w:pPr>
        <w:jc w:val="both"/>
        <w:rPr>
          <w:rFonts w:ascii="Times New Roman" w:eastAsia="Times New Roman" w:hAnsi="Times New Roman" w:cs="Times New Roman"/>
          <w:sz w:val="28"/>
          <w:szCs w:val="28"/>
        </w:rPr>
      </w:pPr>
    </w:p>
    <w:p w:rsidR="00A934B4" w:rsidRPr="00F32ED2" w:rsidRDefault="00A934B4" w:rsidP="00A934B4">
      <w:pPr>
        <w:jc w:val="center"/>
        <w:rPr>
          <w:rFonts w:ascii="Times New Roman" w:eastAsia="Times New Roman" w:hAnsi="Times New Roman" w:cs="Times New Roman"/>
          <w:b/>
          <w:sz w:val="28"/>
          <w:szCs w:val="28"/>
          <w:u w:val="single"/>
        </w:rPr>
      </w:pPr>
    </w:p>
    <w:p w:rsidR="00A934B4" w:rsidRPr="00F32ED2" w:rsidRDefault="00A934B4" w:rsidP="00A934B4">
      <w:pPr>
        <w:jc w:val="center"/>
        <w:rPr>
          <w:rFonts w:ascii="Times New Roman" w:eastAsia="Times New Roman" w:hAnsi="Times New Roman" w:cs="Times New Roman"/>
          <w:b/>
          <w:sz w:val="28"/>
          <w:szCs w:val="28"/>
          <w:u w:val="single"/>
        </w:rPr>
      </w:pP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tabs>
          <w:tab w:val="left" w:pos="4733"/>
        </w:tabs>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sz w:val="28"/>
          <w:szCs w:val="28"/>
        </w:rPr>
        <w:tab/>
      </w:r>
      <w:r w:rsidRPr="00F32ED2">
        <w:rPr>
          <w:rFonts w:ascii="Times New Roman" w:eastAsia="Times New Roman" w:hAnsi="Times New Roman" w:cs="Times New Roman"/>
          <w:sz w:val="28"/>
          <w:szCs w:val="28"/>
        </w:rPr>
        <w:tab/>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F32ED2" w:rsidRDefault="00F32ED2" w:rsidP="00A934B4">
      <w:pPr>
        <w:spacing w:after="0"/>
        <w:ind w:firstLine="708"/>
        <w:jc w:val="both"/>
        <w:rPr>
          <w:rFonts w:ascii="Times New Roman" w:eastAsia="Times New Roman" w:hAnsi="Times New Roman" w:cs="Times New Roman"/>
          <w:sz w:val="28"/>
          <w:szCs w:val="28"/>
          <w:highlight w:val="yellow"/>
        </w:rPr>
      </w:pPr>
    </w:p>
    <w:p w:rsidR="00F32ED2" w:rsidRDefault="00F32ED2"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sz w:val="28"/>
          <w:szCs w:val="28"/>
        </w:rPr>
        <w:t>Безвозмездные поступления за перв</w:t>
      </w:r>
      <w:r w:rsidR="00F32ED2" w:rsidRPr="00F32ED2">
        <w:rPr>
          <w:rFonts w:ascii="Times New Roman" w:eastAsia="Times New Roman" w:hAnsi="Times New Roman" w:cs="Times New Roman"/>
          <w:sz w:val="28"/>
          <w:szCs w:val="28"/>
        </w:rPr>
        <w:t>ое</w:t>
      </w:r>
      <w:r w:rsidRPr="00F32ED2">
        <w:rPr>
          <w:rFonts w:ascii="Times New Roman" w:eastAsia="Times New Roman" w:hAnsi="Times New Roman" w:cs="Times New Roman"/>
          <w:sz w:val="28"/>
          <w:szCs w:val="28"/>
        </w:rPr>
        <w:t xml:space="preserve"> </w:t>
      </w:r>
      <w:r w:rsidR="00F32ED2" w:rsidRPr="00F32ED2">
        <w:rPr>
          <w:rFonts w:ascii="Times New Roman" w:eastAsia="Times New Roman" w:hAnsi="Times New Roman" w:cs="Times New Roman"/>
          <w:sz w:val="28"/>
          <w:szCs w:val="28"/>
        </w:rPr>
        <w:t>полугодие</w:t>
      </w:r>
      <w:r w:rsidRPr="00F32ED2">
        <w:rPr>
          <w:rFonts w:ascii="Times New Roman" w:eastAsia="Times New Roman" w:hAnsi="Times New Roman" w:cs="Times New Roman"/>
          <w:sz w:val="28"/>
          <w:szCs w:val="28"/>
        </w:rPr>
        <w:t xml:space="preserve"> 2021 года поступили в сумме </w:t>
      </w:r>
      <w:r w:rsidR="00F32ED2" w:rsidRPr="00F32ED2">
        <w:rPr>
          <w:rFonts w:ascii="Times New Roman" w:eastAsia="Times New Roman" w:hAnsi="Times New Roman" w:cs="Times New Roman"/>
          <w:sz w:val="28"/>
          <w:szCs w:val="28"/>
        </w:rPr>
        <w:t>2 749 066,2</w:t>
      </w:r>
      <w:r w:rsidRPr="00F32ED2">
        <w:rPr>
          <w:rFonts w:ascii="Times New Roman" w:eastAsia="Times New Roman" w:hAnsi="Times New Roman" w:cs="Times New Roman"/>
          <w:sz w:val="28"/>
          <w:szCs w:val="28"/>
        </w:rPr>
        <w:t xml:space="preserve"> тыс. рублей. По сравнению с аналогичным периодом прошлого года поступления 2022 года </w:t>
      </w:r>
      <w:r w:rsidR="00F32ED2" w:rsidRPr="00F32ED2">
        <w:rPr>
          <w:rFonts w:ascii="Times New Roman" w:eastAsia="Times New Roman" w:hAnsi="Times New Roman" w:cs="Times New Roman"/>
          <w:sz w:val="28"/>
          <w:szCs w:val="28"/>
        </w:rPr>
        <w:t>возрасли</w:t>
      </w:r>
      <w:r w:rsidRPr="00F32ED2">
        <w:rPr>
          <w:rFonts w:ascii="Times New Roman" w:eastAsia="Times New Roman" w:hAnsi="Times New Roman" w:cs="Times New Roman"/>
          <w:sz w:val="28"/>
          <w:szCs w:val="28"/>
        </w:rPr>
        <w:t xml:space="preserve"> на </w:t>
      </w:r>
      <w:r w:rsidR="00F32ED2" w:rsidRPr="00F32ED2">
        <w:rPr>
          <w:rFonts w:ascii="Times New Roman" w:eastAsia="Times New Roman" w:hAnsi="Times New Roman" w:cs="Times New Roman"/>
          <w:sz w:val="28"/>
          <w:szCs w:val="28"/>
        </w:rPr>
        <w:t>2,0</w:t>
      </w:r>
      <w:r w:rsidRPr="00F32ED2">
        <w:rPr>
          <w:rFonts w:ascii="Times New Roman" w:eastAsia="Times New Roman" w:hAnsi="Times New Roman" w:cs="Times New Roman"/>
          <w:sz w:val="28"/>
          <w:szCs w:val="28"/>
        </w:rPr>
        <w:t>%.</w:t>
      </w: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F32ED2" w:rsidRDefault="00A934B4" w:rsidP="00A934B4">
      <w:pPr>
        <w:spacing w:after="0"/>
        <w:ind w:firstLine="709"/>
        <w:jc w:val="center"/>
        <w:rPr>
          <w:rFonts w:ascii="Times New Roman" w:hAnsi="Times New Roman" w:cs="Times New Roman"/>
          <w:b/>
          <w:color w:val="000000" w:themeColor="text1"/>
          <w:sz w:val="24"/>
          <w:szCs w:val="24"/>
        </w:rPr>
      </w:pPr>
      <w:r w:rsidRPr="00F32ED2">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F32ED2" w:rsidRDefault="00A934B4" w:rsidP="00A934B4">
      <w:pPr>
        <w:spacing w:after="0"/>
        <w:ind w:firstLine="709"/>
        <w:jc w:val="right"/>
        <w:rPr>
          <w:rFonts w:ascii="Times New Roman" w:hAnsi="Times New Roman" w:cs="Times New Roman"/>
          <w:color w:val="000000" w:themeColor="text1"/>
          <w:sz w:val="20"/>
          <w:szCs w:val="20"/>
        </w:rPr>
      </w:pPr>
      <w:r w:rsidRPr="00F32ED2">
        <w:rPr>
          <w:rFonts w:ascii="Times New Roman" w:hAnsi="Times New Roman" w:cs="Times New Roman"/>
          <w:color w:val="000000" w:themeColor="text1"/>
          <w:sz w:val="20"/>
          <w:szCs w:val="20"/>
        </w:rPr>
        <w:t>тыс. руб.</w:t>
      </w:r>
    </w:p>
    <w:p w:rsidR="00A934B4" w:rsidRPr="00A934B4" w:rsidRDefault="00A934B4" w:rsidP="00A934B4">
      <w:pPr>
        <w:jc w:val="center"/>
        <w:rPr>
          <w:rFonts w:ascii="Times New Roman" w:eastAsia="Times New Roman" w:hAnsi="Times New Roman" w:cs="Times New Roman"/>
          <w:b/>
          <w:sz w:val="28"/>
          <w:szCs w:val="28"/>
          <w:highlight w:val="yellow"/>
          <w:u w:val="single"/>
        </w:rPr>
      </w:pPr>
    </w:p>
    <w:p w:rsidR="00A934B4" w:rsidRPr="00A934B4" w:rsidRDefault="00A934B4" w:rsidP="00A934B4">
      <w:pPr>
        <w:jc w:val="center"/>
        <w:rPr>
          <w:rFonts w:ascii="Times New Roman" w:eastAsia="Times New Roman" w:hAnsi="Times New Roman" w:cs="Times New Roman"/>
          <w:b/>
          <w:sz w:val="28"/>
          <w:szCs w:val="28"/>
          <w:highlight w:val="yellow"/>
          <w:u w:val="single"/>
        </w:rPr>
      </w:pPr>
      <w:r w:rsidRPr="00A934B4">
        <w:rPr>
          <w:rFonts w:ascii="Times New Roman" w:eastAsia="Times New Roman" w:hAnsi="Times New Roman" w:cs="Times New Roman"/>
          <w:noProof/>
          <w:sz w:val="28"/>
          <w:szCs w:val="28"/>
          <w:highlight w:val="yellow"/>
        </w:rPr>
        <w:drawing>
          <wp:inline distT="0" distB="0" distL="0" distR="0" wp14:anchorId="408AE8C3" wp14:editId="2C105DE7">
            <wp:extent cx="5760085" cy="3428033"/>
            <wp:effectExtent l="0" t="0" r="0" b="12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775035" w:rsidRDefault="00A934B4" w:rsidP="00A934B4">
      <w:pPr>
        <w:jc w:val="center"/>
        <w:rPr>
          <w:rFonts w:ascii="Times New Roman" w:eastAsia="Times New Roman" w:hAnsi="Times New Roman" w:cs="Times New Roman"/>
          <w:b/>
          <w:sz w:val="28"/>
          <w:szCs w:val="28"/>
          <w:u w:val="single"/>
        </w:rPr>
      </w:pPr>
    </w:p>
    <w:p w:rsidR="00A934B4" w:rsidRPr="00775035" w:rsidRDefault="00A934B4" w:rsidP="00A934B4">
      <w:pPr>
        <w:jc w:val="center"/>
        <w:rPr>
          <w:rFonts w:ascii="Times New Roman" w:eastAsia="Times New Roman" w:hAnsi="Times New Roman" w:cs="Times New Roman"/>
          <w:b/>
          <w:sz w:val="28"/>
          <w:szCs w:val="28"/>
          <w:u w:val="single"/>
        </w:rPr>
      </w:pPr>
      <w:r w:rsidRPr="00775035">
        <w:rPr>
          <w:rFonts w:ascii="Times New Roman" w:eastAsia="Times New Roman" w:hAnsi="Times New Roman" w:cs="Times New Roman"/>
          <w:b/>
          <w:sz w:val="28"/>
          <w:szCs w:val="28"/>
          <w:u w:val="single"/>
        </w:rPr>
        <w:t>Источники финансирования дефицита бюджета</w:t>
      </w:r>
    </w:p>
    <w:p w:rsidR="00A934B4" w:rsidRPr="00775035" w:rsidRDefault="00A934B4" w:rsidP="00A934B4">
      <w:pPr>
        <w:ind w:firstLine="708"/>
        <w:jc w:val="both"/>
        <w:rPr>
          <w:rFonts w:ascii="Times New Roman" w:eastAsia="Times New Roman" w:hAnsi="Times New Roman" w:cs="Times New Roman"/>
          <w:sz w:val="28"/>
          <w:szCs w:val="28"/>
        </w:rPr>
      </w:pPr>
      <w:r w:rsidRPr="00775035">
        <w:rPr>
          <w:rFonts w:ascii="Times New Roman" w:eastAsia="Times New Roman" w:hAnsi="Times New Roman" w:cs="Times New Roman"/>
          <w:sz w:val="28"/>
          <w:szCs w:val="28"/>
        </w:rPr>
        <w:t>По итогам исполнения бюджета города Ханты-Мансийска за перв</w:t>
      </w:r>
      <w:r w:rsidR="004F46E2" w:rsidRPr="00775035">
        <w:rPr>
          <w:rFonts w:ascii="Times New Roman" w:eastAsia="Times New Roman" w:hAnsi="Times New Roman" w:cs="Times New Roman"/>
          <w:sz w:val="28"/>
          <w:szCs w:val="28"/>
        </w:rPr>
        <w:t>ое</w:t>
      </w:r>
      <w:r w:rsidRPr="00775035">
        <w:rPr>
          <w:rFonts w:ascii="Times New Roman" w:eastAsia="Times New Roman" w:hAnsi="Times New Roman" w:cs="Times New Roman"/>
          <w:sz w:val="28"/>
          <w:szCs w:val="28"/>
        </w:rPr>
        <w:t xml:space="preserve"> </w:t>
      </w:r>
      <w:r w:rsidR="004F46E2" w:rsidRPr="00775035">
        <w:rPr>
          <w:rFonts w:ascii="Times New Roman" w:eastAsia="Times New Roman" w:hAnsi="Times New Roman" w:cs="Times New Roman"/>
          <w:sz w:val="28"/>
          <w:szCs w:val="28"/>
        </w:rPr>
        <w:t>полугодие</w:t>
      </w:r>
      <w:r w:rsidRPr="00775035">
        <w:rPr>
          <w:rFonts w:ascii="Times New Roman" w:eastAsia="Times New Roman" w:hAnsi="Times New Roman" w:cs="Times New Roman"/>
          <w:sz w:val="28"/>
          <w:szCs w:val="28"/>
        </w:rPr>
        <w:t xml:space="preserve"> 2022 года сложился дефицит в сумме </w:t>
      </w:r>
      <w:r w:rsidR="004F46E2" w:rsidRPr="00775035">
        <w:rPr>
          <w:rFonts w:ascii="Times New Roman" w:eastAsia="Times New Roman" w:hAnsi="Times New Roman" w:cs="Times New Roman"/>
          <w:sz w:val="28"/>
          <w:szCs w:val="28"/>
        </w:rPr>
        <w:t>259 538,6</w:t>
      </w:r>
      <w:r w:rsidRPr="00775035">
        <w:rPr>
          <w:rFonts w:ascii="Times New Roman" w:eastAsia="Times New Roman" w:hAnsi="Times New Roman" w:cs="Times New Roman"/>
          <w:sz w:val="28"/>
          <w:szCs w:val="28"/>
        </w:rPr>
        <w:t xml:space="preserve"> тыс. рублей. </w:t>
      </w:r>
    </w:p>
    <w:p w:rsidR="00A934B4" w:rsidRPr="00775035" w:rsidRDefault="00A934B4" w:rsidP="00A934B4">
      <w:pPr>
        <w:spacing w:after="0"/>
        <w:ind w:firstLine="709"/>
        <w:jc w:val="both"/>
        <w:rPr>
          <w:rFonts w:ascii="Times New Roman" w:hAnsi="Times New Roman"/>
          <w:sz w:val="28"/>
          <w:szCs w:val="28"/>
        </w:rPr>
      </w:pPr>
      <w:r w:rsidRPr="00775035">
        <w:rPr>
          <w:rFonts w:ascii="Times New Roman" w:hAnsi="Times New Roman"/>
          <w:sz w:val="28"/>
          <w:szCs w:val="28"/>
        </w:rPr>
        <w:t xml:space="preserve">Муниципальный долг по состоянию на 1 </w:t>
      </w:r>
      <w:r w:rsidR="004F46E2" w:rsidRPr="00775035">
        <w:rPr>
          <w:rFonts w:ascii="Times New Roman" w:hAnsi="Times New Roman"/>
          <w:sz w:val="28"/>
          <w:szCs w:val="28"/>
        </w:rPr>
        <w:t>июля</w:t>
      </w:r>
      <w:r w:rsidRPr="00775035">
        <w:rPr>
          <w:rFonts w:ascii="Times New Roman" w:hAnsi="Times New Roman"/>
          <w:sz w:val="28"/>
          <w:szCs w:val="28"/>
        </w:rPr>
        <w:t xml:space="preserve"> 2022 года </w:t>
      </w:r>
      <w:r w:rsidR="004F46E2" w:rsidRPr="00775035">
        <w:rPr>
          <w:rFonts w:ascii="Times New Roman" w:hAnsi="Times New Roman"/>
          <w:sz w:val="28"/>
          <w:szCs w:val="28"/>
        </w:rPr>
        <w:t>составил 133 340,0 тыс. рублей</w:t>
      </w:r>
      <w:r w:rsidRPr="00775035">
        <w:rPr>
          <w:rFonts w:ascii="Times New Roman" w:hAnsi="Times New Roman"/>
          <w:sz w:val="28"/>
          <w:szCs w:val="28"/>
        </w:rPr>
        <w:t>.</w:t>
      </w:r>
    </w:p>
    <w:p w:rsidR="00E72C05" w:rsidRPr="00775035" w:rsidRDefault="00E72C05" w:rsidP="00A934B4">
      <w:pPr>
        <w:rPr>
          <w:rFonts w:ascii="Times New Roman" w:hAnsi="Times New Roman" w:cs="Times New Roman"/>
          <w:b/>
          <w:sz w:val="28"/>
          <w:szCs w:val="28"/>
          <w:u w:val="single"/>
        </w:rPr>
      </w:pPr>
    </w:p>
    <w:p w:rsidR="00D74A3B" w:rsidRPr="005E254B" w:rsidRDefault="00D74A3B" w:rsidP="00D74A3B">
      <w:pPr>
        <w:jc w:val="center"/>
        <w:rPr>
          <w:rFonts w:ascii="Times New Roman" w:hAnsi="Times New Roman" w:cs="Times New Roman"/>
          <w:b/>
          <w:sz w:val="28"/>
          <w:szCs w:val="28"/>
          <w:u w:val="single"/>
        </w:rPr>
      </w:pPr>
      <w:r w:rsidRPr="005E254B">
        <w:rPr>
          <w:rFonts w:ascii="Times New Roman" w:hAnsi="Times New Roman" w:cs="Times New Roman"/>
          <w:b/>
          <w:sz w:val="28"/>
          <w:szCs w:val="28"/>
          <w:u w:val="single"/>
        </w:rPr>
        <w:t>Расходы</w:t>
      </w:r>
    </w:p>
    <w:p w:rsidR="00D74A3B" w:rsidRPr="005E254B" w:rsidRDefault="00D74A3B" w:rsidP="00D74A3B">
      <w:pPr>
        <w:ind w:firstLine="284"/>
        <w:jc w:val="both"/>
        <w:rPr>
          <w:rFonts w:ascii="Times New Roman" w:hAnsi="Times New Roman" w:cs="Times New Roman"/>
          <w:sz w:val="28"/>
          <w:szCs w:val="28"/>
        </w:rPr>
      </w:pPr>
      <w:r w:rsidRPr="005E254B">
        <w:rPr>
          <w:rFonts w:ascii="Times New Roman" w:hAnsi="Times New Roman" w:cs="Times New Roman"/>
          <w:sz w:val="28"/>
          <w:szCs w:val="28"/>
        </w:rPr>
        <w:t xml:space="preserve">      За  отчетный период объем расходов бюджета города Ханты-Мансийска при </w:t>
      </w:r>
      <w:r w:rsidR="00A62311" w:rsidRPr="005E254B">
        <w:rPr>
          <w:rFonts w:ascii="Times New Roman" w:hAnsi="Times New Roman" w:cs="Times New Roman"/>
          <w:sz w:val="28"/>
          <w:szCs w:val="28"/>
        </w:rPr>
        <w:t>уточненном п</w:t>
      </w:r>
      <w:r w:rsidRPr="005E254B">
        <w:rPr>
          <w:rFonts w:ascii="Times New Roman" w:hAnsi="Times New Roman" w:cs="Times New Roman"/>
          <w:sz w:val="28"/>
          <w:szCs w:val="28"/>
        </w:rPr>
        <w:t xml:space="preserve">лане </w:t>
      </w:r>
      <w:r w:rsidR="005E254B" w:rsidRPr="005E254B">
        <w:rPr>
          <w:rFonts w:ascii="Times New Roman" w:hAnsi="Times New Roman" w:cs="Times New Roman"/>
          <w:sz w:val="28"/>
          <w:szCs w:val="28"/>
        </w:rPr>
        <w:t xml:space="preserve">на год </w:t>
      </w:r>
      <w:r w:rsidR="00FA0362">
        <w:rPr>
          <w:rFonts w:ascii="Times New Roman" w:hAnsi="Times New Roman" w:cs="Times New Roman"/>
          <w:sz w:val="28"/>
          <w:szCs w:val="28"/>
        </w:rPr>
        <w:t>12 570 473,3</w:t>
      </w:r>
      <w:r w:rsidR="00F63752" w:rsidRPr="005E254B">
        <w:rPr>
          <w:rFonts w:ascii="Times New Roman" w:eastAsia="Times New Roman" w:hAnsi="Times New Roman" w:cs="Times New Roman"/>
          <w:sz w:val="28"/>
          <w:szCs w:val="28"/>
        </w:rPr>
        <w:t xml:space="preserve"> </w:t>
      </w:r>
      <w:r w:rsidRPr="005E254B">
        <w:rPr>
          <w:rFonts w:ascii="Times New Roman" w:hAnsi="Times New Roman" w:cs="Times New Roman"/>
          <w:sz w:val="28"/>
          <w:szCs w:val="28"/>
        </w:rPr>
        <w:t xml:space="preserve">тыс. рублей исполнен в сумме </w:t>
      </w:r>
      <w:r w:rsidR="00FA0362">
        <w:rPr>
          <w:rFonts w:ascii="Times New Roman" w:hAnsi="Times New Roman" w:cs="Times New Roman"/>
          <w:sz w:val="28"/>
          <w:szCs w:val="28"/>
        </w:rPr>
        <w:t>5 262 810,3</w:t>
      </w:r>
      <w:r w:rsidR="008662DA" w:rsidRPr="005E254B">
        <w:rPr>
          <w:rFonts w:ascii="Times New Roman" w:hAnsi="Times New Roman" w:cs="Times New Roman"/>
          <w:sz w:val="28"/>
          <w:szCs w:val="28"/>
        </w:rPr>
        <w:t xml:space="preserve"> </w:t>
      </w:r>
      <w:r w:rsidRPr="005E254B">
        <w:rPr>
          <w:rFonts w:ascii="Times New Roman" w:hAnsi="Times New Roman" w:cs="Times New Roman"/>
          <w:sz w:val="28"/>
          <w:szCs w:val="28"/>
        </w:rPr>
        <w:t>тыс.</w:t>
      </w:r>
      <w:r w:rsidR="00A579DC" w:rsidRPr="005E254B">
        <w:rPr>
          <w:rFonts w:ascii="Times New Roman" w:hAnsi="Times New Roman" w:cs="Times New Roman"/>
          <w:sz w:val="28"/>
          <w:szCs w:val="28"/>
        </w:rPr>
        <w:t xml:space="preserve"> </w:t>
      </w:r>
      <w:r w:rsidRPr="005E254B">
        <w:rPr>
          <w:rFonts w:ascii="Times New Roman" w:hAnsi="Times New Roman" w:cs="Times New Roman"/>
          <w:sz w:val="28"/>
          <w:szCs w:val="28"/>
        </w:rPr>
        <w:t xml:space="preserve">рублей или на </w:t>
      </w:r>
      <w:r w:rsidR="00FA0362">
        <w:rPr>
          <w:rFonts w:ascii="Times New Roman" w:hAnsi="Times New Roman" w:cs="Times New Roman"/>
          <w:sz w:val="28"/>
          <w:szCs w:val="28"/>
        </w:rPr>
        <w:t>42</w:t>
      </w:r>
      <w:r w:rsidRPr="005E254B">
        <w:rPr>
          <w:rFonts w:ascii="Times New Roman" w:hAnsi="Times New Roman" w:cs="Times New Roman"/>
          <w:sz w:val="28"/>
          <w:szCs w:val="28"/>
        </w:rPr>
        <w:t>%.</w:t>
      </w:r>
    </w:p>
    <w:p w:rsidR="008532E2" w:rsidRPr="00F115B8" w:rsidRDefault="008532E2" w:rsidP="00F115B8">
      <w:pPr>
        <w:autoSpaceDE w:val="0"/>
        <w:autoSpaceDN w:val="0"/>
        <w:adjustRightInd w:val="0"/>
        <w:spacing w:after="0"/>
        <w:ind w:firstLine="851"/>
        <w:jc w:val="both"/>
        <w:rPr>
          <w:rFonts w:ascii="Times New Roman" w:hAnsi="Times New Roman" w:cs="Times New Roman"/>
          <w:sz w:val="28"/>
          <w:szCs w:val="28"/>
        </w:rPr>
      </w:pPr>
      <w:r w:rsidRPr="00F115B8">
        <w:rPr>
          <w:rFonts w:ascii="Times New Roman" w:hAnsi="Times New Roman" w:cs="Times New Roman"/>
          <w:sz w:val="28"/>
          <w:szCs w:val="28"/>
        </w:rPr>
        <w:t>Расходование средств бюджета города в 202</w:t>
      </w:r>
      <w:r w:rsidR="005E254B" w:rsidRPr="00F115B8">
        <w:rPr>
          <w:rFonts w:ascii="Times New Roman" w:hAnsi="Times New Roman" w:cs="Times New Roman"/>
          <w:sz w:val="28"/>
          <w:szCs w:val="28"/>
        </w:rPr>
        <w:t>2</w:t>
      </w:r>
      <w:r w:rsidRPr="00F115B8">
        <w:rPr>
          <w:rFonts w:ascii="Times New Roman" w:hAnsi="Times New Roman" w:cs="Times New Roman"/>
          <w:sz w:val="28"/>
          <w:szCs w:val="28"/>
        </w:rPr>
        <w:t xml:space="preserve"> году осуществляется                             </w:t>
      </w:r>
      <w:r w:rsidR="00FA0362" w:rsidRPr="00F115B8">
        <w:rPr>
          <w:rFonts w:ascii="Times New Roman" w:hAnsi="Times New Roman" w:cs="Times New Roman"/>
          <w:sz w:val="28"/>
          <w:szCs w:val="28"/>
        </w:rPr>
        <w:t>9</w:t>
      </w:r>
      <w:r w:rsidRPr="00F115B8">
        <w:rPr>
          <w:rFonts w:ascii="Times New Roman" w:hAnsi="Times New Roman" w:cs="Times New Roman"/>
          <w:sz w:val="28"/>
          <w:szCs w:val="28"/>
        </w:rPr>
        <w:t xml:space="preserve"> главными распорядителями средств бюджета города</w:t>
      </w:r>
      <w:r w:rsidR="005E254B" w:rsidRPr="00F115B8">
        <w:rPr>
          <w:rFonts w:ascii="Times New Roman" w:hAnsi="Times New Roman" w:cs="Times New Roman"/>
          <w:sz w:val="28"/>
          <w:szCs w:val="28"/>
        </w:rPr>
        <w:t>.</w:t>
      </w:r>
      <w:r w:rsidRPr="00F115B8">
        <w:rPr>
          <w:rFonts w:ascii="Times New Roman" w:hAnsi="Times New Roman" w:cs="Times New Roman"/>
          <w:sz w:val="28"/>
          <w:szCs w:val="28"/>
        </w:rPr>
        <w:t xml:space="preserve"> </w:t>
      </w:r>
    </w:p>
    <w:p w:rsidR="00F115B8" w:rsidRPr="00F115B8" w:rsidRDefault="00F115B8" w:rsidP="00F115B8">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к</w:t>
      </w:r>
      <w:r w:rsidRPr="00F115B8">
        <w:rPr>
          <w:rFonts w:ascii="Times New Roman" w:hAnsi="Times New Roman" w:cs="Times New Roman"/>
          <w:sz w:val="28"/>
          <w:szCs w:val="28"/>
        </w:rPr>
        <w:t>оличеств</w:t>
      </w:r>
      <w:r>
        <w:rPr>
          <w:rFonts w:ascii="Times New Roman" w:hAnsi="Times New Roman" w:cs="Times New Roman"/>
          <w:sz w:val="28"/>
          <w:szCs w:val="28"/>
        </w:rPr>
        <w:t>а</w:t>
      </w:r>
      <w:r w:rsidRPr="00F115B8">
        <w:rPr>
          <w:rFonts w:ascii="Times New Roman" w:hAnsi="Times New Roman" w:cs="Times New Roman"/>
          <w:sz w:val="28"/>
          <w:szCs w:val="28"/>
        </w:rPr>
        <w:t xml:space="preserve"> органов местного самоуправления </w:t>
      </w:r>
      <w:r>
        <w:rPr>
          <w:rFonts w:ascii="Times New Roman" w:hAnsi="Times New Roman" w:cs="Times New Roman"/>
          <w:sz w:val="28"/>
          <w:szCs w:val="28"/>
        </w:rPr>
        <w:t xml:space="preserve">произошло </w:t>
      </w:r>
      <w:r w:rsidRPr="00F115B8">
        <w:rPr>
          <w:rFonts w:ascii="Times New Roman" w:hAnsi="Times New Roman" w:cs="Times New Roman"/>
          <w:sz w:val="28"/>
          <w:szCs w:val="28"/>
        </w:rPr>
        <w:t>в связи с учреждением и регистрацией Счетной палаты города Ханты-Мансийска с правами юридического лица в форме муниципального казенного учреждения, в соответствии с Решением Думы города Ханты-Мансийска от 25.02.2022 № 58 -</w:t>
      </w:r>
      <w:r w:rsidRPr="00F115B8">
        <w:rPr>
          <w:rFonts w:ascii="Times New Roman" w:hAnsi="Times New Roman" w:cs="Times New Roman"/>
          <w:sz w:val="28"/>
          <w:szCs w:val="28"/>
          <w:lang w:val="en-US"/>
        </w:rPr>
        <w:t>VII</w:t>
      </w:r>
      <w:r w:rsidRPr="00F115B8">
        <w:rPr>
          <w:rFonts w:ascii="Times New Roman" w:hAnsi="Times New Roman" w:cs="Times New Roman"/>
          <w:sz w:val="28"/>
          <w:szCs w:val="28"/>
        </w:rPr>
        <w:t xml:space="preserve"> РД «О Счетной палате города Ханты-Мансийска».</w:t>
      </w:r>
    </w:p>
    <w:p w:rsidR="00F115B8" w:rsidRDefault="00F115B8" w:rsidP="008532E2">
      <w:pPr>
        <w:pStyle w:val="33"/>
        <w:ind w:firstLine="708"/>
        <w:jc w:val="center"/>
        <w:rPr>
          <w:b/>
          <w:snapToGrid w:val="0"/>
          <w:sz w:val="28"/>
          <w:szCs w:val="28"/>
        </w:rPr>
      </w:pPr>
    </w:p>
    <w:p w:rsidR="008532E2" w:rsidRPr="00286D04" w:rsidRDefault="008532E2" w:rsidP="008532E2">
      <w:pPr>
        <w:pStyle w:val="33"/>
        <w:ind w:firstLine="708"/>
        <w:jc w:val="center"/>
        <w:rPr>
          <w:sz w:val="20"/>
          <w:szCs w:val="20"/>
        </w:rPr>
      </w:pPr>
      <w:r w:rsidRPr="00A96C26">
        <w:rPr>
          <w:b/>
          <w:snapToGrid w:val="0"/>
          <w:sz w:val="28"/>
          <w:szCs w:val="28"/>
        </w:rPr>
        <w:t xml:space="preserve">Исполнение бюджета города Ханты-Мансийска по расходам в разрезе </w:t>
      </w:r>
      <w:r w:rsidRPr="00A96C26">
        <w:rPr>
          <w:b/>
          <w:sz w:val="28"/>
          <w:szCs w:val="28"/>
        </w:rPr>
        <w:t xml:space="preserve">главных распорядителей бюджетных средств за </w:t>
      </w:r>
      <w:r w:rsidR="006A70FF">
        <w:rPr>
          <w:b/>
          <w:sz w:val="28"/>
          <w:szCs w:val="28"/>
        </w:rPr>
        <w:t>полугодие</w:t>
      </w:r>
      <w:r w:rsidRPr="00A96C26">
        <w:rPr>
          <w:b/>
          <w:sz w:val="28"/>
          <w:szCs w:val="28"/>
        </w:rPr>
        <w:t xml:space="preserve"> 202</w:t>
      </w:r>
      <w:r>
        <w:rPr>
          <w:b/>
          <w:sz w:val="28"/>
          <w:szCs w:val="28"/>
        </w:rPr>
        <w:t>2</w:t>
      </w:r>
      <w:r w:rsidRPr="00A96C26">
        <w:rPr>
          <w:b/>
          <w:sz w:val="28"/>
          <w:szCs w:val="28"/>
        </w:rPr>
        <w:t xml:space="preserve"> года</w:t>
      </w:r>
    </w:p>
    <w:p w:rsidR="008532E2" w:rsidRPr="00286D04" w:rsidRDefault="008532E2" w:rsidP="008532E2">
      <w:pPr>
        <w:spacing w:after="0"/>
        <w:jc w:val="right"/>
        <w:rPr>
          <w:rFonts w:ascii="Times New Roman" w:hAnsi="Times New Roman" w:cs="Times New Roman"/>
          <w:sz w:val="20"/>
          <w:szCs w:val="20"/>
        </w:rPr>
      </w:pPr>
      <w:r w:rsidRPr="00286D04">
        <w:rPr>
          <w:rFonts w:ascii="Times New Roman" w:hAnsi="Times New Roman" w:cs="Times New Roman"/>
          <w:sz w:val="24"/>
          <w:szCs w:val="24"/>
        </w:rPr>
        <w:t>(тыс. рублей)</w:t>
      </w:r>
    </w:p>
    <w:tbl>
      <w:tblPr>
        <w:tblW w:w="9299" w:type="dxa"/>
        <w:tblInd w:w="113" w:type="dxa"/>
        <w:tblLook w:val="04A0" w:firstRow="1" w:lastRow="0" w:firstColumn="1" w:lastColumn="0" w:noHBand="0" w:noVBand="1"/>
      </w:tblPr>
      <w:tblGrid>
        <w:gridCol w:w="3114"/>
        <w:gridCol w:w="1577"/>
        <w:gridCol w:w="1664"/>
        <w:gridCol w:w="1522"/>
        <w:gridCol w:w="1422"/>
      </w:tblGrid>
      <w:tr w:rsidR="00FA0362" w:rsidRPr="00FA0362" w:rsidTr="003D39EB">
        <w:trPr>
          <w:trHeight w:val="435"/>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Наименование главного распорядителя бюджетных средств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 2021 года</w:t>
            </w:r>
          </w:p>
        </w:tc>
        <w:tc>
          <w:tcPr>
            <w:tcW w:w="4608" w:type="dxa"/>
            <w:gridSpan w:val="3"/>
            <w:tcBorders>
              <w:top w:val="single" w:sz="4" w:space="0" w:color="auto"/>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2022 год</w:t>
            </w:r>
          </w:p>
        </w:tc>
      </w:tr>
      <w:tr w:rsidR="00FA0362" w:rsidRPr="00FA0362" w:rsidTr="003D39EB">
        <w:trPr>
          <w:trHeight w:val="1215"/>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color w:val="000000"/>
                <w:sz w:val="24"/>
                <w:szCs w:val="24"/>
              </w:rPr>
            </w:pP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Уточненный план на год</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Процент исполнения</w:t>
            </w:r>
          </w:p>
        </w:tc>
      </w:tr>
      <w:tr w:rsidR="00FA0362" w:rsidRPr="00FA0362" w:rsidTr="003D39EB">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Дума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21 902,2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39 389,7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23 046,9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58,5%</w:t>
            </w:r>
          </w:p>
        </w:tc>
      </w:tr>
      <w:tr w:rsidR="00FA0362" w:rsidRPr="00FA0362" w:rsidTr="003D39EB">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Счетная палата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7 059,9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769,5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10,9%</w:t>
            </w:r>
          </w:p>
        </w:tc>
      </w:tr>
      <w:tr w:rsidR="00FA0362" w:rsidRPr="00FA0362" w:rsidTr="003D39EB">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Администрация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732 506,9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1 711 130,1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797 689,4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46,6%</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40 875,9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132 916,6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38 024,4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28,6%</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158 567,5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633 894,6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152 177,3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24,0%</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образования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2 605 634,8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5 226 686,3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2 791 342,1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53,4%</w:t>
            </w:r>
          </w:p>
        </w:tc>
      </w:tr>
      <w:tr w:rsidR="00FA0362" w:rsidRPr="00FA0362" w:rsidTr="003D39EB">
        <w:trPr>
          <w:trHeight w:val="12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Управление по физической культуре, спорту, молодежной политике и туризму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126 292,1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377 635,1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171 289,7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45,4%</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680 145,4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1 435 523,5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864 384,5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60,2%</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491 525,3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3 006 237,6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424 086,5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14,1%</w:t>
            </w:r>
          </w:p>
        </w:tc>
      </w:tr>
      <w:tr w:rsidR="00FA0362" w:rsidRPr="00FA0362" w:rsidTr="003D39EB">
        <w:trPr>
          <w:trHeight w:val="40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Всего расходов</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4 857 450,1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12 570 473,4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5 262 810,3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41,9%</w:t>
            </w:r>
          </w:p>
        </w:tc>
      </w:tr>
    </w:tbl>
    <w:p w:rsidR="008532E2" w:rsidRDefault="008532E2" w:rsidP="008532E2">
      <w:pPr>
        <w:spacing w:after="0" w:line="360" w:lineRule="auto"/>
        <w:ind w:firstLine="567"/>
        <w:jc w:val="both"/>
        <w:rPr>
          <w:rFonts w:ascii="Times New Roman" w:eastAsia="Calibri" w:hAnsi="Times New Roman" w:cs="Times New Roman"/>
          <w:sz w:val="28"/>
          <w:szCs w:val="28"/>
        </w:rPr>
      </w:pPr>
    </w:p>
    <w:p w:rsidR="008532E2" w:rsidRDefault="008532E2" w:rsidP="008532E2">
      <w:pPr>
        <w:spacing w:after="0" w:line="360" w:lineRule="auto"/>
        <w:ind w:firstLine="567"/>
        <w:jc w:val="both"/>
        <w:rPr>
          <w:rFonts w:ascii="Times New Roman" w:eastAsia="Times New Roman" w:hAnsi="Times New Roman" w:cs="Times New Roman"/>
          <w:sz w:val="28"/>
          <w:szCs w:val="28"/>
        </w:rPr>
      </w:pPr>
      <w:r w:rsidRPr="00940F4A">
        <w:rPr>
          <w:rFonts w:ascii="Times New Roman" w:eastAsia="Calibri" w:hAnsi="Times New Roman" w:cs="Times New Roman"/>
          <w:sz w:val="28"/>
          <w:szCs w:val="28"/>
        </w:rPr>
        <w:t>С целью повышения эффективности и результативности бюджетных расходов,</w:t>
      </w:r>
      <w:r w:rsidRPr="00940F4A">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8532E2" w:rsidRPr="00940F4A"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940F4A">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w:t>
      </w:r>
      <w:r>
        <w:rPr>
          <w:rFonts w:ascii="Times New Roman" w:hAnsi="Times New Roman" w:cs="Times New Roman"/>
          <w:b/>
          <w:sz w:val="28"/>
          <w:szCs w:val="28"/>
        </w:rPr>
        <w:t xml:space="preserve">за </w:t>
      </w:r>
      <w:r w:rsidR="006A70FF">
        <w:rPr>
          <w:rFonts w:ascii="Times New Roman" w:hAnsi="Times New Roman" w:cs="Times New Roman"/>
          <w:b/>
          <w:sz w:val="28"/>
          <w:szCs w:val="28"/>
        </w:rPr>
        <w:t xml:space="preserve">полугодие </w:t>
      </w:r>
      <w:r>
        <w:rPr>
          <w:rFonts w:ascii="Times New Roman" w:hAnsi="Times New Roman" w:cs="Times New Roman"/>
          <w:b/>
          <w:sz w:val="28"/>
          <w:szCs w:val="28"/>
        </w:rPr>
        <w:t>2022</w:t>
      </w:r>
      <w:r w:rsidRPr="00940F4A">
        <w:rPr>
          <w:rFonts w:ascii="Times New Roman" w:hAnsi="Times New Roman" w:cs="Times New Roman"/>
          <w:b/>
          <w:sz w:val="28"/>
          <w:szCs w:val="28"/>
        </w:rPr>
        <w:t xml:space="preserve"> год</w:t>
      </w:r>
      <w:r>
        <w:rPr>
          <w:rFonts w:ascii="Times New Roman" w:hAnsi="Times New Roman" w:cs="Times New Roman"/>
          <w:b/>
          <w:sz w:val="28"/>
          <w:szCs w:val="28"/>
        </w:rPr>
        <w:t>а</w:t>
      </w:r>
    </w:p>
    <w:p w:rsidR="008532E2" w:rsidRPr="00940F4A"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86D04">
        <w:rPr>
          <w:rFonts w:ascii="Times New Roman" w:hAnsi="Times New Roman" w:cs="Times New Roman"/>
          <w:sz w:val="24"/>
          <w:szCs w:val="24"/>
        </w:rPr>
        <w:t>(тыс. рублей)</w:t>
      </w:r>
    </w:p>
    <w:tbl>
      <w:tblPr>
        <w:tblW w:w="9214" w:type="dxa"/>
        <w:tblInd w:w="113" w:type="dxa"/>
        <w:tblLook w:val="04A0" w:firstRow="1" w:lastRow="0" w:firstColumn="1" w:lastColumn="0" w:noHBand="0" w:noVBand="1"/>
      </w:tblPr>
      <w:tblGrid>
        <w:gridCol w:w="3256"/>
        <w:gridCol w:w="1559"/>
        <w:gridCol w:w="1559"/>
        <w:gridCol w:w="1418"/>
        <w:gridCol w:w="1422"/>
      </w:tblGrid>
      <w:tr w:rsidR="00FA0362" w:rsidRPr="00FA0362" w:rsidTr="003D39EB">
        <w:trPr>
          <w:trHeight w:val="375"/>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 2021 года</w:t>
            </w:r>
          </w:p>
        </w:tc>
        <w:tc>
          <w:tcPr>
            <w:tcW w:w="4399" w:type="dxa"/>
            <w:gridSpan w:val="3"/>
            <w:tcBorders>
              <w:top w:val="single" w:sz="4" w:space="0" w:color="auto"/>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2022 год</w:t>
            </w:r>
          </w:p>
        </w:tc>
      </w:tr>
      <w:tr w:rsidR="00FA0362" w:rsidRPr="00FA0362" w:rsidTr="003D39EB">
        <w:trPr>
          <w:trHeight w:val="825"/>
        </w:trPr>
        <w:tc>
          <w:tcPr>
            <w:tcW w:w="3256" w:type="dxa"/>
            <w:vMerge/>
            <w:tcBorders>
              <w:top w:val="single" w:sz="4" w:space="0" w:color="auto"/>
              <w:left w:val="single" w:sz="4" w:space="0" w:color="auto"/>
              <w:bottom w:val="single" w:sz="4" w:space="0" w:color="000000"/>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Уточненный план на год</w:t>
            </w:r>
          </w:p>
        </w:tc>
        <w:tc>
          <w:tcPr>
            <w:tcW w:w="1418"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Процент исполнения</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социальной сфере (7 программ)</w:t>
            </w: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3 273 796,7 </w:t>
            </w: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9 216 484,0 </w:t>
            </w:r>
          </w:p>
        </w:tc>
        <w:tc>
          <w:tcPr>
            <w:tcW w:w="1418"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3 465 750,5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37,6%</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"Доступная среда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235,1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2 509,6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826,9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32,9%</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109 677,7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352 536,0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158 032,3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44,8%</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106 728,4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248 363,6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117 589,5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47,3%</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2 871 058,6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7 077 135,7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2 820 819,8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39,9%</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16 337,3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436 472,0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75 280,3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17,2%</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"Молодежь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16 154,5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658 538,8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114 687,0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17,4%</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153 605,1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440 928,3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178 514,7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40,5%</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сфере жилищно-коммунального хозяйства (2 программы)</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368 772,5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962 259,1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475 387,9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49,4%</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23 524,0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14 347,9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3 851,2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26,8%</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жилищного и дорожного хозяйства, благоустройство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345 248,5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947 911,2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471 536,7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49,7%</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сфере развития отраслей экономики (7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795 757,8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1 384 721,6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865 678,6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62,5%</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309 684,3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454 545,5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308 832,3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67,9%</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203 352,6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508 624,3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364 733,4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71,7%</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2 144,8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3 097,2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0,0%</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193 534,9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151 636,4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80 533,3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53,1%</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"Обеспечение градостроительной деятельности на территории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75 029,4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162 105,2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81 670,9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50,4%</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"Проектирование и строительство инженерных сетей на территории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28 053,2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0,0%</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12 011,8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76 659,8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29 908,7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39,0%</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иных сферах (4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419 123,1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1 007 008,6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455 993,3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45,3%</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4 496,8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52 895,9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6 066,1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11,5%</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62 778,1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179 366,2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61 840,7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34,5%</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64 753,8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160 084,7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90 553,0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56,6%</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287 094,4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614 661,8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297 533,5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48,4%</w:t>
            </w:r>
          </w:p>
        </w:tc>
      </w:tr>
      <w:tr w:rsidR="00FA0362" w:rsidRPr="00FA0362" w:rsidTr="003D39EB">
        <w:trPr>
          <w:trHeight w:val="5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4 857 450,1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12 570 473,3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5 262 810,3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41,9%</w:t>
            </w:r>
          </w:p>
        </w:tc>
      </w:tr>
    </w:tbl>
    <w:p w:rsidR="00A43DA5" w:rsidRDefault="00A43DA5" w:rsidP="008532E2">
      <w:pPr>
        <w:spacing w:after="0" w:line="360" w:lineRule="auto"/>
        <w:ind w:right="-1" w:firstLine="709"/>
        <w:jc w:val="both"/>
        <w:rPr>
          <w:rFonts w:ascii="Times New Roman" w:hAnsi="Times New Roman" w:cs="Times New Roman"/>
          <w:sz w:val="28"/>
          <w:szCs w:val="28"/>
        </w:rPr>
      </w:pPr>
    </w:p>
    <w:p w:rsidR="008532E2" w:rsidRPr="006670EA" w:rsidRDefault="0074411C" w:rsidP="00853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И</w:t>
      </w:r>
      <w:r w:rsidR="008532E2" w:rsidRPr="000C7356">
        <w:rPr>
          <w:rFonts w:ascii="Times New Roman" w:hAnsi="Times New Roman" w:cs="Times New Roman"/>
          <w:sz w:val="28"/>
          <w:szCs w:val="28"/>
        </w:rPr>
        <w:t>сполнени</w:t>
      </w:r>
      <w:r>
        <w:rPr>
          <w:rFonts w:ascii="Times New Roman" w:hAnsi="Times New Roman" w:cs="Times New Roman"/>
          <w:sz w:val="28"/>
          <w:szCs w:val="28"/>
        </w:rPr>
        <w:t>е</w:t>
      </w:r>
      <w:r w:rsidR="008532E2" w:rsidRPr="000C7356">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w:t>
      </w:r>
      <w:r w:rsidR="008532E2" w:rsidRPr="006670EA">
        <w:rPr>
          <w:rFonts w:ascii="Times New Roman" w:hAnsi="Times New Roman" w:cs="Times New Roman"/>
          <w:sz w:val="28"/>
          <w:szCs w:val="28"/>
        </w:rPr>
        <w:t>представлен</w:t>
      </w:r>
      <w:r>
        <w:rPr>
          <w:rFonts w:ascii="Times New Roman" w:hAnsi="Times New Roman" w:cs="Times New Roman"/>
          <w:sz w:val="28"/>
          <w:szCs w:val="28"/>
        </w:rPr>
        <w:t>о</w:t>
      </w:r>
      <w:r w:rsidR="008532E2" w:rsidRPr="006670EA">
        <w:rPr>
          <w:rFonts w:ascii="Times New Roman" w:hAnsi="Times New Roman" w:cs="Times New Roman"/>
          <w:sz w:val="28"/>
          <w:szCs w:val="28"/>
        </w:rPr>
        <w:t xml:space="preserve"> в приложении</w:t>
      </w:r>
      <w:r w:rsidR="00757BEA">
        <w:rPr>
          <w:rFonts w:ascii="Times New Roman" w:hAnsi="Times New Roman" w:cs="Times New Roman"/>
          <w:sz w:val="28"/>
          <w:szCs w:val="28"/>
        </w:rPr>
        <w:t xml:space="preserve"> 1</w:t>
      </w:r>
      <w:r w:rsidR="008532E2" w:rsidRPr="006670EA">
        <w:rPr>
          <w:rFonts w:ascii="Times New Roman" w:hAnsi="Times New Roman" w:cs="Times New Roman"/>
          <w:sz w:val="28"/>
          <w:szCs w:val="28"/>
        </w:rPr>
        <w:t xml:space="preserve"> к пояснительной записке.</w:t>
      </w:r>
    </w:p>
    <w:p w:rsidR="008532E2" w:rsidRPr="00523326" w:rsidRDefault="008532E2" w:rsidP="008532E2">
      <w:pPr>
        <w:spacing w:after="0" w:line="360" w:lineRule="auto"/>
        <w:ind w:firstLine="708"/>
        <w:jc w:val="both"/>
        <w:rPr>
          <w:rFonts w:ascii="Times New Roman" w:eastAsia="Calibri" w:hAnsi="Times New Roman" w:cs="Times New Roman"/>
          <w:sz w:val="28"/>
          <w:szCs w:val="28"/>
          <w:lang w:eastAsia="en-US"/>
        </w:rPr>
      </w:pPr>
      <w:r w:rsidRPr="006670EA">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6A70FF">
        <w:rPr>
          <w:rFonts w:ascii="Times New Roman" w:eastAsia="Calibri" w:hAnsi="Times New Roman" w:cs="Times New Roman"/>
          <w:sz w:val="28"/>
          <w:szCs w:val="28"/>
          <w:lang w:eastAsia="en-US"/>
        </w:rPr>
        <w:t xml:space="preserve">полугодие </w:t>
      </w:r>
      <w:r w:rsidRPr="006670EA">
        <w:rPr>
          <w:rFonts w:ascii="Times New Roman" w:eastAsia="Calibri" w:hAnsi="Times New Roman" w:cs="Times New Roman"/>
          <w:sz w:val="28"/>
          <w:szCs w:val="28"/>
          <w:lang w:eastAsia="en-US"/>
        </w:rPr>
        <w:t xml:space="preserve">2022 года составляет </w:t>
      </w:r>
      <w:r w:rsidR="003F302B">
        <w:rPr>
          <w:rFonts w:ascii="Times New Roman" w:eastAsia="Calibri" w:hAnsi="Times New Roman" w:cs="Times New Roman"/>
          <w:sz w:val="28"/>
          <w:szCs w:val="28"/>
          <w:lang w:eastAsia="en-US"/>
        </w:rPr>
        <w:t>65,9</w:t>
      </w:r>
      <w:r w:rsidRPr="006670EA">
        <w:rPr>
          <w:rFonts w:ascii="Times New Roman" w:eastAsia="Calibri" w:hAnsi="Times New Roman" w:cs="Times New Roman"/>
          <w:sz w:val="28"/>
          <w:szCs w:val="28"/>
          <w:lang w:eastAsia="en-US"/>
        </w:rPr>
        <w:t>% от структуры программных расходов бюджета города, или</w:t>
      </w:r>
      <w:r w:rsidR="006670EA" w:rsidRPr="006670EA">
        <w:rPr>
          <w:rFonts w:ascii="Times New Roman" w:eastAsia="Calibri" w:hAnsi="Times New Roman" w:cs="Times New Roman"/>
          <w:sz w:val="28"/>
          <w:szCs w:val="28"/>
          <w:lang w:eastAsia="en-US"/>
        </w:rPr>
        <w:t xml:space="preserve"> </w:t>
      </w:r>
      <w:r w:rsidR="003F302B">
        <w:rPr>
          <w:rFonts w:ascii="Times New Roman" w:eastAsia="Calibri" w:hAnsi="Times New Roman" w:cs="Times New Roman"/>
          <w:sz w:val="28"/>
          <w:szCs w:val="28"/>
          <w:lang w:eastAsia="en-US"/>
        </w:rPr>
        <w:t>3</w:t>
      </w:r>
      <w:r w:rsidR="0017042A">
        <w:rPr>
          <w:rFonts w:ascii="Times New Roman" w:eastAsia="Calibri" w:hAnsi="Times New Roman" w:cs="Times New Roman"/>
          <w:sz w:val="28"/>
          <w:szCs w:val="28"/>
          <w:lang w:eastAsia="en-US"/>
        </w:rPr>
        <w:t> </w:t>
      </w:r>
      <w:r w:rsidR="003F302B">
        <w:rPr>
          <w:rFonts w:ascii="Times New Roman" w:eastAsia="Calibri" w:hAnsi="Times New Roman" w:cs="Times New Roman"/>
          <w:sz w:val="28"/>
          <w:szCs w:val="28"/>
          <w:lang w:eastAsia="en-US"/>
        </w:rPr>
        <w:t>465</w:t>
      </w:r>
      <w:r w:rsidR="0017042A">
        <w:rPr>
          <w:rFonts w:ascii="Times New Roman" w:eastAsia="Calibri" w:hAnsi="Times New Roman" w:cs="Times New Roman"/>
          <w:sz w:val="28"/>
          <w:szCs w:val="28"/>
          <w:lang w:eastAsia="en-US"/>
        </w:rPr>
        <w:t> </w:t>
      </w:r>
      <w:r w:rsidR="00D6294B">
        <w:rPr>
          <w:rFonts w:ascii="Times New Roman" w:eastAsia="Calibri" w:hAnsi="Times New Roman" w:cs="Times New Roman"/>
          <w:sz w:val="28"/>
          <w:szCs w:val="28"/>
          <w:lang w:eastAsia="en-US"/>
        </w:rPr>
        <w:t>7</w:t>
      </w:r>
      <w:r w:rsidR="0017042A">
        <w:rPr>
          <w:rFonts w:ascii="Times New Roman" w:eastAsia="Calibri" w:hAnsi="Times New Roman" w:cs="Times New Roman"/>
          <w:sz w:val="28"/>
          <w:szCs w:val="28"/>
          <w:lang w:eastAsia="en-US"/>
        </w:rPr>
        <w:t>50,5</w:t>
      </w:r>
      <w:r w:rsidRPr="006670EA">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составили </w:t>
      </w:r>
      <w:r w:rsidR="003F302B">
        <w:rPr>
          <w:rFonts w:ascii="Times New Roman" w:eastAsia="Calibri" w:hAnsi="Times New Roman" w:cs="Times New Roman"/>
          <w:sz w:val="28"/>
          <w:szCs w:val="28"/>
          <w:lang w:eastAsia="en-US"/>
        </w:rPr>
        <w:t>865</w:t>
      </w:r>
      <w:r w:rsidR="0017042A">
        <w:rPr>
          <w:rFonts w:ascii="Times New Roman" w:eastAsia="Calibri" w:hAnsi="Times New Roman" w:cs="Times New Roman"/>
          <w:sz w:val="28"/>
          <w:szCs w:val="28"/>
          <w:lang w:eastAsia="en-US"/>
        </w:rPr>
        <w:t> 678,6</w:t>
      </w:r>
      <w:r w:rsidRPr="006670EA">
        <w:rPr>
          <w:rFonts w:ascii="Times New Roman" w:eastAsia="Calibri" w:hAnsi="Times New Roman" w:cs="Times New Roman"/>
          <w:sz w:val="28"/>
          <w:szCs w:val="28"/>
          <w:lang w:eastAsia="en-US"/>
        </w:rPr>
        <w:t xml:space="preserve"> тыс. рублей или </w:t>
      </w:r>
      <w:r w:rsidR="003F302B">
        <w:rPr>
          <w:rFonts w:ascii="Times New Roman" w:eastAsia="Calibri" w:hAnsi="Times New Roman" w:cs="Times New Roman"/>
          <w:sz w:val="28"/>
          <w:szCs w:val="28"/>
          <w:lang w:eastAsia="en-US"/>
        </w:rPr>
        <w:t>16,4</w:t>
      </w:r>
      <w:r w:rsidRPr="006670EA">
        <w:rPr>
          <w:rFonts w:ascii="Times New Roman" w:eastAsia="Calibri" w:hAnsi="Times New Roman" w:cs="Times New Roman"/>
          <w:sz w:val="28"/>
          <w:szCs w:val="28"/>
          <w:lang w:eastAsia="en-US"/>
        </w:rPr>
        <w:t xml:space="preserve">% в структуре программных расходов. На реализацию программ в жилищно-коммунальной сфере направлено </w:t>
      </w:r>
      <w:r w:rsidR="003F302B">
        <w:rPr>
          <w:rFonts w:ascii="Times New Roman" w:eastAsia="Calibri" w:hAnsi="Times New Roman" w:cs="Times New Roman"/>
          <w:sz w:val="28"/>
          <w:szCs w:val="28"/>
          <w:lang w:eastAsia="en-US"/>
        </w:rPr>
        <w:t>475</w:t>
      </w:r>
      <w:r w:rsidR="0017042A">
        <w:rPr>
          <w:rFonts w:ascii="Times New Roman" w:eastAsia="Calibri" w:hAnsi="Times New Roman" w:cs="Times New Roman"/>
          <w:sz w:val="28"/>
          <w:szCs w:val="28"/>
          <w:lang w:eastAsia="en-US"/>
        </w:rPr>
        <w:t> 387,9</w:t>
      </w:r>
      <w:r w:rsidRPr="006670EA">
        <w:rPr>
          <w:rFonts w:ascii="Times New Roman" w:eastAsia="Calibri" w:hAnsi="Times New Roman" w:cs="Times New Roman"/>
          <w:sz w:val="28"/>
          <w:szCs w:val="28"/>
          <w:lang w:eastAsia="en-US"/>
        </w:rPr>
        <w:t xml:space="preserve"> тыс. рублей или </w:t>
      </w:r>
      <w:r w:rsidR="003F302B">
        <w:rPr>
          <w:rFonts w:ascii="Times New Roman" w:eastAsia="Calibri" w:hAnsi="Times New Roman" w:cs="Times New Roman"/>
          <w:sz w:val="28"/>
          <w:szCs w:val="28"/>
          <w:lang w:eastAsia="en-US"/>
        </w:rPr>
        <w:t>9</w:t>
      </w:r>
      <w:r w:rsidRPr="006670EA">
        <w:rPr>
          <w:rFonts w:ascii="Times New Roman" w:eastAsia="Calibri" w:hAnsi="Times New Roman" w:cs="Times New Roman"/>
          <w:sz w:val="28"/>
          <w:szCs w:val="28"/>
          <w:lang w:eastAsia="en-US"/>
        </w:rPr>
        <w:t xml:space="preserve">% в структуре программных расходов.  Расходы на реализацию </w:t>
      </w:r>
      <w:r w:rsidRPr="00523326">
        <w:rPr>
          <w:rFonts w:ascii="Times New Roman" w:eastAsia="Calibri" w:hAnsi="Times New Roman" w:cs="Times New Roman"/>
          <w:sz w:val="28"/>
          <w:szCs w:val="28"/>
          <w:lang w:eastAsia="en-US"/>
        </w:rPr>
        <w:t xml:space="preserve">программных мероприятий в иных сферах занимают </w:t>
      </w:r>
      <w:r w:rsidR="003F302B">
        <w:rPr>
          <w:rFonts w:ascii="Times New Roman" w:eastAsia="Calibri" w:hAnsi="Times New Roman" w:cs="Times New Roman"/>
          <w:sz w:val="28"/>
          <w:szCs w:val="28"/>
          <w:lang w:eastAsia="en-US"/>
        </w:rPr>
        <w:t>8,7</w:t>
      </w:r>
      <w:r w:rsidRPr="00523326">
        <w:rPr>
          <w:rFonts w:ascii="Times New Roman" w:eastAsia="Calibri" w:hAnsi="Times New Roman" w:cs="Times New Roman"/>
          <w:sz w:val="28"/>
          <w:szCs w:val="28"/>
          <w:lang w:eastAsia="en-US"/>
        </w:rPr>
        <w:t xml:space="preserve">% в структуре программных расходов или </w:t>
      </w:r>
      <w:r w:rsidR="003F302B">
        <w:rPr>
          <w:rFonts w:ascii="Times New Roman" w:eastAsia="Calibri" w:hAnsi="Times New Roman" w:cs="Times New Roman"/>
          <w:sz w:val="28"/>
          <w:szCs w:val="28"/>
          <w:lang w:eastAsia="en-US"/>
        </w:rPr>
        <w:t>45</w:t>
      </w:r>
      <w:r w:rsidR="0017042A">
        <w:rPr>
          <w:rFonts w:ascii="Times New Roman" w:eastAsia="Calibri" w:hAnsi="Times New Roman" w:cs="Times New Roman"/>
          <w:sz w:val="28"/>
          <w:szCs w:val="28"/>
          <w:lang w:eastAsia="en-US"/>
        </w:rPr>
        <w:t>5 993,9</w:t>
      </w:r>
      <w:r w:rsidRPr="00523326">
        <w:rPr>
          <w:rFonts w:ascii="Times New Roman" w:eastAsia="Calibri" w:hAnsi="Times New Roman" w:cs="Times New Roman"/>
          <w:sz w:val="28"/>
          <w:szCs w:val="28"/>
          <w:lang w:eastAsia="en-US"/>
        </w:rPr>
        <w:t xml:space="preserve"> тыс. рублей.</w:t>
      </w:r>
    </w:p>
    <w:p w:rsidR="008532E2" w:rsidRPr="00523326" w:rsidRDefault="008532E2" w:rsidP="008532E2">
      <w:pPr>
        <w:spacing w:after="0" w:line="360" w:lineRule="auto"/>
        <w:ind w:firstLine="708"/>
        <w:jc w:val="both"/>
        <w:rPr>
          <w:rFonts w:ascii="Times New Roman" w:eastAsia="Calibri" w:hAnsi="Times New Roman" w:cs="Times New Roman"/>
          <w:sz w:val="28"/>
          <w:szCs w:val="28"/>
          <w:lang w:eastAsia="en-US"/>
        </w:rPr>
      </w:pPr>
    </w:p>
    <w:p w:rsidR="008532E2" w:rsidRPr="00523326" w:rsidRDefault="008532E2" w:rsidP="008532E2">
      <w:pPr>
        <w:pStyle w:val="33"/>
        <w:spacing w:after="0" w:line="360" w:lineRule="auto"/>
        <w:jc w:val="center"/>
        <w:rPr>
          <w:b/>
          <w:sz w:val="28"/>
          <w:szCs w:val="28"/>
        </w:rPr>
      </w:pPr>
      <w:r w:rsidRPr="003F302B">
        <w:rPr>
          <w:b/>
          <w:sz w:val="28"/>
          <w:szCs w:val="28"/>
        </w:rPr>
        <w:t xml:space="preserve">Структура расходной части бюджета города Ханты-Мансийска за </w:t>
      </w:r>
      <w:r w:rsidR="006A70FF" w:rsidRPr="003F302B">
        <w:rPr>
          <w:b/>
          <w:sz w:val="28"/>
          <w:szCs w:val="28"/>
        </w:rPr>
        <w:t>полугодие</w:t>
      </w:r>
      <w:r w:rsidRPr="003F302B">
        <w:rPr>
          <w:b/>
          <w:sz w:val="28"/>
          <w:szCs w:val="28"/>
        </w:rPr>
        <w:t xml:space="preserve"> 2022 года</w:t>
      </w:r>
    </w:p>
    <w:p w:rsidR="008532E2" w:rsidRPr="00523326" w:rsidRDefault="008532E2" w:rsidP="008532E2">
      <w:pPr>
        <w:pStyle w:val="33"/>
        <w:jc w:val="center"/>
        <w:rPr>
          <w:sz w:val="28"/>
          <w:szCs w:val="28"/>
        </w:rPr>
      </w:pPr>
      <w:r w:rsidRPr="00523326">
        <w:rPr>
          <w:noProof/>
          <w:sz w:val="28"/>
          <w:szCs w:val="28"/>
        </w:rPr>
        <w:drawing>
          <wp:inline distT="0" distB="0" distL="0" distR="0" wp14:anchorId="4FDA6FA1" wp14:editId="09F958A5">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523326" w:rsidRDefault="008532E2" w:rsidP="008532E2">
      <w:pPr>
        <w:spacing w:after="0"/>
        <w:jc w:val="right"/>
        <w:rPr>
          <w:rFonts w:ascii="Times New Roman" w:hAnsi="Times New Roman" w:cs="Times New Roman"/>
          <w:sz w:val="28"/>
          <w:szCs w:val="28"/>
        </w:rPr>
      </w:pPr>
    </w:p>
    <w:p w:rsidR="008532E2" w:rsidRPr="00757BEA" w:rsidRDefault="008532E2" w:rsidP="00757BEA">
      <w:pPr>
        <w:spacing w:after="0" w:line="360" w:lineRule="auto"/>
        <w:ind w:firstLine="709"/>
        <w:jc w:val="both"/>
        <w:rPr>
          <w:rFonts w:ascii="Times New Roman" w:eastAsia="Courier New" w:hAnsi="Times New Roman" w:cs="Times New Roman"/>
          <w:color w:val="000000"/>
          <w:sz w:val="28"/>
          <w:szCs w:val="28"/>
        </w:rPr>
      </w:pPr>
      <w:r w:rsidRPr="00523326">
        <w:rPr>
          <w:rFonts w:ascii="Times New Roman" w:eastAsia="Courier New" w:hAnsi="Times New Roman" w:cs="Times New Roman"/>
          <w:color w:val="000000"/>
          <w:sz w:val="28"/>
          <w:szCs w:val="28"/>
        </w:rPr>
        <w:t xml:space="preserve">На реализацию </w:t>
      </w:r>
      <w:r w:rsidR="004554C1" w:rsidRPr="00523326">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523326">
        <w:rPr>
          <w:rFonts w:ascii="Times New Roman" w:eastAsia="Courier New" w:hAnsi="Times New Roman" w:cs="Times New Roman"/>
          <w:color w:val="000000"/>
          <w:sz w:val="28"/>
          <w:szCs w:val="28"/>
        </w:rPr>
        <w:t>национальных</w:t>
      </w:r>
      <w:r w:rsidR="004554C1" w:rsidRPr="00523326">
        <w:rPr>
          <w:rFonts w:ascii="Times New Roman" w:eastAsia="Courier New" w:hAnsi="Times New Roman" w:cs="Times New Roman"/>
          <w:color w:val="000000"/>
          <w:sz w:val="28"/>
          <w:szCs w:val="28"/>
        </w:rPr>
        <w:t xml:space="preserve"> (федеральных)</w:t>
      </w:r>
      <w:r w:rsidRPr="00523326">
        <w:rPr>
          <w:rFonts w:ascii="Times New Roman" w:eastAsia="Courier New" w:hAnsi="Times New Roman" w:cs="Times New Roman"/>
          <w:color w:val="000000"/>
          <w:sz w:val="28"/>
          <w:szCs w:val="28"/>
        </w:rPr>
        <w:t xml:space="preserve"> проектов в 2022 году направлены средства в сумме </w:t>
      </w:r>
      <w:r w:rsidR="008B2417">
        <w:rPr>
          <w:rFonts w:ascii="Times New Roman" w:eastAsia="Courier New" w:hAnsi="Times New Roman" w:cs="Times New Roman"/>
          <w:color w:val="000000"/>
          <w:sz w:val="28"/>
          <w:szCs w:val="28"/>
        </w:rPr>
        <w:t>1 972 198,6</w:t>
      </w:r>
      <w:r w:rsidRPr="00523326">
        <w:rPr>
          <w:rFonts w:ascii="Times New Roman" w:eastAsia="Courier New" w:hAnsi="Times New Roman" w:cs="Times New Roman"/>
          <w:color w:val="000000"/>
          <w:sz w:val="28"/>
          <w:szCs w:val="28"/>
        </w:rPr>
        <w:t xml:space="preserve"> тыс. рублей, из них средства местного бюджета – </w:t>
      </w:r>
      <w:r w:rsidR="008B2417">
        <w:rPr>
          <w:rFonts w:ascii="Times New Roman" w:eastAsia="Courier New" w:hAnsi="Times New Roman" w:cs="Times New Roman"/>
          <w:color w:val="000000"/>
          <w:sz w:val="28"/>
          <w:szCs w:val="28"/>
        </w:rPr>
        <w:t xml:space="preserve">211 108,0 </w:t>
      </w:r>
      <w:r w:rsidRPr="00523326">
        <w:rPr>
          <w:rFonts w:ascii="Times New Roman" w:eastAsia="Courier New" w:hAnsi="Times New Roman" w:cs="Times New Roman"/>
          <w:color w:val="000000"/>
          <w:sz w:val="28"/>
          <w:szCs w:val="28"/>
        </w:rPr>
        <w:t xml:space="preserve">тыс. рублей, </w:t>
      </w:r>
      <w:r w:rsidR="007C7D87">
        <w:rPr>
          <w:rFonts w:ascii="Times New Roman" w:eastAsia="Courier New" w:hAnsi="Times New Roman" w:cs="Times New Roman"/>
          <w:color w:val="000000"/>
          <w:sz w:val="28"/>
          <w:szCs w:val="28"/>
        </w:rPr>
        <w:t>ц</w:t>
      </w:r>
      <w:r w:rsidR="007C7D87" w:rsidRPr="007C7D87">
        <w:rPr>
          <w:rFonts w:ascii="Times New Roman" w:eastAsia="Courier New" w:hAnsi="Times New Roman" w:cs="Times New Roman"/>
          <w:color w:val="000000"/>
          <w:sz w:val="28"/>
          <w:szCs w:val="28"/>
        </w:rPr>
        <w:t>елевы</w:t>
      </w:r>
      <w:r w:rsidR="007C7D87">
        <w:rPr>
          <w:rFonts w:ascii="Times New Roman" w:eastAsia="Courier New" w:hAnsi="Times New Roman" w:cs="Times New Roman"/>
          <w:color w:val="000000"/>
          <w:sz w:val="28"/>
          <w:szCs w:val="28"/>
        </w:rPr>
        <w:t>е межбюджетные</w:t>
      </w:r>
      <w:r w:rsidR="007C7D87" w:rsidRPr="007C7D87">
        <w:rPr>
          <w:rFonts w:ascii="Times New Roman" w:eastAsia="Courier New" w:hAnsi="Times New Roman" w:cs="Times New Roman"/>
          <w:color w:val="000000"/>
          <w:sz w:val="28"/>
          <w:szCs w:val="28"/>
        </w:rPr>
        <w:t xml:space="preserve"> трансферт</w:t>
      </w:r>
      <w:r w:rsidR="007C7D87">
        <w:rPr>
          <w:rFonts w:ascii="Times New Roman" w:eastAsia="Courier New" w:hAnsi="Times New Roman" w:cs="Times New Roman"/>
          <w:color w:val="000000"/>
          <w:sz w:val="28"/>
          <w:szCs w:val="28"/>
        </w:rPr>
        <w:t>ы</w:t>
      </w:r>
      <w:r w:rsidR="007C7D87" w:rsidRPr="007C7D87">
        <w:rPr>
          <w:rFonts w:ascii="Times New Roman" w:eastAsia="Courier New" w:hAnsi="Times New Roman" w:cs="Times New Roman"/>
          <w:color w:val="000000"/>
          <w:sz w:val="28"/>
          <w:szCs w:val="28"/>
        </w:rPr>
        <w:t xml:space="preserve"> предоставляемы</w:t>
      </w:r>
      <w:r w:rsidR="007C7D87">
        <w:rPr>
          <w:rFonts w:ascii="Times New Roman" w:eastAsia="Courier New" w:hAnsi="Times New Roman" w:cs="Times New Roman"/>
          <w:color w:val="000000"/>
          <w:sz w:val="28"/>
          <w:szCs w:val="28"/>
        </w:rPr>
        <w:t>е</w:t>
      </w:r>
      <w:r w:rsidR="007C7D87" w:rsidRPr="007C7D87">
        <w:rPr>
          <w:rFonts w:ascii="Times New Roman" w:eastAsia="Courier New" w:hAnsi="Times New Roman" w:cs="Times New Roman"/>
          <w:color w:val="000000"/>
          <w:sz w:val="28"/>
          <w:szCs w:val="28"/>
        </w:rPr>
        <w:t xml:space="preserve"> бюджетам муниципальных образований из федерального бюджета и бюджета автономного округа </w:t>
      </w:r>
      <w:r w:rsidRPr="00523326">
        <w:rPr>
          <w:rFonts w:ascii="Times New Roman" w:eastAsia="Courier New" w:hAnsi="Times New Roman" w:cs="Times New Roman"/>
          <w:color w:val="000000"/>
          <w:sz w:val="28"/>
          <w:szCs w:val="28"/>
        </w:rPr>
        <w:t xml:space="preserve"> – </w:t>
      </w:r>
      <w:r w:rsidR="008B2417">
        <w:rPr>
          <w:rFonts w:ascii="Times New Roman" w:eastAsia="Courier New" w:hAnsi="Times New Roman" w:cs="Times New Roman"/>
          <w:color w:val="000000"/>
          <w:sz w:val="28"/>
          <w:szCs w:val="28"/>
        </w:rPr>
        <w:t>1 761 090,6</w:t>
      </w:r>
      <w:r w:rsidR="00695967" w:rsidRPr="00523326">
        <w:rPr>
          <w:rFonts w:ascii="Times New Roman" w:eastAsia="Courier New" w:hAnsi="Times New Roman" w:cs="Times New Roman"/>
          <w:color w:val="000000"/>
          <w:sz w:val="28"/>
          <w:szCs w:val="28"/>
        </w:rPr>
        <w:t xml:space="preserve"> </w:t>
      </w:r>
      <w:r w:rsidRPr="00523326">
        <w:rPr>
          <w:rFonts w:ascii="Times New Roman" w:eastAsia="Courier New" w:hAnsi="Times New Roman" w:cs="Times New Roman"/>
          <w:color w:val="000000"/>
          <w:sz w:val="28"/>
          <w:szCs w:val="28"/>
        </w:rPr>
        <w:t>тыс. рублей.</w:t>
      </w:r>
    </w:p>
    <w:p w:rsidR="005E254B" w:rsidRDefault="004554C1" w:rsidP="005E254B">
      <w:pPr>
        <w:spacing w:after="0" w:line="360" w:lineRule="auto"/>
        <w:ind w:right="-1" w:firstLine="709"/>
        <w:jc w:val="both"/>
        <w:rPr>
          <w:rFonts w:ascii="Times New Roman" w:hAnsi="Times New Roman" w:cs="Times New Roman"/>
          <w:sz w:val="28"/>
          <w:szCs w:val="28"/>
        </w:rPr>
      </w:pPr>
      <w:r w:rsidRPr="004554C1">
        <w:rPr>
          <w:rFonts w:ascii="Times New Roman" w:hAnsi="Times New Roman" w:cs="Times New Roman"/>
          <w:sz w:val="28"/>
          <w:szCs w:val="28"/>
        </w:rPr>
        <w:t xml:space="preserve">Более подробный анализ </w:t>
      </w:r>
      <w:r w:rsidR="005E254B" w:rsidRPr="004554C1">
        <w:rPr>
          <w:rFonts w:ascii="Times New Roman" w:hAnsi="Times New Roman" w:cs="Times New Roman"/>
          <w:sz w:val="28"/>
          <w:szCs w:val="28"/>
        </w:rPr>
        <w:t xml:space="preserve">исполнения </w:t>
      </w:r>
      <w:r w:rsidRPr="004554C1">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2022 году</w:t>
      </w:r>
      <w:r w:rsidR="005E254B" w:rsidRPr="004554C1">
        <w:rPr>
          <w:rFonts w:ascii="Times New Roman" w:hAnsi="Times New Roman" w:cs="Times New Roman"/>
          <w:sz w:val="28"/>
          <w:szCs w:val="28"/>
        </w:rPr>
        <w:t xml:space="preserve"> представлен в </w:t>
      </w:r>
      <w:r w:rsidR="00757BEA">
        <w:rPr>
          <w:rFonts w:ascii="Times New Roman" w:hAnsi="Times New Roman" w:cs="Times New Roman"/>
          <w:sz w:val="28"/>
          <w:szCs w:val="28"/>
        </w:rPr>
        <w:t>приложении 2 к пояснительной записке</w:t>
      </w:r>
      <w:r w:rsidR="005E254B" w:rsidRPr="004554C1">
        <w:rPr>
          <w:rFonts w:ascii="Times New Roman" w:hAnsi="Times New Roman" w:cs="Times New Roman"/>
          <w:sz w:val="28"/>
          <w:szCs w:val="28"/>
        </w:rPr>
        <w:t>.</w:t>
      </w:r>
    </w:p>
    <w:p w:rsidR="008532E2" w:rsidRPr="0074411C" w:rsidRDefault="008532E2" w:rsidP="008532E2">
      <w:pPr>
        <w:spacing w:after="0" w:line="240" w:lineRule="auto"/>
        <w:jc w:val="center"/>
        <w:rPr>
          <w:rFonts w:ascii="Times New Roman" w:hAnsi="Times New Roman" w:cs="Times New Roman"/>
          <w:b/>
          <w:color w:val="FF0000"/>
          <w:sz w:val="28"/>
          <w:szCs w:val="28"/>
        </w:rPr>
      </w:pPr>
    </w:p>
    <w:p w:rsidR="00AB6B60" w:rsidRDefault="00AB6B60" w:rsidP="00AB6B60">
      <w:pPr>
        <w:spacing w:after="0"/>
        <w:jc w:val="right"/>
        <w:rPr>
          <w:rFonts w:ascii="Times New Roman" w:hAnsi="Times New Roman" w:cs="Times New Roman"/>
          <w:sz w:val="24"/>
          <w:szCs w:val="24"/>
          <w:highlight w:val="yellow"/>
        </w:rPr>
      </w:pPr>
    </w:p>
    <w:p w:rsidR="008532E2" w:rsidRPr="008532E2" w:rsidRDefault="008532E2" w:rsidP="00AB6B60">
      <w:pPr>
        <w:spacing w:after="0"/>
        <w:jc w:val="right"/>
        <w:rPr>
          <w:rFonts w:ascii="Times New Roman" w:hAnsi="Times New Roman" w:cs="Times New Roman"/>
          <w:sz w:val="24"/>
          <w:szCs w:val="24"/>
        </w:rPr>
      </w:pPr>
    </w:p>
    <w:p w:rsidR="008532E2" w:rsidRPr="008532E2" w:rsidRDefault="008532E2" w:rsidP="00AB6B60">
      <w:pPr>
        <w:spacing w:after="0"/>
        <w:jc w:val="right"/>
        <w:rPr>
          <w:rFonts w:ascii="Times New Roman" w:hAnsi="Times New Roman" w:cs="Times New Roman"/>
          <w:sz w:val="24"/>
          <w:szCs w:val="24"/>
        </w:rPr>
      </w:pPr>
      <w:r w:rsidRPr="008532E2">
        <w:rPr>
          <w:rFonts w:ascii="Times New Roman" w:eastAsia="Times New Roman" w:hAnsi="Times New Roman" w:cs="Times New Roman"/>
          <w:color w:val="000000" w:themeColor="text1"/>
          <w:sz w:val="28"/>
          <w:szCs w:val="28"/>
        </w:rPr>
        <w:t>Директор Департамента                                                                       О.И.Граф</w:t>
      </w:r>
    </w:p>
    <w:p w:rsidR="002D0C44" w:rsidRPr="008532E2" w:rsidRDefault="002D0C44" w:rsidP="002D0C44">
      <w:pPr>
        <w:spacing w:after="0"/>
        <w:ind w:firstLine="709"/>
        <w:jc w:val="both"/>
        <w:rPr>
          <w:rFonts w:ascii="Times New Roman" w:eastAsia="Times New Roman" w:hAnsi="Times New Roman" w:cs="Times New Roman"/>
          <w:color w:val="FF0000"/>
          <w:sz w:val="28"/>
          <w:szCs w:val="28"/>
        </w:rPr>
      </w:pPr>
    </w:p>
    <w:p w:rsidR="00AB6B60" w:rsidRPr="008532E2" w:rsidRDefault="00AB6B60" w:rsidP="00D74A3B">
      <w:pPr>
        <w:spacing w:after="0"/>
        <w:rPr>
          <w:rFonts w:ascii="Times New Roman" w:eastAsia="Times New Roman" w:hAnsi="Times New Roman" w:cs="Times New Roman"/>
          <w:color w:val="FF0000"/>
          <w:sz w:val="28"/>
          <w:szCs w:val="28"/>
        </w:rPr>
      </w:pPr>
    </w:p>
    <w:p w:rsidR="0037638C" w:rsidRPr="008532E2" w:rsidRDefault="0037638C" w:rsidP="00D74A3B">
      <w:pPr>
        <w:spacing w:after="0"/>
        <w:rPr>
          <w:rFonts w:ascii="Times New Roman" w:eastAsia="Times New Roman" w:hAnsi="Times New Roman" w:cs="Times New Roman"/>
          <w:color w:val="000000" w:themeColor="text1"/>
          <w:sz w:val="28"/>
          <w:szCs w:val="28"/>
        </w:rPr>
        <w:sectPr w:rsidR="0037638C" w:rsidRPr="008532E2" w:rsidSect="000C15D9">
          <w:headerReference w:type="default" r:id="rId18"/>
          <w:pgSz w:w="11906" w:h="16838"/>
          <w:pgMar w:top="1135" w:right="1276" w:bottom="1134" w:left="1559" w:header="709" w:footer="709" w:gutter="0"/>
          <w:cols w:space="708"/>
          <w:titlePg/>
          <w:docGrid w:linePitch="360"/>
        </w:sectPr>
      </w:pPr>
    </w:p>
    <w:tbl>
      <w:tblPr>
        <w:tblW w:w="14730" w:type="dxa"/>
        <w:tblInd w:w="113" w:type="dxa"/>
        <w:tblLook w:val="04A0" w:firstRow="1" w:lastRow="0" w:firstColumn="1" w:lastColumn="0" w:noHBand="0" w:noVBand="1"/>
      </w:tblPr>
      <w:tblGrid>
        <w:gridCol w:w="3140"/>
        <w:gridCol w:w="615"/>
        <w:gridCol w:w="1151"/>
        <w:gridCol w:w="691"/>
        <w:gridCol w:w="777"/>
        <w:gridCol w:w="389"/>
        <w:gridCol w:w="1280"/>
        <w:gridCol w:w="316"/>
        <w:gridCol w:w="984"/>
        <w:gridCol w:w="1174"/>
        <w:gridCol w:w="86"/>
        <w:gridCol w:w="1300"/>
        <w:gridCol w:w="741"/>
        <w:gridCol w:w="1559"/>
        <w:gridCol w:w="69"/>
        <w:gridCol w:w="236"/>
        <w:gridCol w:w="208"/>
        <w:gridCol w:w="14"/>
      </w:tblGrid>
      <w:tr w:rsidR="0037638C" w:rsidRPr="008532E2" w:rsidTr="00AD5412">
        <w:trPr>
          <w:gridAfter w:val="1"/>
          <w:wAfter w:w="14" w:type="dxa"/>
          <w:trHeight w:val="450"/>
        </w:trPr>
        <w:tc>
          <w:tcPr>
            <w:tcW w:w="5597" w:type="dxa"/>
            <w:gridSpan w:val="4"/>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166"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2813" w:type="dxa"/>
            <w:gridSpan w:val="5"/>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757BEA">
              <w:rPr>
                <w:rFonts w:ascii="Times New Roman" w:eastAsia="Times New Roman" w:hAnsi="Times New Roman" w:cs="Times New Roman"/>
                <w:sz w:val="14"/>
                <w:szCs w:val="14"/>
              </w:rPr>
              <w:t>1</w:t>
            </w:r>
            <w:r w:rsidRPr="008532E2">
              <w:rPr>
                <w:rFonts w:ascii="Times New Roman" w:eastAsia="Times New Roman" w:hAnsi="Times New Roman" w:cs="Times New Roman"/>
                <w:sz w:val="14"/>
                <w:szCs w:val="14"/>
              </w:rPr>
              <w:t xml:space="preserve"> к пояснительной записке</w:t>
            </w:r>
          </w:p>
          <w:p w:rsidR="00A84B20" w:rsidRPr="008532E2" w:rsidRDefault="00A84B20" w:rsidP="0037638C">
            <w:pPr>
              <w:spacing w:after="0" w:line="240" w:lineRule="auto"/>
              <w:rPr>
                <w:rFonts w:ascii="Times New Roman" w:eastAsia="Times New Roman" w:hAnsi="Times New Roman" w:cs="Times New Roman"/>
                <w:sz w:val="14"/>
                <w:szCs w:val="14"/>
              </w:rPr>
            </w:pPr>
          </w:p>
        </w:tc>
      </w:tr>
      <w:tr w:rsidR="0037638C" w:rsidRPr="008532E2" w:rsidTr="00AD5412">
        <w:trPr>
          <w:trHeight w:val="660"/>
        </w:trPr>
        <w:tc>
          <w:tcPr>
            <w:tcW w:w="14272" w:type="dxa"/>
            <w:gridSpan w:val="15"/>
            <w:tcBorders>
              <w:top w:val="nil"/>
              <w:left w:val="nil"/>
              <w:bottom w:val="nil"/>
              <w:right w:val="nil"/>
            </w:tcBorders>
            <w:shd w:val="clear" w:color="auto" w:fill="auto"/>
            <w:vAlign w:val="bottom"/>
            <w:hideMark/>
          </w:tcPr>
          <w:p w:rsidR="0037638C" w:rsidRPr="008532E2" w:rsidRDefault="0037638C" w:rsidP="004C101E">
            <w:pPr>
              <w:spacing w:after="0" w:line="240" w:lineRule="auto"/>
              <w:jc w:val="center"/>
              <w:rPr>
                <w:rFonts w:ascii="Times New Roman" w:eastAsia="Times New Roman" w:hAnsi="Times New Roman" w:cs="Times New Roman"/>
                <w:b/>
                <w:bCs/>
                <w:sz w:val="20"/>
                <w:szCs w:val="20"/>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6A70FF">
              <w:rPr>
                <w:rFonts w:ascii="Times New Roman" w:eastAsia="Times New Roman" w:hAnsi="Times New Roman" w:cs="Times New Roman"/>
                <w:b/>
                <w:bCs/>
                <w:sz w:val="20"/>
                <w:szCs w:val="20"/>
              </w:rPr>
              <w:t>полугодие</w:t>
            </w:r>
            <w:r w:rsidR="00D223B2" w:rsidRPr="008532E2">
              <w:rPr>
                <w:rFonts w:ascii="Times New Roman" w:eastAsia="Times New Roman" w:hAnsi="Times New Roman" w:cs="Times New Roman"/>
                <w:b/>
                <w:bCs/>
                <w:sz w:val="20"/>
                <w:szCs w:val="20"/>
              </w:rPr>
              <w:t xml:space="preserve"> </w:t>
            </w:r>
            <w:r w:rsidRPr="008532E2">
              <w:rPr>
                <w:rFonts w:ascii="Times New Roman" w:eastAsia="Times New Roman" w:hAnsi="Times New Roman" w:cs="Times New Roman"/>
                <w:b/>
                <w:bCs/>
                <w:sz w:val="20"/>
                <w:szCs w:val="20"/>
              </w:rPr>
              <w:t>20</w:t>
            </w:r>
            <w:r w:rsidR="00EB17B4" w:rsidRPr="008532E2">
              <w:rPr>
                <w:rFonts w:ascii="Times New Roman" w:eastAsia="Times New Roman" w:hAnsi="Times New Roman" w:cs="Times New Roman"/>
                <w:b/>
                <w:bCs/>
                <w:sz w:val="20"/>
                <w:szCs w:val="20"/>
              </w:rPr>
              <w:t>2</w:t>
            </w:r>
            <w:r w:rsidR="008532E2" w:rsidRPr="008532E2">
              <w:rPr>
                <w:rFonts w:ascii="Times New Roman" w:eastAsia="Times New Roman" w:hAnsi="Times New Roman" w:cs="Times New Roman"/>
                <w:b/>
                <w:bCs/>
                <w:sz w:val="20"/>
                <w:szCs w:val="20"/>
              </w:rPr>
              <w:t>2</w:t>
            </w:r>
            <w:r w:rsidRPr="008532E2">
              <w:rPr>
                <w:rFonts w:ascii="Times New Roman" w:eastAsia="Times New Roman" w:hAnsi="Times New Roman" w:cs="Times New Roman"/>
                <w:b/>
                <w:bCs/>
                <w:sz w:val="20"/>
                <w:szCs w:val="20"/>
              </w:rPr>
              <w:t xml:space="preserve"> года</w:t>
            </w:r>
          </w:p>
          <w:p w:rsidR="00A84B20" w:rsidRPr="008532E2" w:rsidRDefault="00DD2F7A" w:rsidP="00A84B20">
            <w:pPr>
              <w:spacing w:after="0" w:line="240" w:lineRule="auto"/>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 xml:space="preserve">    </w:t>
            </w:r>
            <w:r w:rsidR="007B16B6" w:rsidRPr="008532E2">
              <w:rPr>
                <w:rFonts w:ascii="Times New Roman" w:eastAsia="Times New Roman" w:hAnsi="Times New Roman" w:cs="Times New Roman"/>
                <w:bCs/>
                <w:sz w:val="18"/>
                <w:szCs w:val="18"/>
              </w:rPr>
              <w:t xml:space="preserve">    </w:t>
            </w:r>
            <w:r w:rsidRPr="008532E2">
              <w:rPr>
                <w:rFonts w:ascii="Times New Roman" w:eastAsia="Times New Roman" w:hAnsi="Times New Roman" w:cs="Times New Roman"/>
                <w:bCs/>
                <w:sz w:val="18"/>
                <w:szCs w:val="18"/>
              </w:rPr>
              <w:t xml:space="preserve">  </w:t>
            </w:r>
            <w:r w:rsidR="00FE68B3" w:rsidRPr="008532E2">
              <w:rPr>
                <w:rFonts w:ascii="Times New Roman" w:eastAsia="Times New Roman" w:hAnsi="Times New Roman" w:cs="Times New Roman"/>
                <w:bCs/>
                <w:sz w:val="18"/>
                <w:szCs w:val="18"/>
              </w:rPr>
              <w:t xml:space="preserve">  </w:t>
            </w:r>
            <w:r w:rsidR="00EB17B4" w:rsidRPr="008532E2">
              <w:rPr>
                <w:rFonts w:ascii="Times New Roman" w:eastAsia="Times New Roman" w:hAnsi="Times New Roman" w:cs="Times New Roman"/>
                <w:bCs/>
                <w:sz w:val="18"/>
                <w:szCs w:val="18"/>
              </w:rPr>
              <w:t xml:space="preserve">    (</w:t>
            </w:r>
            <w:r w:rsidR="00A84B20" w:rsidRPr="008532E2">
              <w:rPr>
                <w:rFonts w:ascii="Times New Roman" w:eastAsia="Times New Roman" w:hAnsi="Times New Roman" w:cs="Times New Roman"/>
                <w:bCs/>
                <w:sz w:val="14"/>
                <w:szCs w:val="14"/>
              </w:rPr>
              <w:t>рубли</w:t>
            </w:r>
            <w:r w:rsidR="00EB17B4" w:rsidRPr="008532E2">
              <w:rPr>
                <w:rFonts w:ascii="Times New Roman" w:eastAsia="Times New Roman" w:hAnsi="Times New Roman" w:cs="Times New Roman"/>
                <w:bCs/>
                <w:sz w:val="14"/>
                <w:szCs w:val="14"/>
              </w:rPr>
              <w:t>)</w:t>
            </w:r>
          </w:p>
          <w:p w:rsidR="00FB52C1" w:rsidRDefault="00FB52C1" w:rsidP="00A84B20">
            <w:pPr>
              <w:spacing w:after="0" w:line="240" w:lineRule="auto"/>
              <w:jc w:val="right"/>
              <w:rPr>
                <w:rFonts w:ascii="Times New Roman" w:eastAsia="Times New Roman" w:hAnsi="Times New Roman" w:cs="Times New Roman"/>
                <w:bCs/>
                <w:sz w:val="14"/>
                <w:szCs w:val="14"/>
              </w:rPr>
            </w:pPr>
          </w:p>
          <w:p w:rsidR="00FB52C1" w:rsidRPr="008532E2" w:rsidRDefault="00FB52C1" w:rsidP="00A84B20">
            <w:pPr>
              <w:spacing w:after="0" w:line="240" w:lineRule="auto"/>
              <w:jc w:val="right"/>
              <w:rPr>
                <w:rFonts w:ascii="Times New Roman" w:eastAsia="Times New Roman" w:hAnsi="Times New Roman" w:cs="Times New Roman"/>
                <w:bCs/>
                <w:sz w:val="14"/>
                <w:szCs w:val="14"/>
              </w:rPr>
            </w:pPr>
          </w:p>
        </w:tc>
        <w:tc>
          <w:tcPr>
            <w:tcW w:w="236" w:type="dxa"/>
            <w:vAlign w:val="center"/>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222" w:type="dxa"/>
            <w:gridSpan w:val="2"/>
            <w:vAlign w:val="center"/>
            <w:hideMark/>
          </w:tcPr>
          <w:p w:rsidR="0037638C" w:rsidRPr="008532E2" w:rsidRDefault="0037638C" w:rsidP="0037638C">
            <w:pPr>
              <w:spacing w:after="0" w:line="240" w:lineRule="auto"/>
              <w:rPr>
                <w:rFonts w:ascii="Times New Roman" w:eastAsia="Times New Roman" w:hAnsi="Times New Roman" w:cs="Times New Roman"/>
                <w:sz w:val="20"/>
                <w:szCs w:val="20"/>
              </w:rPr>
            </w:pPr>
          </w:p>
        </w:tc>
      </w:tr>
      <w:tr w:rsidR="00AD5412" w:rsidRPr="00AD5412" w:rsidTr="00AD5412">
        <w:trPr>
          <w:gridAfter w:val="4"/>
          <w:wAfter w:w="527" w:type="dxa"/>
          <w:trHeight w:val="55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Наименование</w:t>
            </w:r>
          </w:p>
        </w:tc>
        <w:tc>
          <w:tcPr>
            <w:tcW w:w="3234" w:type="dxa"/>
            <w:gridSpan w:val="4"/>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Бюджетная классификация</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Уточненный план на год</w:t>
            </w:r>
          </w:p>
        </w:tc>
        <w:tc>
          <w:tcPr>
            <w:tcW w:w="21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Исполнено на отчетную дату</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Отклонение от уточненного плана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Процент исполнения от уточненного плана</w:t>
            </w:r>
          </w:p>
        </w:tc>
      </w:tr>
      <w:tr w:rsidR="00AD5412" w:rsidRPr="00AD5412" w:rsidTr="00AD5412">
        <w:trPr>
          <w:gridAfter w:val="4"/>
          <w:wAfter w:w="527" w:type="dxa"/>
          <w:trHeight w:val="600"/>
        </w:trPr>
        <w:tc>
          <w:tcPr>
            <w:tcW w:w="3140" w:type="dxa"/>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РзПр</w:t>
            </w:r>
          </w:p>
        </w:tc>
        <w:tc>
          <w:tcPr>
            <w:tcW w:w="1151" w:type="dxa"/>
            <w:tcBorders>
              <w:top w:val="nil"/>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ЦСР</w:t>
            </w:r>
          </w:p>
        </w:tc>
        <w:tc>
          <w:tcPr>
            <w:tcW w:w="1468" w:type="dxa"/>
            <w:gridSpan w:val="2"/>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ВР</w:t>
            </w: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2158" w:type="dxa"/>
            <w:gridSpan w:val="2"/>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"Доступная среда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2 509 636,70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826 895,00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1 682 741,70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32,95 </w:t>
            </w:r>
          </w:p>
        </w:tc>
      </w:tr>
      <w:tr w:rsidR="00AD5412" w:rsidRPr="00AD5412" w:rsidTr="00AD5412">
        <w:trPr>
          <w:gridAfter w:val="4"/>
          <w:wAfter w:w="527" w:type="dxa"/>
          <w:trHeight w:val="18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1 419 940,70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826 895,00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593 045,70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58,23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1 419 940,70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826 895,00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593 045,70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58,23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дорожно-транспортной доступности для маломобильных групп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1 089 696,00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81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52 895 860,29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6 066 139,39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46 829 720,90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11,47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"Профилактика правонарушений"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52 476 463,54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5 843 732,64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46 632 730,90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11,14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7 682 642,64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3 621 061,71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4 061 580,93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47,13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0310120060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7 682 642,64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3 621 061,71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4 061 580,93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47,13 </w:t>
            </w:r>
          </w:p>
        </w:tc>
      </w:tr>
      <w:tr w:rsidR="00AD5412" w:rsidRPr="00AD5412" w:rsidTr="00AD5412">
        <w:trPr>
          <w:gridAfter w:val="4"/>
          <w:wAfter w:w="527" w:type="dxa"/>
          <w:trHeight w:val="18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3 985 400,00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2 222 670,93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1 762 729,07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55,77 </w:t>
            </w:r>
          </w:p>
        </w:tc>
      </w:tr>
      <w:tr w:rsidR="00AD5412" w:rsidRPr="00AD5412" w:rsidTr="00AD5412">
        <w:trPr>
          <w:gridAfter w:val="4"/>
          <w:wAfter w:w="527" w:type="dxa"/>
          <w:trHeight w:val="31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0310284250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3 985 400,00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2 222 670,93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1 762 729,07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условий для деятельности народных дружин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0310382300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03103S2300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0310420050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74 820,90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0310651200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8 100,00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0310999990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40 551 500,00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264 003,42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92 063,42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171 940,00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34,87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0320120040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239 003,42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70 063,42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168 940,00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29,31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70 063,42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70 063,42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68 940,00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68 940,00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155 393,33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130 343,33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83,88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103 393,33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103 393,33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63 333,33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63 333,33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40 060,00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40 060,00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26 950,00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51,83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26 950,00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51,83 </w:t>
            </w:r>
          </w:p>
        </w:tc>
      </w:tr>
      <w:tr w:rsidR="00AD5412" w:rsidRPr="00AD5412" w:rsidTr="00AD5412">
        <w:trPr>
          <w:gridAfter w:val="4"/>
          <w:wAfter w:w="527" w:type="dxa"/>
          <w:trHeight w:val="63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физической культуры и спорта в городе Ханты-Мансийске"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352 536 033,95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158 032 320,50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194 503 713,45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44,83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массовой физической культуры и спорта"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47 804 455,28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16 873 925,18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30 930 530,10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35,30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32 809 278,74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15 158 744,49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17 650 534,25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46,20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0510182110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30 853 842,16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14 350 391,49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16 503 450,67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46,51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05101S2110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52 631,58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52 631,58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902 805,00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808 353,00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94 452,00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89,54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3 935 872,00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3 935 872,00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Мероприятий по организации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0510220010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855 872,00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855 872,00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3 080 000,00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3 080 000,00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10 476 220,33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1 715 180,69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8 761 039,64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16,37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4 599 400,00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1 201 921,66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3 397 478,34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развитию сети спортивных объектов шаговой доступности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0510382130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2 733 400,00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427 500,00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2 305 900,00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05103S2110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242 073,68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63 259,03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178 814,65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05103S2130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143 863,16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121 363,16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1 507 483,49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1 507 483,49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"Спорт - норма жизни"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051P550810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583 084,21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304 731 578,67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141 158 395,32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163 573 183,35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46,32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304 731 578,67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141 158 395,32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163 573 183,35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46,32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278 615 274,04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128 468 033,96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150 147 240,08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46,11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23 004 803,63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12 124 982,57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10 879 821,06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52,71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173 681,00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110 340,00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63 341,00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63,53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2 405 140,00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278 650,10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2 126 489,90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532 680,00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176 388,69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356 291,31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33,11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248 363 632,07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117 589 540,74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130 774 091,33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47,35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86 241 915,50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41 535 252,09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44 706 663,41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48,16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библиотечного дела"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86 135 715,50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41 429 052,09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44 706 663,41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84 969 950,50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40 919 727,34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44 050 223,16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48,16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развитие сферы культуры в муниципальных образованиях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0610182520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369 300,00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263 931,80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105 368,20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71,47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179 415,00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179 410,00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Государственная поддержка отрасли культуры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06101L5190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524 725,00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524 725,00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06101S2520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92 325,00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65 982,95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26 342,05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71,47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106 200,00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0610284100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106 200,00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106 200,00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162 121 716,57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76 054 288,65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86 067 427,92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162 121 716,57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76 054 288,65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86 067 427,92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144 552 152,13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65 237 724,97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79 314 427,16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17 269 564,44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10 726 563,68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6 543 000,76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62,11 </w:t>
            </w:r>
          </w:p>
        </w:tc>
      </w:tr>
      <w:tr w:rsidR="00AD5412" w:rsidRPr="00AD5412" w:rsidTr="00AD5412">
        <w:trPr>
          <w:gridAfter w:val="4"/>
          <w:wAfter w:w="527" w:type="dxa"/>
          <w:trHeight w:val="54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7 077 135 696,28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2 820 819 792,93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4 256 315 903,35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39,86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4 787 713 514,69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2 556 925 541,49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2 230 787 973,20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53,41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2 960 526,00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1 167 597,00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1 792 929,00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39,44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2 960 526,00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1 167 597,00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1 792 929,00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39,44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55 777 736,67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19 977 486,85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35 800 249,82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35,82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0710220010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7 061 170,00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532 531,50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6 528 638,50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7,54 </w:t>
            </w:r>
          </w:p>
        </w:tc>
      </w:tr>
      <w:tr w:rsidR="00AD5412" w:rsidRPr="00AD5412" w:rsidTr="00AD5412">
        <w:trPr>
          <w:gridAfter w:val="4"/>
          <w:wAfter w:w="527" w:type="dxa"/>
          <w:trHeight w:val="20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0710282050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14 630 800,00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4 708 473,21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9 922 326,79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32,18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и обеспечение отдыха и оздоровления детей, в том числе в этнической среде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0710284080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24 331 900,00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11 597 500,00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12 734 400,00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47,66 </w:t>
            </w:r>
          </w:p>
        </w:tc>
      </w:tr>
      <w:tr w:rsidR="00AD5412" w:rsidRPr="00AD5412" w:rsidTr="00AD5412">
        <w:trPr>
          <w:gridAfter w:val="4"/>
          <w:wAfter w:w="527" w:type="dxa"/>
          <w:trHeight w:val="22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07102S2050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9 753 866,67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3 138 982,14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6 614 884,53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32,18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4 668 833 756,23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2 499 191 167,39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2 169 642 588,84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53,53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85 172 000,00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38 285 840,70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46 886 159,30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44,95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243 561 062,95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107 996 971,80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135 564 091,15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44,34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0710382470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7 772 000,00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16 228 000,00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32,38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1 508 052 600,00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769 750 486,80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738 302 113,20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51,04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образования(на реализацию программ дошкольного образования частным 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105 233 600,00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34 570 350,25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70 663 249,75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32,85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281 882 644,80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128 871 876,52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153 010 768,28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45,72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0710353030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87 494 400,00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51 009 984,77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36 484 415,23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58,30 </w:t>
            </w:r>
          </w:p>
        </w:tc>
      </w:tr>
      <w:tr w:rsidR="00AD5412" w:rsidRPr="00AD5412" w:rsidTr="00AD5412">
        <w:trPr>
          <w:gridAfter w:val="4"/>
          <w:wAfter w:w="527" w:type="dxa"/>
          <w:trHeight w:val="22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238 784 000,00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131 169 500,00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107 614 500,00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54,93 </w:t>
            </w:r>
          </w:p>
        </w:tc>
      </w:tr>
      <w:tr w:rsidR="00AD5412" w:rsidRPr="00AD5412" w:rsidTr="00AD5412">
        <w:trPr>
          <w:gridAfter w:val="4"/>
          <w:wAfter w:w="527" w:type="dxa"/>
          <w:trHeight w:val="29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0710384303</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1 649 181 300,00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1 032 131 373,59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617 049 926,41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62,58 </w:t>
            </w:r>
          </w:p>
        </w:tc>
      </w:tr>
      <w:tr w:rsidR="00AD5412" w:rsidRPr="00AD5412" w:rsidTr="00AD5412">
        <w:trPr>
          <w:gridAfter w:val="4"/>
          <w:wAfter w:w="527" w:type="dxa"/>
          <w:trHeight w:val="47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0710384305</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10 230 300,00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6 292 340,50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3 937 959,50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61,51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07103L3040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105 975 000,00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22 090 565,04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83 884 434,96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20,85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322 262 819,34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167 104 100,26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155 158 719,08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51,85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5 315 000,00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1 794 731,16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3 520 268,84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33,77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1 689 029,14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351 046,00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1 337 983,14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20,78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60 141 495,79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36 589 290,25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23 552 205,54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60,84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60 141 495,79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36 589 290,25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23 552 205,54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60,84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273 495,00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273 495,00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469 000,00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273 495,00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"Допризывная подготовка обучающихся"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3 445 766,00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1 221 294,70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2 224 471,30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35,44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1 399 409,00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593 362,70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806 046,30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42,40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1 399 409,00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593 362,70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806 046,30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42,40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2 046 357,00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627 932,00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1 418 425,00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30,69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0730299990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2 046 357,00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627 932,00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1 418 425,00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30,69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"Ресурсное обеспечение системы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2 285 420 215,59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262 312 539,74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2 023 107 675,85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24 623 068,58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15 371 066,54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9 252 002,04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62,43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1 855 450,00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51 286,00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1 804 164,00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22 767 618,58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15 319 780,54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7 447 838,04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67,29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133 102 047,08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67 632 033,69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65 470 013,39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50,81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43 200,00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43 200,00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278 360,00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19 660,00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258 700,00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7,06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9 366 973,39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5 555 030,26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3 811 943,13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13 399 306,55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5 276 723,09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8 122 583,46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39,38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1 997 550,25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1 997 550,25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102 883 456,89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56 707 420,34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46 176 036,55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55,12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33,33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233 252 445,04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127 325 153,15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105 927 291,89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17 679 917,45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7 608 953,77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10 070 963,68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43,04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11 292 389,75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3 302 695,15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7 989 694,60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29,25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22 210 318,54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14 524 712,12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7 685 606,42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65,40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33 994 837,83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11 294 937,47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22 699 900,36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33,23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1 825 650,25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759 453,49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1 066 196,76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41,60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2 422 866,48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1 309 627,68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1 113 238,80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54,05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143 826 464,74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88 524 773,47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55 301 691,27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29 738 746,00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14 129 242,00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15 609 504,00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47,51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муниципальную собственность</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1 972 000,00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722 000,00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36,61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12 917 107,00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7 082 893,00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64,59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муниципальную собственность</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6 388 746,00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6 388 746,00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578 000,00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290 135,00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287 865,00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50,20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"Современная школа"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1 864 703 908,89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37 855 044,36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1 826 848 864,53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Консолидированные субсидии на Создание новых мест в муниципальных общеобразовательных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074E182860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1 678 233 500,00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34 069 539,92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1 644 163 960,08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074E1S2860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186 470 408,89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3 785 504,44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182 684 904,45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86 922,00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86 922,00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86 922,00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436 471 985,72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75 280 212,46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361 191 773,26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17,25 </w:t>
            </w:r>
          </w:p>
        </w:tc>
      </w:tr>
      <w:tr w:rsidR="00AD5412" w:rsidRPr="00AD5412" w:rsidTr="00AD5412">
        <w:trPr>
          <w:gridAfter w:val="4"/>
          <w:wAfter w:w="527" w:type="dxa"/>
          <w:trHeight w:val="15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399 403 708,48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58 246 006,66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341 157 701,82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14,58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8 486 287,60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8 486 287,60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18 810 000,00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8 726 175,00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10 083 825,00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0900184310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71 008 300,00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10 758 825,00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60 249 475,00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15,15 </w:t>
            </w:r>
          </w:p>
        </w:tc>
      </w:tr>
      <w:tr w:rsidR="00AD5412" w:rsidRPr="00AD5412" w:rsidTr="00AD5412">
        <w:trPr>
          <w:gridAfter w:val="4"/>
          <w:wAfter w:w="527" w:type="dxa"/>
          <w:trHeight w:val="38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0900182762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274 000 200,00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35 272 516,06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238 727 683,94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12,87 </w:t>
            </w:r>
          </w:p>
        </w:tc>
      </w:tr>
      <w:tr w:rsidR="00AD5412" w:rsidRPr="00AD5412" w:rsidTr="00AD5412">
        <w:trPr>
          <w:gridAfter w:val="4"/>
          <w:wAfter w:w="527" w:type="dxa"/>
          <w:trHeight w:val="42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09001S2762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27 098 920,88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3 488 490,60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23 610 430,28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12,87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0900242110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1 366 978,80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35 688 498,44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17 034 205,80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18 654 292,64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47,73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2 683 700,00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2 683 620,00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7 560 100,00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4 025 430,00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3 534 670,00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53,25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0900351760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5 703 600,00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5 703 600,00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5 243 730,24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2 513 700,00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2 730 030,24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47,94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09003D1340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819 995,00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09003L1340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936 412,00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500 785,00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435 627,00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53,48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 по обеспечению жильем молодых семей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09003L4970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12 740 956,20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6 490 675,80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6 250 280,40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50,94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29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0900484220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151 636 398,22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80 533 327,90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71 103 070,32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53,11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41 150 723,05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23 907 686,95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17 243 036,10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58,10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12 591 316,67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6 356 087,43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6 235 229,24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50,48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22 294 506,38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14 477 554,32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7 816 952,06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64,94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6 264 900,00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3 074 045,20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3 190 854,80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110 485 675,17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56 625 640,95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53 860 034,22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51,25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42 608 003,12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23 930 381,36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18 677 621,76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56,16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62 263 672,05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32 061 412,58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30 202 259,47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51,49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5 614 000,00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633 847,01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4 980 152,99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11,29 </w:t>
            </w:r>
          </w:p>
        </w:tc>
      </w:tr>
      <w:tr w:rsidR="00AD5412" w:rsidRPr="00AD5412" w:rsidTr="00AD5412">
        <w:trPr>
          <w:gridAfter w:val="4"/>
          <w:wAfter w:w="527" w:type="dxa"/>
          <w:trHeight w:val="85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14 347 875,40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3 851 223,60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10 496 651,80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26,84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14 347 875,40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3 851 223,60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10 496 651,80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26,84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12 262 875,40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3 851 223,60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8 411 651,80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31,41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6 079 472,21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6 079 472,21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полномочий в сфере жилищно-коммунального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1110182591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1 761 300,00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1 761 300,00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3 981 778,19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1 649 598,60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2 332 179,59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41,43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11101S2591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440 325,00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440 325,00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1110320030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595 000,00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1110899990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1110999990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790 000,00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жилищного и дорожного хозяйства, благоустройство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947 911 154,19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471 536 654,87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476 374 499,32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49,74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173 309 280,03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83 549 605,55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89 759 674,48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48,21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6 956 334,42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1 185 127,50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5 771 206,92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17,04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268 558,00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124 595,00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143 963,00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67 575 202,71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36 857 317,57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30 717 885,14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10 490 723,75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10 490 723,75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26 680 966,68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12 689 685,32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13 991 281,36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47,56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61 337 494,47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32 692 880,16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28 644 614,31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53,30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75 990 021,95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33 789 452,47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42 200 569,48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44,47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24 321 155,24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8 255 238,86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16 065 916,38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33,94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1 818 504,95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1 818 504,95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1200284340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34 249 500,00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10 173 544,56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24 075 955,44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15 598 261,76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15 360 669,05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237 592,71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98,48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1200284340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292 719 920,32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180 244 503,53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112 475 416,79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292 719 920,32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180 244 503,53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112 475 416,79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305 375 255,63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148 419 178,93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156 956 076,70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48,60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мероприятий при осуществлении деятельности по обращению с животными без владельцев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1 424 400,00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1 424 400,00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88 477 936,15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40 421 407,12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48 056 529,03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45,69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1200420020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9 438 951,55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5 962 875,36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3 476 076,19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63,17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200 348 967,93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100 610 496,45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99 738 471,48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50,22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5 521 400,00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5 521 400,00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современной городской среды"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55 246 167,62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7 240 539,39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48 005 628,23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13,11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1200582752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9 434 400,00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9 434 400,00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8 735 600,00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8 735 600,00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32 533 678,62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7 240 539,39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25 293 139,23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22,26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12005S2752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4 542 489,00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4 542 489,00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"Формирование комфортной городской среды"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45 270 508,64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18 293 375,00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26 977 133,64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40,41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мероприятий по благоустройству территорий муниципальных образований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120F282600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14 634 700,00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14 634 700,00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по благоустройству территорий муниципальных образований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120F2S2600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3 658 675,00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3 658 675,00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программ формирования современной городской среды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120F255550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26 977 133,64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26 977 133,64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454 545 455,00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308 832 328,42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145 713 126,58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67,94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19 923 895,76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8 848 062,46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11 075 833,30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44,41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19 575 656,79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8 610 581,83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10 965 074,96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197 733,92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86 975,58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110 758,34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149 000,00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149 000,00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1 505,05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1 505,05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434 621 559,24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299 984 265,96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134 637 293,28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69,02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249 710 699,56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217 721 049,64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31 989 649,92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87,19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2 522 330,30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2 199 202,51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323 127,79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87,19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180 564 643,65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79 263 373,67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101 301 269,98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1 823 885,73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800 640,14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1 023 245,59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179 366 197,63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61 840 740,87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117 525 456,76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34,48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87 686 876,63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38 004 665,10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49 682 211,53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43,34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65 369 698,55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34 509 684,69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30 860 013,86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52,79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9 055 000,00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3 130 960,41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5 924 039,59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13 262 178,08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364 020,00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12 898 158,08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19 689,61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4 980 310,39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0,39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Процентные платежи по муниципальному долгу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1400220170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19 689,61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4 980 310,39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0,39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40 229 740,00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40 229 740,00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Резервные фонды местных администраций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1400320210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1400385150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30 229 740,00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30 229 740,00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Думы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46 449 581,00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23 816 386,16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22 633 194,84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51,27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19 033 557,00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11 427 987,16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7 605 569,84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Выполнение полномочий Думы города в сфере наград и почетных званий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229 880,00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51 723,00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178 157,00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22,50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Председатель представительного органа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5 499 808,00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3 208 154,51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2 291 653,49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Депутаты представительного органа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4 178 703,00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2 744 881,46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1 433 821,54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65,69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5 445 773,00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2 046 984,79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3 398 788,21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37,59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1400402250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5 459 162,00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3 563 795,81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1 895 366,19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65,28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6 602 698,00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772 859,43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5 829 838,57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11,71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508 624 332,88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364 733 385,31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143 890 947,57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71,71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227 015 027,59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219 050 934,44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7 964 093,15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96,49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собственностью</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195 039 100,56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187 675 007,41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7 364 093,15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96,22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31 975 927,03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31 375 927,03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98,12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31 216 627,29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2 181 073,24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29 035 554,05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1 035 600,00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920 000,00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115 600,00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88,84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1500220060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3 021 993,97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1 261 073,24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1 760 920,73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41,73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1500282810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3 241 000,00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3 241 000,00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20 677 033,32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20 677 033,32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15002S2810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3 241 000,00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3 241 000,00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193 265 424,00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86 381 126,83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106 884 297,17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44,70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1500361100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7 485 112,80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7 485 112,80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185 780 311,20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86 381 126,83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99 399 184,37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46,50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"Региональная и местная дорожная сеть"</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57 127 254,00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57 120 250,80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99,99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выполнение дорожных работ в соответствии с программой дорожной деятельности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150R182350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42 024 800,00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42 024 800,00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150R1S2350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15 102 454,00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15 095 450,80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99,95 </w:t>
            </w:r>
          </w:p>
        </w:tc>
      </w:tr>
      <w:tr w:rsidR="00AD5412" w:rsidRPr="00AD5412" w:rsidTr="00AD5412">
        <w:trPr>
          <w:gridAfter w:val="4"/>
          <w:wAfter w:w="527" w:type="dxa"/>
          <w:trHeight w:val="52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гражданского общества в городе Ханты-Мансийске"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440 928 258,28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178 514 714,36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262 413 543,92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40,49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развития гражданских инициатив"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12 315 000,00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3 859 561,61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8 455 438,39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31,34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реализации гражданских инициатив"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12 265 000,00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3 859 561,61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8 405 438,39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31,47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4 004 000,00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826 399,00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3 177 601,00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20,64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5 800 000,00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3 033 162,61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2 766 837,39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52,30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139 567 526,96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43 298 750,04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96 268 776,92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31,02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обеспечения открытости органов местного самоуправления"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4 842 901,00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1 857 099,00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72,28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4 842 901,00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1 257 099,00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79,39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"Обеспечение деятельности МБУ "Городской информационный центр"</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132 867 526,96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38 455 849,04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94 411 677,92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28,94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132 867 526,96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38 455 849,04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94 411 677,92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28,94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"Цифровое развитие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11 301 500,00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1 009 700,00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10 291 800,00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электронного муниципалитета"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4 626 500,00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4 126 500,00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10,81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Услуги в области информационных технологий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1730120070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4 626 500,00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4 126 500,00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10,81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информационного общества"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6 675 000,00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509 700,00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6 165 300,00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Услуги в области информационных технологий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1730220070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6 675 000,00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509 700,00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6 165 300,00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деятельности, направленной на укрепление института семьи в гражданском обществе"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128 769 500,00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51 348 013,79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77 421 486,21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39,88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85 148 800,00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36 288 002,14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48 860 797,86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42,62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1740184060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85 148 800,00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36 288 002,14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48 860 797,86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42,62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43 620 700,00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15 060 011,65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28 560 688,35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34,52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Субвенция на осуществление деятельности по опеке и попечительству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1740284320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43 620 700,00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15 060 011,65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28 560 688,35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148 974 731,32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78 998 688,92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69 976 042,40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53,03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113 752 243,30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59 345 968,31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54 406 274,99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52,17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8 257 964,00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3 153 593,10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5 104 370,90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38,19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105 494 279,30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56 192 375,21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49 301 904,09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"Обеспечение деятельности МКУ "Служба социальной поддержки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35 222 488,02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19 652 720,61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15 569 767,41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55,80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35 222 488,02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19 652 720,61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15 569 767,41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55,80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3 097 244,64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1900199990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2 497 244,64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1900361800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84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160 084 755,88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90 552 974,99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69 531 780,89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56,57 </w:t>
            </w:r>
          </w:p>
        </w:tc>
      </w:tr>
      <w:tr w:rsidR="00AD5412" w:rsidRPr="00AD5412" w:rsidTr="00AD5412">
        <w:trPr>
          <w:gridAfter w:val="4"/>
          <w:wAfter w:w="527" w:type="dxa"/>
          <w:trHeight w:val="81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25 949 702,95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7 196 992,48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18 752 710,47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27,73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14 763 126,61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2 678 337,76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12 084 788,85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18,14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14 763 126,61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2 678 337,76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12 084 788,85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18,14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11 186 576,34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4 518 654,72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6 667 921,62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40,39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11 186 576,34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4 518 654,72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6 667 921,62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40,39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134 135 052,93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83 355 982,51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134 135 052,93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83 355 982,51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131 634 317,50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80 855 247,08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61,42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2 500 735,43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2 500 735,43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"Обеспечение градостроительной деятельности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162 105 230,04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81 670 904,04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80 434 326,00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50,38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609 000,00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2,56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609 000,00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2,56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161 280 230,04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81 454 904,04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79 825 326,00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50,51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4 635 811,80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860 143,89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3 775 667,91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18,55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347 240,00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115 187,10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232 052,90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33,17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89 535 748,73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44 118 189,08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45 417 559,65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49,27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66 586 441,96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36 346 383,97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30 240 057,99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174 987,55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159 987,55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экспертиз зданий и сооружений"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"Проектирование и строительство инженерных сетей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2400142110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28 053 177,73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"Молодежь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658 538 833,29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114 687 018,17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543 851 815,12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мероприятий в сфере молодежной политики"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14 603 747,47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9 781 905,46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4 821 842,01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66,98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2500185160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13 753 747,47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9 781 905,46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3 971 842,01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71,12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муниципального бюджетного учреждения "Молодежный центр"</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12 502 641,38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6 130 709,16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6 371 932,22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12 502 641,38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6 130 709,16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6 371 932,22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реконструкция зданий для размещения учреждений молодежной политики"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631 432 444,44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98 774 403,55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532 658 040,89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образовательных организаций, организаций для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2500382090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568 289 200,00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88 896 963,20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479 392 236,80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25003S2090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63 143 244,44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9 877 440,35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53 265 804,09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614 661 780,57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297 533 441,53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317 128 339,04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48,41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3 798 400,00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211 565,00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3 586 835,00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3 798 400,00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211 565,00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3 586 835,00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 </w:t>
            </w:r>
          </w:p>
        </w:tc>
      </w:tr>
      <w:tr w:rsidR="00AD5412" w:rsidRPr="00AD5412" w:rsidTr="00AD5412">
        <w:trPr>
          <w:gridAfter w:val="4"/>
          <w:wAfter w:w="527" w:type="dxa"/>
          <w:trHeight w:val="18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610 863 380,57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297 321 876,53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313 541 504,04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48,67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Глава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5 977 586,00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3 655 202,55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2 322 383,45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61,15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250 584 865,13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143 144 496,57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107 440 368,56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57,12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297 812 279,41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128 888 889,60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168 923 389,81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43,28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35 402 950,03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12 437 819,19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22 965 130,84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35,13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2600584270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10 795 600,00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4 278 402,36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6 517 197,64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39,63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2600559300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7 870 900,00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4 360 760,90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3 510 139,10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55,40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26005D9300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2 419 200,00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556 305,36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1 862 894,64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23,00 </w:t>
            </w:r>
          </w:p>
        </w:tc>
      </w:tr>
      <w:tr w:rsidR="00AD5412" w:rsidRPr="00AD5412" w:rsidTr="00AD5412">
        <w:trPr>
          <w:gridAfter w:val="4"/>
          <w:wAfter w:w="527" w:type="dxa"/>
          <w:trHeight w:val="57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отдельных секторов экономики города Ханты-Мансийска"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76 659 764,94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29 908 722,59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46 751 042,35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39,01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9 393 245,94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5 876 465,33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3 516 780,61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4 379 468,16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1 574 807,55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2 804 660,61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35,96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4 379 468,16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1 574 807,55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2 804 660,61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35,96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250 880,00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212 120,00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271I482320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416 700,00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225 792,00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190 908,00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271I4S2320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46 300,00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25 088,00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21 212,00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4 050 777,78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4 050 777,78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финансовую поддержку субъектов малого и среднего предпринимательства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271I582380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3 645 700,00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3 645 700,00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271I5S2380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405 077,78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405 077,78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31 073 380,00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11 243 380,13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19 829 999,87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36,18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животноводства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поддержку и развитие животноводства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2720284350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рыбохозяйственного комплекса"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15 174 000,00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11 243 380,13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3 930 619,87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74,10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2720461100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11 243 380,13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3 756 619,87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74,96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развитие рыбохозяйственного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2720484180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заготовки и переработки дикоросов"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15 192 380,00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15 192 380,00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2720542110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14 761 380,00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14 761 380,00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развитие деятельности по заготовке и переработке дикоросов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2720584190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2720699990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инвестиционной деятельности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"Корректировка (уточнение) документов стратегического развития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2730299990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11 786 500,00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2 419 963,70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9 366 536,30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20,53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208 127,00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138 127,00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33,63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2740184120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58 127,00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58 127,00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46,67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2740384120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3 607 373,00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1 789 963,68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1 817 409,32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49,62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2740484120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3 607 373,00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1 789 963,68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1 817 409,32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49,62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"Содействие трудоустройству граждан"</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7 831 000,00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560 000,02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7 270 999,98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мероприятий по содействию трудоустройству граждан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2740685060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7 831 000,00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560 000,02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7 270 999,98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23 406 639,00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10 368 913,43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13 037 725,57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44,30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6 390 562,00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1 196 590,00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5 193 972,00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18,72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6 390 562,00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1 196 590,00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5 193 972,00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18,72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3 950 000,00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2 900 000,00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73,42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2 900 000,00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73,42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МБУ "Управление по развитию туризма и внешних связей"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13 066 077,00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6 272 323,43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6 793 753,57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2750500590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13 066 077,00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6 272 323,43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6 793 753,57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48,00 </w:t>
            </w:r>
          </w:p>
        </w:tc>
      </w:tr>
      <w:tr w:rsidR="00AD5412" w:rsidRPr="00AD5412" w:rsidTr="00AD5412">
        <w:trPr>
          <w:gridAfter w:val="4"/>
          <w:wAfter w:w="527" w:type="dxa"/>
          <w:trHeight w:val="28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ИТОГО:</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12 570 473 303,70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5 262 810 337,67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7 307 662 966,03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41,87 </w:t>
            </w:r>
          </w:p>
        </w:tc>
      </w:tr>
    </w:tbl>
    <w:p w:rsidR="00FE7AF6" w:rsidRPr="008532E2" w:rsidRDefault="00FE7AF6" w:rsidP="00622FFA">
      <w:pPr>
        <w:spacing w:after="0" w:line="240" w:lineRule="auto"/>
        <w:jc w:val="right"/>
        <w:rPr>
          <w:rFonts w:ascii="Times New Roman" w:eastAsia="Times New Roman" w:hAnsi="Times New Roman" w:cs="Times New Roman"/>
          <w:sz w:val="14"/>
          <w:szCs w:val="14"/>
        </w:rPr>
      </w:pPr>
    </w:p>
    <w:p w:rsidR="007C5A6C" w:rsidRDefault="007C5A6C" w:rsidP="008532E2">
      <w:pPr>
        <w:rPr>
          <w:rFonts w:ascii="Times New Roman" w:eastAsia="Times New Roman" w:hAnsi="Times New Roman" w:cs="Times New Roman"/>
          <w:sz w:val="14"/>
          <w:szCs w:val="14"/>
        </w:rPr>
      </w:pPr>
    </w:p>
    <w:p w:rsidR="00757BEA" w:rsidRDefault="00757BEA" w:rsidP="008532E2">
      <w:pPr>
        <w:rPr>
          <w:rFonts w:ascii="Times New Roman" w:eastAsia="Times New Roman" w:hAnsi="Times New Roman" w:cs="Times New Roman"/>
          <w:sz w:val="14"/>
          <w:szCs w:val="14"/>
        </w:rPr>
      </w:pPr>
    </w:p>
    <w:p w:rsidR="00757BEA" w:rsidRDefault="00757BEA">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757BEA" w:rsidRDefault="00757BEA" w:rsidP="00757BEA">
      <w:pPr>
        <w:spacing w:after="0" w:line="240" w:lineRule="auto"/>
        <w:jc w:val="right"/>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5638CB">
        <w:rPr>
          <w:rFonts w:ascii="Times New Roman" w:eastAsia="Times New Roman" w:hAnsi="Times New Roman" w:cs="Times New Roman"/>
          <w:sz w:val="14"/>
          <w:szCs w:val="14"/>
        </w:rPr>
        <w:t>2</w:t>
      </w:r>
      <w:r w:rsidRPr="008532E2">
        <w:rPr>
          <w:rFonts w:ascii="Times New Roman" w:eastAsia="Times New Roman" w:hAnsi="Times New Roman" w:cs="Times New Roman"/>
          <w:sz w:val="14"/>
          <w:szCs w:val="14"/>
        </w:rPr>
        <w:t xml:space="preserve"> к пояснительной записке</w:t>
      </w:r>
    </w:p>
    <w:p w:rsidR="00757BEA" w:rsidRDefault="00757BEA" w:rsidP="00757BEA">
      <w:pPr>
        <w:spacing w:after="0" w:line="240" w:lineRule="auto"/>
        <w:jc w:val="right"/>
        <w:rPr>
          <w:rFonts w:ascii="Times New Roman" w:eastAsia="Times New Roman" w:hAnsi="Times New Roman" w:cs="Times New Roman"/>
          <w:sz w:val="14"/>
          <w:szCs w:val="14"/>
        </w:rPr>
      </w:pPr>
    </w:p>
    <w:p w:rsidR="00757BEA" w:rsidRPr="008532E2" w:rsidRDefault="00757BEA" w:rsidP="00757BEA">
      <w:pPr>
        <w:spacing w:after="0" w:line="240" w:lineRule="auto"/>
        <w:jc w:val="right"/>
        <w:rPr>
          <w:rFonts w:ascii="Times New Roman" w:eastAsia="Times New Roman" w:hAnsi="Times New Roman" w:cs="Times New Roman"/>
          <w:sz w:val="14"/>
          <w:szCs w:val="14"/>
        </w:rPr>
      </w:pPr>
    </w:p>
    <w:p w:rsidR="00757BEA" w:rsidRDefault="00757BEA" w:rsidP="00757BEA">
      <w:pPr>
        <w:jc w:val="center"/>
        <w:rPr>
          <w:rFonts w:ascii="Times New Roman" w:eastAsia="Times New Roman" w:hAnsi="Times New Roman" w:cs="Times New Roman"/>
          <w:sz w:val="14"/>
          <w:szCs w:val="14"/>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w:t>
      </w:r>
      <w:r w:rsidRPr="00757BEA">
        <w:rPr>
          <w:rFonts w:ascii="Times New Roman" w:eastAsia="Times New Roman" w:hAnsi="Times New Roman" w:cs="Times New Roman"/>
          <w:b/>
          <w:bCs/>
          <w:sz w:val="20"/>
          <w:szCs w:val="20"/>
        </w:rPr>
        <w:t xml:space="preserve">на реализацию региональных проектов, направленных на достижение результатов национальных (федеральных) проектов </w:t>
      </w:r>
      <w:r w:rsidRPr="008532E2">
        <w:rPr>
          <w:rFonts w:ascii="Times New Roman" w:eastAsia="Times New Roman" w:hAnsi="Times New Roman" w:cs="Times New Roman"/>
          <w:b/>
          <w:bCs/>
          <w:sz w:val="20"/>
          <w:szCs w:val="20"/>
        </w:rPr>
        <w:t xml:space="preserve">за </w:t>
      </w:r>
      <w:r w:rsidR="006A70FF">
        <w:rPr>
          <w:rFonts w:ascii="Times New Roman" w:eastAsia="Times New Roman" w:hAnsi="Times New Roman" w:cs="Times New Roman"/>
          <w:b/>
          <w:bCs/>
          <w:sz w:val="20"/>
          <w:szCs w:val="20"/>
        </w:rPr>
        <w:t>полугодие</w:t>
      </w:r>
      <w:r w:rsidRPr="008532E2">
        <w:rPr>
          <w:rFonts w:ascii="Times New Roman" w:eastAsia="Times New Roman" w:hAnsi="Times New Roman" w:cs="Times New Roman"/>
          <w:b/>
          <w:bCs/>
          <w:sz w:val="20"/>
          <w:szCs w:val="20"/>
        </w:rPr>
        <w:t xml:space="preserve"> 2022 года</w:t>
      </w:r>
    </w:p>
    <w:p w:rsidR="00757BEA" w:rsidRDefault="00757BEA" w:rsidP="00757BEA">
      <w:pPr>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w:t>
      </w:r>
      <w:r w:rsidRPr="008532E2">
        <w:rPr>
          <w:rFonts w:ascii="Times New Roman" w:eastAsia="Times New Roman" w:hAnsi="Times New Roman" w:cs="Times New Roman"/>
          <w:bCs/>
          <w:sz w:val="14"/>
          <w:szCs w:val="14"/>
        </w:rPr>
        <w:t>рубли)</w:t>
      </w:r>
    </w:p>
    <w:tbl>
      <w:tblPr>
        <w:tblW w:w="15304" w:type="dxa"/>
        <w:tblInd w:w="113" w:type="dxa"/>
        <w:tblLayout w:type="fixed"/>
        <w:tblLook w:val="04A0" w:firstRow="1" w:lastRow="0" w:firstColumn="1" w:lastColumn="0" w:noHBand="0" w:noVBand="1"/>
      </w:tblPr>
      <w:tblGrid>
        <w:gridCol w:w="562"/>
        <w:gridCol w:w="1765"/>
        <w:gridCol w:w="1265"/>
        <w:gridCol w:w="1223"/>
        <w:gridCol w:w="1134"/>
        <w:gridCol w:w="1276"/>
        <w:gridCol w:w="1134"/>
        <w:gridCol w:w="1134"/>
        <w:gridCol w:w="1134"/>
        <w:gridCol w:w="1134"/>
        <w:gridCol w:w="850"/>
        <w:gridCol w:w="992"/>
        <w:gridCol w:w="851"/>
        <w:gridCol w:w="850"/>
      </w:tblGrid>
      <w:tr w:rsidR="00D17EAA" w:rsidRPr="00D17EAA" w:rsidTr="00D17EAA">
        <w:trPr>
          <w:trHeight w:val="28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п/п</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Наименование проекта</w:t>
            </w:r>
          </w:p>
        </w:tc>
        <w:tc>
          <w:tcPr>
            <w:tcW w:w="12977" w:type="dxa"/>
            <w:gridSpan w:val="12"/>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2022 год</w:t>
            </w:r>
          </w:p>
        </w:tc>
      </w:tr>
      <w:tr w:rsidR="00D17EAA" w:rsidRPr="00D17EAA" w:rsidTr="00D17EAA">
        <w:trPr>
          <w:trHeight w:val="28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3622" w:type="dxa"/>
            <w:gridSpan w:val="3"/>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c>
          <w:tcPr>
            <w:tcW w:w="4536" w:type="dxa"/>
            <w:gridSpan w:val="4"/>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Исполнено, в том числе:</w:t>
            </w:r>
          </w:p>
        </w:tc>
        <w:tc>
          <w:tcPr>
            <w:tcW w:w="3543" w:type="dxa"/>
            <w:gridSpan w:val="4"/>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исполнения</w:t>
            </w:r>
          </w:p>
        </w:tc>
      </w:tr>
      <w:tr w:rsidR="00D17EAA" w:rsidRPr="00D17EAA" w:rsidTr="00D17EAA">
        <w:trPr>
          <w:trHeight w:val="338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265"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23"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6" w:type="dxa"/>
            <w:vMerge/>
            <w:tcBorders>
              <w:top w:val="nil"/>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c>
          <w:tcPr>
            <w:tcW w:w="850"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2"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850"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6</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color w:val="000000"/>
                <w:sz w:val="14"/>
                <w:szCs w:val="14"/>
              </w:rPr>
            </w:pPr>
            <w:r w:rsidRPr="00D17EAA">
              <w:rPr>
                <w:rFonts w:ascii="Times New Roman" w:eastAsia="Times New Roman" w:hAnsi="Times New Roman" w:cs="Times New Roman"/>
                <w:b/>
                <w:bCs/>
                <w:color w:val="000000"/>
                <w:sz w:val="14"/>
                <w:szCs w:val="14"/>
              </w:rPr>
              <w:t>Всего на реализацию национальных проектов</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1 761 090 558,49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211 107 975,03</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211 107 975,03</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1 972 198 533,52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94 600 531,92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22 969 796,02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22 969 796,02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117 570 327,94</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5,37</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10,88</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10,88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5,96</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''Культура''(А)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"Культурная среда"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''Цифровая экономика''(D)</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''Образование''(Е)</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1 678 233 500,00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1 864 703 908,89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34 069 539,92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37 855 044,36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"Современная школа"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1 678 233 500,00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1 864 703 908,89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34 069 539,92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37 855 044,36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"Успех каждого ребенка"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IV.</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36 216 258,49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45 270 508,64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14 634 700,00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18 293 375,00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36 216 258,49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45 270 508,64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14 634 700,00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18 293 375,00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r>
      <w:tr w:rsidR="00D17EAA" w:rsidRPr="00D17EAA" w:rsidTr="00D17EAA">
        <w:trPr>
          <w:trHeight w:val="76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"Обеспечение устойчивого сокращения непригодного для проживания жилищного фонда"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''Экология''(G)</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108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4 062 400,00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451 377,78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451 377,78</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4 513 777,78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3 871 492,00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430 165,78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430 165,78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4 301 657,78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416 700,00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46 300,00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46 300,00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463 000,00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225 792,00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25 088,00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25 088,00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250 880,00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3 645 700,00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4 050 777,78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3 645 700,00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4 050 777,78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''Здравоохранение''(N)</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IX.</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''Демография''(Р)</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553 600,00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583 084,21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"Содействие занятости"</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"Спорт - норма жизни"</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553 600,00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583 084,21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X.</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57 127 254,00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57 120 250,80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99,99</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57 127 254,00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57 120 250,80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99,99</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XI.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E3" w:rsidRDefault="005221E3" w:rsidP="004C25A4">
      <w:pPr>
        <w:spacing w:after="0" w:line="240" w:lineRule="auto"/>
      </w:pPr>
      <w:r>
        <w:separator/>
      </w:r>
    </w:p>
  </w:endnote>
  <w:endnote w:type="continuationSeparator" w:id="0">
    <w:p w:rsidR="005221E3" w:rsidRDefault="005221E3"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E3" w:rsidRDefault="005221E3" w:rsidP="004C25A4">
      <w:pPr>
        <w:spacing w:after="0" w:line="240" w:lineRule="auto"/>
      </w:pPr>
      <w:r>
        <w:separator/>
      </w:r>
    </w:p>
  </w:footnote>
  <w:footnote w:type="continuationSeparator" w:id="0">
    <w:p w:rsidR="005221E3" w:rsidRDefault="005221E3"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5221E3" w:rsidRDefault="005221E3">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AE4542">
          <w:rPr>
            <w:noProof/>
            <w:sz w:val="28"/>
            <w:szCs w:val="28"/>
          </w:rPr>
          <w:t>2</w:t>
        </w:r>
        <w:r w:rsidRPr="000E4D41">
          <w:rPr>
            <w:sz w:val="28"/>
            <w:szCs w:val="28"/>
          </w:rPr>
          <w:fldChar w:fldCharType="end"/>
        </w:r>
      </w:p>
    </w:sdtContent>
  </w:sdt>
  <w:p w:rsidR="005221E3" w:rsidRDefault="005221E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0813"/>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208B"/>
    <w:rsid w:val="001323A3"/>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2A"/>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653D"/>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196"/>
    <w:rsid w:val="002412F2"/>
    <w:rsid w:val="00241695"/>
    <w:rsid w:val="00241B40"/>
    <w:rsid w:val="0024292A"/>
    <w:rsid w:val="00243080"/>
    <w:rsid w:val="002433C7"/>
    <w:rsid w:val="0024492A"/>
    <w:rsid w:val="00244E05"/>
    <w:rsid w:val="00246678"/>
    <w:rsid w:val="00246869"/>
    <w:rsid w:val="002468F9"/>
    <w:rsid w:val="00246D5B"/>
    <w:rsid w:val="00247430"/>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86D04"/>
    <w:rsid w:val="002903E9"/>
    <w:rsid w:val="002907F4"/>
    <w:rsid w:val="00290CBB"/>
    <w:rsid w:val="00291A11"/>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357"/>
    <w:rsid w:val="002C7846"/>
    <w:rsid w:val="002C7E35"/>
    <w:rsid w:val="002C7EC2"/>
    <w:rsid w:val="002D0076"/>
    <w:rsid w:val="002D0C44"/>
    <w:rsid w:val="002D1B94"/>
    <w:rsid w:val="002D2591"/>
    <w:rsid w:val="002D28C2"/>
    <w:rsid w:val="002D2F9B"/>
    <w:rsid w:val="002D505E"/>
    <w:rsid w:val="002D527F"/>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7DD2"/>
    <w:rsid w:val="00340630"/>
    <w:rsid w:val="003410A3"/>
    <w:rsid w:val="00343823"/>
    <w:rsid w:val="00343941"/>
    <w:rsid w:val="00343F49"/>
    <w:rsid w:val="003462AE"/>
    <w:rsid w:val="00346E9D"/>
    <w:rsid w:val="00347B39"/>
    <w:rsid w:val="00352132"/>
    <w:rsid w:val="00353DA5"/>
    <w:rsid w:val="00355553"/>
    <w:rsid w:val="003565B9"/>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77C"/>
    <w:rsid w:val="003C0EAC"/>
    <w:rsid w:val="003C1C25"/>
    <w:rsid w:val="003C1DB3"/>
    <w:rsid w:val="003C2527"/>
    <w:rsid w:val="003C2B7F"/>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6FD0"/>
    <w:rsid w:val="00407E9F"/>
    <w:rsid w:val="00410A37"/>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28E"/>
    <w:rsid w:val="0047738C"/>
    <w:rsid w:val="00480E99"/>
    <w:rsid w:val="00480FBE"/>
    <w:rsid w:val="00481BC9"/>
    <w:rsid w:val="00482447"/>
    <w:rsid w:val="0048254A"/>
    <w:rsid w:val="0048262B"/>
    <w:rsid w:val="004828F3"/>
    <w:rsid w:val="00482C2D"/>
    <w:rsid w:val="00482E49"/>
    <w:rsid w:val="004839D7"/>
    <w:rsid w:val="004845C1"/>
    <w:rsid w:val="0048489D"/>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C47"/>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89D"/>
    <w:rsid w:val="005A48C7"/>
    <w:rsid w:val="005A4D33"/>
    <w:rsid w:val="005A5E67"/>
    <w:rsid w:val="005A5F30"/>
    <w:rsid w:val="005A5F7A"/>
    <w:rsid w:val="005A7633"/>
    <w:rsid w:val="005B081D"/>
    <w:rsid w:val="005B0895"/>
    <w:rsid w:val="005B1C6C"/>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674"/>
    <w:rsid w:val="005D4A91"/>
    <w:rsid w:val="005D4C5F"/>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6639"/>
    <w:rsid w:val="005F0CBD"/>
    <w:rsid w:val="005F296B"/>
    <w:rsid w:val="005F4173"/>
    <w:rsid w:val="005F4EC2"/>
    <w:rsid w:val="005F5862"/>
    <w:rsid w:val="005F5B08"/>
    <w:rsid w:val="005F6BED"/>
    <w:rsid w:val="005F7344"/>
    <w:rsid w:val="005F79D7"/>
    <w:rsid w:val="00600060"/>
    <w:rsid w:val="006001A8"/>
    <w:rsid w:val="00600E78"/>
    <w:rsid w:val="00601AC3"/>
    <w:rsid w:val="00602FB6"/>
    <w:rsid w:val="006037CB"/>
    <w:rsid w:val="00603E17"/>
    <w:rsid w:val="00604053"/>
    <w:rsid w:val="006044FF"/>
    <w:rsid w:val="00604EE1"/>
    <w:rsid w:val="0060501E"/>
    <w:rsid w:val="00605376"/>
    <w:rsid w:val="0060578B"/>
    <w:rsid w:val="00605AC9"/>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5E2C"/>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906"/>
    <w:rsid w:val="006B19CF"/>
    <w:rsid w:val="006B24FE"/>
    <w:rsid w:val="006B2731"/>
    <w:rsid w:val="006B2FB7"/>
    <w:rsid w:val="006B3420"/>
    <w:rsid w:val="006B4357"/>
    <w:rsid w:val="006B454F"/>
    <w:rsid w:val="006B5A4A"/>
    <w:rsid w:val="006B6F86"/>
    <w:rsid w:val="006B7248"/>
    <w:rsid w:val="006B7457"/>
    <w:rsid w:val="006B770C"/>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4795"/>
    <w:rsid w:val="006E5134"/>
    <w:rsid w:val="006E555A"/>
    <w:rsid w:val="006E55C7"/>
    <w:rsid w:val="006E72B4"/>
    <w:rsid w:val="006E77D7"/>
    <w:rsid w:val="006F01F3"/>
    <w:rsid w:val="006F08A3"/>
    <w:rsid w:val="006F0F2D"/>
    <w:rsid w:val="006F1252"/>
    <w:rsid w:val="006F1E69"/>
    <w:rsid w:val="006F2515"/>
    <w:rsid w:val="006F3420"/>
    <w:rsid w:val="006F3665"/>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01E"/>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2417"/>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94E"/>
    <w:rsid w:val="008C5CBD"/>
    <w:rsid w:val="008C6170"/>
    <w:rsid w:val="008C6886"/>
    <w:rsid w:val="008C6F0B"/>
    <w:rsid w:val="008C7328"/>
    <w:rsid w:val="008C7BAC"/>
    <w:rsid w:val="008D073E"/>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12B6"/>
    <w:rsid w:val="00961AAF"/>
    <w:rsid w:val="009620AE"/>
    <w:rsid w:val="00962BAA"/>
    <w:rsid w:val="009634A7"/>
    <w:rsid w:val="00963548"/>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87D45"/>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C6E"/>
    <w:rsid w:val="00A332CB"/>
    <w:rsid w:val="00A3347B"/>
    <w:rsid w:val="00A34344"/>
    <w:rsid w:val="00A344DC"/>
    <w:rsid w:val="00A35E5D"/>
    <w:rsid w:val="00A3610E"/>
    <w:rsid w:val="00A36952"/>
    <w:rsid w:val="00A4026D"/>
    <w:rsid w:val="00A40A3C"/>
    <w:rsid w:val="00A40D76"/>
    <w:rsid w:val="00A40F4B"/>
    <w:rsid w:val="00A4310C"/>
    <w:rsid w:val="00A43DA5"/>
    <w:rsid w:val="00A44C17"/>
    <w:rsid w:val="00A45130"/>
    <w:rsid w:val="00A45151"/>
    <w:rsid w:val="00A45C17"/>
    <w:rsid w:val="00A507B4"/>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A0"/>
    <w:rsid w:val="00A64236"/>
    <w:rsid w:val="00A645FB"/>
    <w:rsid w:val="00A6505A"/>
    <w:rsid w:val="00A655DB"/>
    <w:rsid w:val="00A65B40"/>
    <w:rsid w:val="00A65E93"/>
    <w:rsid w:val="00A6665D"/>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947"/>
    <w:rsid w:val="00A92088"/>
    <w:rsid w:val="00A921D7"/>
    <w:rsid w:val="00A92AD7"/>
    <w:rsid w:val="00A92B60"/>
    <w:rsid w:val="00A934B4"/>
    <w:rsid w:val="00A952B2"/>
    <w:rsid w:val="00A95598"/>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E2D"/>
    <w:rsid w:val="00AC42F5"/>
    <w:rsid w:val="00AC4CC4"/>
    <w:rsid w:val="00AC4F13"/>
    <w:rsid w:val="00AC5CF9"/>
    <w:rsid w:val="00AC5DD0"/>
    <w:rsid w:val="00AC688C"/>
    <w:rsid w:val="00AC729D"/>
    <w:rsid w:val="00AC766D"/>
    <w:rsid w:val="00AC7AA1"/>
    <w:rsid w:val="00AC7BCA"/>
    <w:rsid w:val="00AD1CEB"/>
    <w:rsid w:val="00AD3229"/>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4542"/>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4FD"/>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CA6"/>
    <w:rsid w:val="00BB4100"/>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0EA"/>
    <w:rsid w:val="00C36346"/>
    <w:rsid w:val="00C37EF5"/>
    <w:rsid w:val="00C459C7"/>
    <w:rsid w:val="00C45D5B"/>
    <w:rsid w:val="00C46272"/>
    <w:rsid w:val="00C46848"/>
    <w:rsid w:val="00C46950"/>
    <w:rsid w:val="00C47049"/>
    <w:rsid w:val="00C47CD4"/>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97154"/>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F2A"/>
    <w:rsid w:val="00D2473B"/>
    <w:rsid w:val="00D24BA8"/>
    <w:rsid w:val="00D25B21"/>
    <w:rsid w:val="00D26174"/>
    <w:rsid w:val="00D26631"/>
    <w:rsid w:val="00D26B0D"/>
    <w:rsid w:val="00D275F4"/>
    <w:rsid w:val="00D27642"/>
    <w:rsid w:val="00D27754"/>
    <w:rsid w:val="00D27AFD"/>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268C"/>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14C1"/>
    <w:rsid w:val="00F31FF0"/>
    <w:rsid w:val="00F32144"/>
    <w:rsid w:val="00F326A6"/>
    <w:rsid w:val="00F32C31"/>
    <w:rsid w:val="00F32E7A"/>
    <w:rsid w:val="00F32ED2"/>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1 полугодие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2049815.5</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4628227.5999999996</c:v>
                </c:pt>
              </c:numCache>
            </c:numRef>
          </c:val>
        </c:ser>
        <c:dLbls>
          <c:showLegendKey val="0"/>
          <c:showVal val="0"/>
          <c:showCatName val="0"/>
          <c:showSerName val="0"/>
          <c:showPercent val="0"/>
          <c:showBubbleSize val="0"/>
        </c:dLbls>
        <c:gapWidth val="182"/>
        <c:axId val="187393768"/>
        <c:axId val="187392592"/>
      </c:barChart>
      <c:catAx>
        <c:axId val="187393768"/>
        <c:scaling>
          <c:orientation val="minMax"/>
        </c:scaling>
        <c:delete val="1"/>
        <c:axPos val="l"/>
        <c:numFmt formatCode="General" sourceLinked="1"/>
        <c:majorTickMark val="none"/>
        <c:minorTickMark val="none"/>
        <c:tickLblPos val="nextTo"/>
        <c:crossAx val="187392592"/>
        <c:crosses val="autoZero"/>
        <c:auto val="1"/>
        <c:lblAlgn val="ctr"/>
        <c:lblOffset val="100"/>
        <c:noMultiLvlLbl val="0"/>
      </c:catAx>
      <c:valAx>
        <c:axId val="187392592"/>
        <c:scaling>
          <c:orientation val="minMax"/>
        </c:scaling>
        <c:delete val="1"/>
        <c:axPos val="b"/>
        <c:numFmt formatCode="_-* #\ ##0.0\ _₽_-;\-* #\ ##0.0\ _₽_-;_-* &quot;-&quot;?\ _₽_-;_-@_-" sourceLinked="1"/>
        <c:majorTickMark val="none"/>
        <c:minorTickMark val="none"/>
        <c:tickLblPos val="nextTo"/>
        <c:crossAx val="187393768"/>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2022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2022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Социальная сфера</c:v>
                </c:pt>
                <c:pt idx="1">
                  <c:v>Сфера жилищно-коммунального хозяйства</c:v>
                </c:pt>
                <c:pt idx="2">
                  <c:v>Сфера развития отраслей экономики</c:v>
                </c:pt>
                <c:pt idx="3">
                  <c:v>Иные сферы</c:v>
                </c:pt>
              </c:strCache>
            </c:strRef>
          </c:cat>
          <c:val>
            <c:numRef>
              <c:f>Лист1!$B$2:$B$5</c:f>
              <c:numCache>
                <c:formatCode>0.0%</c:formatCode>
                <c:ptCount val="4"/>
                <c:pt idx="0">
                  <c:v>0.65900000000000003</c:v>
                </c:pt>
                <c:pt idx="1">
                  <c:v>0.09</c:v>
                </c:pt>
                <c:pt idx="2">
                  <c:v>0.16400000000000001</c:v>
                </c:pt>
                <c:pt idx="3">
                  <c:v>8.6999999999999994E-2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6892796086701525"/>
          <c:h val="0.742660157480315"/>
        </c:manualLayout>
      </c:layout>
      <c:barChart>
        <c:barDir val="bar"/>
        <c:grouping val="clustered"/>
        <c:varyColors val="0"/>
        <c:ser>
          <c:idx val="0"/>
          <c:order val="0"/>
          <c:tx>
            <c:strRef>
              <c:f>Лист1!$B$1</c:f>
              <c:strCache>
                <c:ptCount val="1"/>
                <c:pt idx="0">
                  <c:v>Поступило за 1 полугодие 2022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3845180.9</c:v>
                </c:pt>
                <c:pt idx="1">
                  <c:v>27385.7</c:v>
                </c:pt>
                <c:pt idx="2">
                  <c:v>565133</c:v>
                </c:pt>
                <c:pt idx="3">
                  <c:v>160155</c:v>
                </c:pt>
                <c:pt idx="4">
                  <c:v>30373</c:v>
                </c:pt>
              </c:numCache>
            </c:numRef>
          </c:val>
        </c:ser>
        <c:dLbls>
          <c:showLegendKey val="0"/>
          <c:showVal val="0"/>
          <c:showCatName val="0"/>
          <c:showSerName val="0"/>
          <c:showPercent val="0"/>
          <c:showBubbleSize val="0"/>
        </c:dLbls>
        <c:gapWidth val="150"/>
        <c:axId val="187392984"/>
        <c:axId val="187387888"/>
      </c:barChart>
      <c:catAx>
        <c:axId val="187392984"/>
        <c:scaling>
          <c:orientation val="minMax"/>
        </c:scaling>
        <c:delete val="0"/>
        <c:axPos val="l"/>
        <c:numFmt formatCode="General" sourceLinked="0"/>
        <c:majorTickMark val="none"/>
        <c:minorTickMark val="none"/>
        <c:tickLblPos val="nextTo"/>
        <c:txPr>
          <a:bodyPr/>
          <a:lstStyle/>
          <a:p>
            <a:pPr>
              <a:defRPr sz="1000"/>
            </a:pPr>
            <a:endParaRPr lang="ru-RU"/>
          </a:p>
        </c:txPr>
        <c:crossAx val="187387888"/>
        <c:crosses val="autoZero"/>
        <c:auto val="1"/>
        <c:lblAlgn val="ctr"/>
        <c:lblOffset val="100"/>
        <c:noMultiLvlLbl val="0"/>
      </c:catAx>
      <c:valAx>
        <c:axId val="187387888"/>
        <c:scaling>
          <c:orientation val="minMax"/>
        </c:scaling>
        <c:delete val="1"/>
        <c:axPos val="b"/>
        <c:numFmt formatCode="_-* #\ ##0.0_р_._-;\-* #\ ##0.0_р_._-;_-* &quot;-&quot;??_р_._-;_-@_-" sourceLinked="1"/>
        <c:majorTickMark val="out"/>
        <c:minorTickMark val="none"/>
        <c:tickLblPos val="nextTo"/>
        <c:crossAx val="187392984"/>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2022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1695334.1</c:v>
                </c:pt>
                <c:pt idx="1">
                  <c:v>13028.8</c:v>
                </c:pt>
                <c:pt idx="2">
                  <c:v>301686.5</c:v>
                </c:pt>
                <c:pt idx="3">
                  <c:v>45449.599999999999</c:v>
                </c:pt>
                <c:pt idx="4">
                  <c:v>14856.2</c:v>
                </c:pt>
              </c:numCache>
            </c:numRef>
          </c:val>
        </c:ser>
        <c:dLbls>
          <c:showLegendKey val="0"/>
          <c:showVal val="0"/>
          <c:showCatName val="0"/>
          <c:showSerName val="0"/>
          <c:showPercent val="0"/>
          <c:showBubbleSize val="0"/>
        </c:dLbls>
        <c:gapWidth val="150"/>
        <c:axId val="187388672"/>
        <c:axId val="187386712"/>
      </c:barChart>
      <c:catAx>
        <c:axId val="187388672"/>
        <c:scaling>
          <c:orientation val="minMax"/>
        </c:scaling>
        <c:delete val="0"/>
        <c:axPos val="b"/>
        <c:numFmt formatCode="General" sourceLinked="0"/>
        <c:majorTickMark val="none"/>
        <c:minorTickMark val="none"/>
        <c:tickLblPos val="nextTo"/>
        <c:crossAx val="187386712"/>
        <c:crosses val="autoZero"/>
        <c:auto val="1"/>
        <c:lblAlgn val="ctr"/>
        <c:lblOffset val="100"/>
        <c:noMultiLvlLbl val="0"/>
      </c:catAx>
      <c:valAx>
        <c:axId val="187386712"/>
        <c:scaling>
          <c:orientation val="minMax"/>
        </c:scaling>
        <c:delete val="1"/>
        <c:axPos val="l"/>
        <c:numFmt formatCode="_-* #\ ##0.0_р_._-;\-* #\ ##0.0_р_._-;_-* &quot;-&quot;??_р_._-;_-@_-" sourceLinked="1"/>
        <c:majorTickMark val="out"/>
        <c:minorTickMark val="none"/>
        <c:tickLblPos val="nextTo"/>
        <c:crossAx val="187388672"/>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2022 года</c:v>
                </c:pt>
              </c:strCache>
            </c:strRef>
          </c:tx>
          <c:spPr>
            <a:solidFill>
              <a:schemeClr val="accent1"/>
            </a:solidFill>
            <a:ln>
              <a:noFill/>
            </a:ln>
            <a:effectLst/>
          </c:spPr>
          <c:invertIfNegative val="0"/>
          <c:dLbls>
            <c:dLbl>
              <c:idx val="0"/>
              <c:layout>
                <c:manualLayout>
                  <c:x val="-5.5386362933354492E-2"/>
                  <c:y val="-3.526093088857546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150525</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195083.9</c:v>
                </c:pt>
              </c:numCache>
            </c:numRef>
          </c:val>
        </c:ser>
        <c:dLbls>
          <c:showLegendKey val="0"/>
          <c:showVal val="0"/>
          <c:showCatName val="0"/>
          <c:showSerName val="0"/>
          <c:showPercent val="0"/>
          <c:showBubbleSize val="0"/>
        </c:dLbls>
        <c:gapWidth val="182"/>
        <c:axId val="187391416"/>
        <c:axId val="187389064"/>
      </c:barChart>
      <c:catAx>
        <c:axId val="187391416"/>
        <c:scaling>
          <c:orientation val="minMax"/>
        </c:scaling>
        <c:delete val="1"/>
        <c:axPos val="l"/>
        <c:numFmt formatCode="General" sourceLinked="1"/>
        <c:majorTickMark val="none"/>
        <c:minorTickMark val="none"/>
        <c:tickLblPos val="nextTo"/>
        <c:crossAx val="187389064"/>
        <c:crosses val="autoZero"/>
        <c:auto val="1"/>
        <c:lblAlgn val="ctr"/>
        <c:lblOffset val="100"/>
        <c:noMultiLvlLbl val="0"/>
      </c:catAx>
      <c:valAx>
        <c:axId val="187389064"/>
        <c:scaling>
          <c:orientation val="minMax"/>
        </c:scaling>
        <c:delete val="1"/>
        <c:axPos val="b"/>
        <c:numFmt formatCode="_-* #\ ##0.0\ _₽_-;\-* #\ ##0.0\ _₽_-;_-* &quot;-&quot;?\ _₽_-;_-@_-" sourceLinked="1"/>
        <c:majorTickMark val="none"/>
        <c:minorTickMark val="none"/>
        <c:tickLblPos val="nextTo"/>
        <c:crossAx val="187391416"/>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180558433485288"/>
          <c:y val="3.9929707614816193E-2"/>
          <c:w val="0.63576357231661829"/>
          <c:h val="0.87331022930079549"/>
        </c:manualLayout>
      </c:layout>
      <c:barChart>
        <c:barDir val="bar"/>
        <c:grouping val="clustered"/>
        <c:varyColors val="0"/>
        <c:ser>
          <c:idx val="0"/>
          <c:order val="0"/>
          <c:tx>
            <c:strRef>
              <c:f>Лист1!$B$1</c:f>
              <c:strCache>
                <c:ptCount val="1"/>
                <c:pt idx="0">
                  <c:v>Поступило за 1 полугодие 2022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86391.4</c:v>
                </c:pt>
                <c:pt idx="1">
                  <c:v>750.8</c:v>
                </c:pt>
                <c:pt idx="2">
                  <c:v>1255.3</c:v>
                </c:pt>
                <c:pt idx="3">
                  <c:v>49505.2</c:v>
                </c:pt>
                <c:pt idx="4">
                  <c:v>12363</c:v>
                </c:pt>
                <c:pt idx="5">
                  <c:v>259.3</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118256</c:v>
                </c:pt>
                <c:pt idx="1">
                  <c:v>12149.6</c:v>
                </c:pt>
                <c:pt idx="2">
                  <c:v>825</c:v>
                </c:pt>
                <c:pt idx="3">
                  <c:v>51292</c:v>
                </c:pt>
                <c:pt idx="4">
                  <c:v>11451.3</c:v>
                </c:pt>
                <c:pt idx="5">
                  <c:v>1110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87394160"/>
        <c:axId val="187391808"/>
      </c:barChart>
      <c:catAx>
        <c:axId val="187394160"/>
        <c:scaling>
          <c:orientation val="minMax"/>
        </c:scaling>
        <c:delete val="0"/>
        <c:axPos val="l"/>
        <c:numFmt formatCode="General" sourceLinked="0"/>
        <c:majorTickMark val="none"/>
        <c:minorTickMark val="none"/>
        <c:tickLblPos val="nextTo"/>
        <c:txPr>
          <a:bodyPr/>
          <a:lstStyle/>
          <a:p>
            <a:pPr>
              <a:defRPr sz="700"/>
            </a:pPr>
            <a:endParaRPr lang="ru-RU"/>
          </a:p>
        </c:txPr>
        <c:crossAx val="187391808"/>
        <c:crosses val="autoZero"/>
        <c:auto val="1"/>
        <c:lblAlgn val="l"/>
        <c:lblOffset val="100"/>
        <c:noMultiLvlLbl val="0"/>
      </c:catAx>
      <c:valAx>
        <c:axId val="187391808"/>
        <c:scaling>
          <c:orientation val="minMax"/>
        </c:scaling>
        <c:delete val="1"/>
        <c:axPos val="b"/>
        <c:numFmt formatCode="_-* #\ ##0.0_р_._-;\-* #\ ##0.0_р_._-;_-* &quot;-&quot;??_р_._-;_-@_-" sourceLinked="1"/>
        <c:majorTickMark val="none"/>
        <c:minorTickMark val="none"/>
        <c:tickLblPos val="none"/>
        <c:crossAx val="18739416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86391.4</c:v>
                </c:pt>
                <c:pt idx="1">
                  <c:v>750.8</c:v>
                </c:pt>
                <c:pt idx="2">
                  <c:v>1255.3</c:v>
                </c:pt>
                <c:pt idx="3">
                  <c:v>49505.2</c:v>
                </c:pt>
                <c:pt idx="4">
                  <c:v>12363</c:v>
                </c:pt>
                <c:pt idx="5">
                  <c:v>259.3</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79808.600000000006</c:v>
                </c:pt>
                <c:pt idx="1">
                  <c:v>9084.9</c:v>
                </c:pt>
                <c:pt idx="2">
                  <c:v>5816.1</c:v>
                </c:pt>
                <c:pt idx="3">
                  <c:v>44521.8</c:v>
                </c:pt>
                <c:pt idx="4">
                  <c:v>17056.400000000001</c:v>
                </c:pt>
                <c:pt idx="5">
                  <c:v>403.6</c:v>
                </c:pt>
              </c:numCache>
            </c:numRef>
          </c:val>
        </c:ser>
        <c:dLbls>
          <c:showLegendKey val="0"/>
          <c:showVal val="0"/>
          <c:showCatName val="0"/>
          <c:showSerName val="0"/>
          <c:showPercent val="0"/>
          <c:showBubbleSize val="0"/>
        </c:dLbls>
        <c:gapWidth val="150"/>
        <c:axId val="187389456"/>
        <c:axId val="187389848"/>
      </c:barChart>
      <c:catAx>
        <c:axId val="187389456"/>
        <c:scaling>
          <c:orientation val="minMax"/>
        </c:scaling>
        <c:delete val="0"/>
        <c:axPos val="l"/>
        <c:numFmt formatCode="General" sourceLinked="0"/>
        <c:majorTickMark val="none"/>
        <c:minorTickMark val="none"/>
        <c:tickLblPos val="nextTo"/>
        <c:txPr>
          <a:bodyPr/>
          <a:lstStyle/>
          <a:p>
            <a:pPr>
              <a:defRPr sz="800"/>
            </a:pPr>
            <a:endParaRPr lang="ru-RU"/>
          </a:p>
        </c:txPr>
        <c:crossAx val="187389848"/>
        <c:crosses val="autoZero"/>
        <c:auto val="1"/>
        <c:lblAlgn val="ctr"/>
        <c:lblOffset val="100"/>
        <c:noMultiLvlLbl val="0"/>
      </c:catAx>
      <c:valAx>
        <c:axId val="187389848"/>
        <c:scaling>
          <c:orientation val="minMax"/>
        </c:scaling>
        <c:delete val="1"/>
        <c:axPos val="b"/>
        <c:numFmt formatCode="_-* #\ ##0.0_р_._-;\-* #\ ##0.0_р_._-;_-* &quot;-&quot;??_р_._-;_-@_-" sourceLinked="1"/>
        <c:majorTickMark val="none"/>
        <c:minorTickMark val="none"/>
        <c:tickLblPos val="none"/>
        <c:crossAx val="187389456"/>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2802931.2</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7338405.0999999996</c:v>
                </c:pt>
              </c:numCache>
            </c:numRef>
          </c:val>
        </c:ser>
        <c:dLbls>
          <c:showLegendKey val="0"/>
          <c:showVal val="0"/>
          <c:showCatName val="0"/>
          <c:showSerName val="0"/>
          <c:showPercent val="0"/>
          <c:showBubbleSize val="0"/>
        </c:dLbls>
        <c:gapWidth val="182"/>
        <c:axId val="187390632"/>
        <c:axId val="121001416"/>
      </c:barChart>
      <c:catAx>
        <c:axId val="187390632"/>
        <c:scaling>
          <c:orientation val="minMax"/>
        </c:scaling>
        <c:delete val="1"/>
        <c:axPos val="l"/>
        <c:numFmt formatCode="General" sourceLinked="1"/>
        <c:majorTickMark val="none"/>
        <c:minorTickMark val="none"/>
        <c:tickLblPos val="nextTo"/>
        <c:crossAx val="121001416"/>
        <c:crosses val="autoZero"/>
        <c:auto val="1"/>
        <c:lblAlgn val="ctr"/>
        <c:lblOffset val="100"/>
        <c:noMultiLvlLbl val="0"/>
      </c:catAx>
      <c:valAx>
        <c:axId val="121001416"/>
        <c:scaling>
          <c:orientation val="minMax"/>
        </c:scaling>
        <c:delete val="1"/>
        <c:axPos val="b"/>
        <c:numFmt formatCode="_-* #\ ##0.0\ _₽_-;\-* #\ ##0.0\ _₽_-;_-* &quot;-&quot;?\ _₽_-;_-@_-" sourceLinked="1"/>
        <c:majorTickMark val="none"/>
        <c:minorTickMark val="none"/>
        <c:tickLblPos val="nextTo"/>
        <c:crossAx val="187390632"/>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076692241938109"/>
          <c:y val="3.5061117787383619E-2"/>
          <c:w val="0.61604166074845756"/>
          <c:h val="0.92133562319516449"/>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_-* #\ ##0.0_р_._-;\-* #\ ##0.0_р_._-;_-* "-"??_р_._-;_-@_-</c:formatCode>
                <c:ptCount val="4"/>
                <c:pt idx="0">
                  <c:v>25370</c:v>
                </c:pt>
                <c:pt idx="1">
                  <c:v>568387.80000000005</c:v>
                </c:pt>
                <c:pt idx="2">
                  <c:v>2125414.2999999998</c:v>
                </c:pt>
                <c:pt idx="3">
                  <c:v>87309.3</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Лист1!$C$2:$C$5</c:f>
              <c:numCache>
                <c:formatCode>_-* #\ ##0.0_р_._-;\-* #\ ##0.0_р_._-;_-* "-"??_р_._-;_-@_-</c:formatCode>
                <c:ptCount val="4"/>
                <c:pt idx="0">
                  <c:v>55173</c:v>
                </c:pt>
                <c:pt idx="1">
                  <c:v>3230068.3</c:v>
                </c:pt>
                <c:pt idx="2">
                  <c:v>3913723.1</c:v>
                </c:pt>
                <c:pt idx="3">
                  <c:v>139440.70000000001</c:v>
                </c:pt>
              </c:numCache>
            </c:numRef>
          </c:val>
        </c:ser>
        <c:dLbls>
          <c:showLegendKey val="0"/>
          <c:showVal val="0"/>
          <c:showCatName val="0"/>
          <c:showSerName val="0"/>
          <c:showPercent val="0"/>
          <c:showBubbleSize val="0"/>
        </c:dLbls>
        <c:gapWidth val="150"/>
        <c:axId val="121002984"/>
        <c:axId val="80201800"/>
      </c:barChart>
      <c:catAx>
        <c:axId val="121002984"/>
        <c:scaling>
          <c:orientation val="minMax"/>
        </c:scaling>
        <c:delete val="0"/>
        <c:axPos val="l"/>
        <c:numFmt formatCode="General" sourceLinked="0"/>
        <c:majorTickMark val="none"/>
        <c:minorTickMark val="none"/>
        <c:tickLblPos val="nextTo"/>
        <c:crossAx val="80201800"/>
        <c:crosses val="autoZero"/>
        <c:auto val="1"/>
        <c:lblAlgn val="ctr"/>
        <c:lblOffset val="100"/>
        <c:noMultiLvlLbl val="0"/>
      </c:catAx>
      <c:valAx>
        <c:axId val="80201800"/>
        <c:scaling>
          <c:orientation val="minMax"/>
        </c:scaling>
        <c:delete val="1"/>
        <c:axPos val="b"/>
        <c:numFmt formatCode="_-* #\ ##0.0_р_._-;\-* #\ ##0.0_р_._-;_-* &quot;-&quot;??_р_._-;_-@_-" sourceLinked="1"/>
        <c:majorTickMark val="none"/>
        <c:minorTickMark val="none"/>
        <c:tickLblPos val="none"/>
        <c:crossAx val="121002984"/>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трансферты</c:v>
                </c:pt>
                <c:pt idx="4">
                  <c:v>Прочие безвозмездные </c:v>
                </c:pt>
                <c:pt idx="5">
                  <c:v>Возврат остатков прошлых лет</c:v>
                </c:pt>
              </c:strCache>
            </c:strRef>
          </c:cat>
          <c:val>
            <c:numRef>
              <c:f>Лист1!$B$2:$B$7</c:f>
              <c:numCache>
                <c:formatCode>_-* #\ ##0.0_р_._-;\-* #\ ##0.0_р_._-;_-* "-"??_р_._-;_-@_-</c:formatCode>
                <c:ptCount val="6"/>
                <c:pt idx="0">
                  <c:v>25370</c:v>
                </c:pt>
                <c:pt idx="1">
                  <c:v>568387.80000000005</c:v>
                </c:pt>
                <c:pt idx="2">
                  <c:v>2125414.2999999998</c:v>
                </c:pt>
                <c:pt idx="3">
                  <c:v>87309.3</c:v>
                </c:pt>
                <c:pt idx="4">
                  <c:v>0</c:v>
                </c:pt>
                <c:pt idx="5">
                  <c:v>-3550.2</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Дотации</c:v>
                </c:pt>
                <c:pt idx="1">
                  <c:v>Субсидии</c:v>
                </c:pt>
                <c:pt idx="2">
                  <c:v>Субвенции</c:v>
                </c:pt>
                <c:pt idx="3">
                  <c:v>Иные межбюджетные трансферты</c:v>
                </c:pt>
                <c:pt idx="4">
                  <c:v>Прочие безвозмездные </c:v>
                </c:pt>
                <c:pt idx="5">
                  <c:v>Возврат остатков прошлых лет</c:v>
                </c:pt>
              </c:strCache>
            </c:strRef>
          </c:cat>
          <c:val>
            <c:numRef>
              <c:f>Лист1!$C$2:$C$7</c:f>
              <c:numCache>
                <c:formatCode>_-* #\ ##0.0_р_._-;\-* #\ ##0.0_р_._-;_-* "-"??_р_._-;_-@_-</c:formatCode>
                <c:ptCount val="6"/>
                <c:pt idx="1">
                  <c:v>690330.4</c:v>
                </c:pt>
                <c:pt idx="2">
                  <c:v>2005565.5</c:v>
                </c:pt>
                <c:pt idx="3">
                  <c:v>53643.5</c:v>
                </c:pt>
                <c:pt idx="4">
                  <c:v>0</c:v>
                </c:pt>
                <c:pt idx="5">
                  <c:v>-473.2</c:v>
                </c:pt>
              </c:numCache>
            </c:numRef>
          </c:val>
        </c:ser>
        <c:dLbls>
          <c:showLegendKey val="0"/>
          <c:showVal val="0"/>
          <c:showCatName val="0"/>
          <c:showSerName val="0"/>
          <c:showPercent val="0"/>
          <c:showBubbleSize val="0"/>
        </c:dLbls>
        <c:gapWidth val="150"/>
        <c:axId val="189076448"/>
        <c:axId val="189074488"/>
      </c:barChart>
      <c:catAx>
        <c:axId val="189076448"/>
        <c:scaling>
          <c:orientation val="minMax"/>
        </c:scaling>
        <c:delete val="0"/>
        <c:axPos val="l"/>
        <c:numFmt formatCode="General" sourceLinked="0"/>
        <c:majorTickMark val="none"/>
        <c:minorTickMark val="none"/>
        <c:tickLblPos val="nextTo"/>
        <c:crossAx val="189074488"/>
        <c:crosses val="autoZero"/>
        <c:auto val="1"/>
        <c:lblAlgn val="ctr"/>
        <c:lblOffset val="100"/>
        <c:noMultiLvlLbl val="0"/>
      </c:catAx>
      <c:valAx>
        <c:axId val="189074488"/>
        <c:scaling>
          <c:orientation val="minMax"/>
        </c:scaling>
        <c:delete val="1"/>
        <c:axPos val="b"/>
        <c:numFmt formatCode="_-* #\ ##0.0_р_._-;\-* #\ ##0.0_р_._-;_-* &quot;-&quot;??_р_._-;_-@_-" sourceLinked="1"/>
        <c:majorTickMark val="none"/>
        <c:minorTickMark val="none"/>
        <c:tickLblPos val="none"/>
        <c:crossAx val="189076448"/>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A3280-0673-40DE-8883-3AFF75A4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6209</TotalTime>
  <Pages>51</Pages>
  <Words>13445</Words>
  <Characters>76641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212</cp:revision>
  <cp:lastPrinted>2022-08-23T06:37:00Z</cp:lastPrinted>
  <dcterms:created xsi:type="dcterms:W3CDTF">2020-07-14T10:31:00Z</dcterms:created>
  <dcterms:modified xsi:type="dcterms:W3CDTF">2022-10-12T05:25:00Z</dcterms:modified>
</cp:coreProperties>
</file>