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7E" w:rsidRDefault="0089347E" w:rsidP="0089347E">
      <w:pPr>
        <w:spacing w:after="0" w:line="240" w:lineRule="auto"/>
        <w:ind w:right="-284"/>
        <w:jc w:val="center"/>
        <w:rPr>
          <w:rFonts w:ascii="Times New Roman" w:eastAsia="Times New Roman" w:hAnsi="Times New Roman" w:cs="Times New Roman"/>
          <w:b/>
          <w:sz w:val="28"/>
          <w:szCs w:val="28"/>
          <w:lang w:eastAsia="ru-RU"/>
        </w:rPr>
      </w:pPr>
      <w:r w:rsidRPr="00FC4C4C">
        <w:rPr>
          <w:rFonts w:ascii="Times New Roman" w:eastAsia="Times New Roman" w:hAnsi="Times New Roman" w:cs="Times New Roman"/>
          <w:b/>
          <w:bCs/>
          <w:color w:val="000000"/>
          <w:sz w:val="28"/>
          <w:szCs w:val="28"/>
          <w:lang w:eastAsia="ru-RU"/>
        </w:rPr>
        <w:t xml:space="preserve">Перечень </w:t>
      </w:r>
      <w:r>
        <w:rPr>
          <w:rFonts w:ascii="Times New Roman" w:eastAsia="Times New Roman" w:hAnsi="Times New Roman" w:cs="Times New Roman"/>
          <w:b/>
          <w:sz w:val="28"/>
          <w:szCs w:val="28"/>
          <w:lang w:eastAsia="ru-RU"/>
        </w:rPr>
        <w:t xml:space="preserve">нормативных </w:t>
      </w:r>
      <w:r w:rsidRPr="00FC4C4C">
        <w:rPr>
          <w:rFonts w:ascii="Times New Roman" w:eastAsia="Times New Roman" w:hAnsi="Times New Roman" w:cs="Times New Roman"/>
          <w:b/>
          <w:sz w:val="28"/>
          <w:szCs w:val="28"/>
          <w:lang w:eastAsia="ru-RU"/>
        </w:rPr>
        <w:t>правовых актов, содержащих обязательные требования, соблюдение которых оценивается при пров</w:t>
      </w:r>
      <w:r w:rsidRPr="00D570A8">
        <w:rPr>
          <w:rFonts w:ascii="Times New Roman" w:eastAsia="Times New Roman" w:hAnsi="Times New Roman" w:cs="Times New Roman"/>
          <w:b/>
          <w:sz w:val="28"/>
          <w:szCs w:val="28"/>
          <w:lang w:eastAsia="ru-RU"/>
        </w:rPr>
        <w:t xml:space="preserve">едении </w:t>
      </w:r>
    </w:p>
    <w:p w:rsidR="0089347E" w:rsidRDefault="0089347E" w:rsidP="0089347E">
      <w:pPr>
        <w:autoSpaceDE w:val="0"/>
        <w:autoSpaceDN w:val="0"/>
        <w:adjustRightInd w:val="0"/>
        <w:spacing w:after="0" w:line="240" w:lineRule="auto"/>
        <w:jc w:val="center"/>
        <w:rPr>
          <w:rFonts w:ascii="Times New Roman" w:hAnsi="Times New Roman" w:cs="Times New Roman"/>
          <w:b/>
          <w:bCs/>
          <w:sz w:val="28"/>
          <w:szCs w:val="28"/>
        </w:rPr>
      </w:pPr>
      <w:r w:rsidRPr="00D570A8">
        <w:rPr>
          <w:rFonts w:ascii="Times New Roman" w:eastAsia="Times New Roman" w:hAnsi="Times New Roman" w:cs="Times New Roman"/>
          <w:b/>
          <w:sz w:val="28"/>
          <w:szCs w:val="28"/>
          <w:lang w:eastAsia="ru-RU"/>
        </w:rPr>
        <w:t xml:space="preserve">мероприятий </w:t>
      </w:r>
      <w:r w:rsidRPr="00FC4C4C">
        <w:rPr>
          <w:rFonts w:ascii="Times New Roman" w:eastAsia="Times New Roman" w:hAnsi="Times New Roman" w:cs="Times New Roman"/>
          <w:b/>
          <w:sz w:val="28"/>
          <w:szCs w:val="28"/>
          <w:lang w:eastAsia="ru-RU"/>
        </w:rPr>
        <w:t xml:space="preserve">при осуществлении муниципального </w:t>
      </w:r>
      <w:proofErr w:type="gramStart"/>
      <w:r w:rsidRPr="00FC4C4C">
        <w:rPr>
          <w:rFonts w:ascii="Times New Roman" w:eastAsia="Times New Roman" w:hAnsi="Times New Roman" w:cs="Times New Roman"/>
          <w:b/>
          <w:sz w:val="28"/>
          <w:szCs w:val="28"/>
          <w:lang w:eastAsia="ru-RU"/>
        </w:rPr>
        <w:t xml:space="preserve">контроля </w:t>
      </w:r>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p>
    <w:p w:rsidR="0089347E" w:rsidRDefault="0089347E" w:rsidP="0089347E">
      <w:pPr>
        <w:spacing w:after="0" w:line="240" w:lineRule="auto"/>
        <w:ind w:right="-284"/>
        <w:jc w:val="center"/>
        <w:rPr>
          <w:rFonts w:ascii="Times New Roman" w:eastAsia="Times New Roman" w:hAnsi="Times New Roman" w:cs="Times New Roman"/>
          <w:b/>
          <w:sz w:val="28"/>
          <w:szCs w:val="28"/>
          <w:lang w:eastAsia="ru-RU"/>
        </w:rPr>
      </w:pPr>
    </w:p>
    <w:p w:rsidR="0089347E" w:rsidRPr="00FC4C4C" w:rsidRDefault="0089347E" w:rsidP="0089347E">
      <w:pPr>
        <w:spacing w:after="0" w:line="240" w:lineRule="auto"/>
        <w:ind w:right="-284"/>
        <w:jc w:val="center"/>
        <w:rPr>
          <w:rFonts w:ascii="Times New Roman" w:eastAsia="Times New Roman" w:hAnsi="Times New Roman" w:cs="Times New Roman"/>
          <w:b/>
          <w:sz w:val="28"/>
          <w:szCs w:val="28"/>
          <w:lang w:eastAsia="ru-RU"/>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3"/>
        <w:gridCol w:w="2170"/>
        <w:gridCol w:w="2575"/>
        <w:gridCol w:w="1487"/>
        <w:gridCol w:w="2796"/>
      </w:tblGrid>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 </w:t>
            </w:r>
            <w:proofErr w:type="gramStart"/>
            <w:r w:rsidRPr="0089347E">
              <w:rPr>
                <w:rFonts w:ascii="Times New Roman" w:eastAsia="Times New Roman" w:hAnsi="Times New Roman" w:cs="Times New Roman"/>
                <w:sz w:val="24"/>
                <w:szCs w:val="24"/>
                <w:lang w:eastAsia="ru-RU"/>
              </w:rPr>
              <w:t>п</w:t>
            </w:r>
            <w:proofErr w:type="gramEnd"/>
            <w:r w:rsidRPr="0089347E">
              <w:rPr>
                <w:rFonts w:ascii="Times New Roman" w:eastAsia="Times New Roman" w:hAnsi="Times New Roman" w:cs="Times New Roman"/>
                <w:sz w:val="24"/>
                <w:szCs w:val="24"/>
                <w:lang w:eastAsia="ru-RU"/>
              </w:rPr>
              <w:t>/п</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Наименование и реквизиты акта</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Краткое описание круга лиц и (или) перечня </w:t>
            </w:r>
            <w:proofErr w:type="gramStart"/>
            <w:r w:rsidRPr="0089347E">
              <w:rPr>
                <w:rFonts w:ascii="Times New Roman" w:eastAsia="Times New Roman" w:hAnsi="Times New Roman" w:cs="Times New Roman"/>
                <w:sz w:val="24"/>
                <w:szCs w:val="24"/>
                <w:lang w:eastAsia="ru-RU"/>
              </w:rPr>
              <w:t>объектов</w:t>
            </w:r>
            <w:proofErr w:type="gramEnd"/>
            <w:r w:rsidRPr="0089347E">
              <w:rPr>
                <w:rFonts w:ascii="Times New Roman" w:eastAsia="Times New Roman" w:hAnsi="Times New Roman" w:cs="Times New Roman"/>
                <w:sz w:val="24"/>
                <w:szCs w:val="24"/>
                <w:lang w:eastAsia="ru-RU"/>
              </w:rPr>
              <w:t xml:space="preserve"> в отношении которых устанавливаются обязательные требования</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Указание на структурные единицы акта, соблюдение которых оценивается при проведении мероприятий по контролю </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Текст нормативного акта</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1.</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Закон Российской Федерации от 21.02.1992 № 2395-1 «О недрах» </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участки по добыче </w:t>
            </w:r>
            <w:proofErr w:type="gramStart"/>
            <w:r w:rsidRPr="0089347E">
              <w:rPr>
                <w:rFonts w:ascii="Times New Roman" w:eastAsia="Times New Roman" w:hAnsi="Times New Roman" w:cs="Times New Roman"/>
                <w:sz w:val="24"/>
                <w:szCs w:val="24"/>
                <w:lang w:eastAsia="ru-RU"/>
              </w:rPr>
              <w:t>общераспространенны</w:t>
            </w:r>
            <w:r>
              <w:rPr>
                <w:rFonts w:ascii="Times New Roman" w:eastAsia="Times New Roman" w:hAnsi="Times New Roman" w:cs="Times New Roman"/>
                <w:sz w:val="24"/>
                <w:szCs w:val="24"/>
                <w:lang w:eastAsia="ru-RU"/>
              </w:rPr>
              <w:t>х</w:t>
            </w:r>
            <w:proofErr w:type="gramEnd"/>
            <w:r w:rsidRPr="0089347E">
              <w:rPr>
                <w:rFonts w:ascii="Times New Roman" w:eastAsia="Times New Roman" w:hAnsi="Times New Roman" w:cs="Times New Roman"/>
                <w:sz w:val="24"/>
                <w:szCs w:val="24"/>
                <w:lang w:eastAsia="ru-RU"/>
              </w:rPr>
              <w:t xml:space="preserve">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полезны</w:t>
            </w:r>
            <w:r>
              <w:rPr>
                <w:rFonts w:ascii="Times New Roman" w:eastAsia="Times New Roman" w:hAnsi="Times New Roman" w:cs="Times New Roman"/>
                <w:sz w:val="24"/>
                <w:szCs w:val="24"/>
                <w:lang w:eastAsia="ru-RU"/>
              </w:rPr>
              <w:t>х</w:t>
            </w:r>
            <w:r w:rsidRPr="0089347E">
              <w:rPr>
                <w:rFonts w:ascii="Times New Roman" w:eastAsia="Times New Roman" w:hAnsi="Times New Roman" w:cs="Times New Roman"/>
                <w:sz w:val="24"/>
                <w:szCs w:val="24"/>
                <w:lang w:eastAsia="ru-RU"/>
              </w:rPr>
              <w:t xml:space="preserve"> ископаемы</w:t>
            </w:r>
            <w:r>
              <w:rPr>
                <w:rFonts w:ascii="Times New Roman" w:eastAsia="Times New Roman" w:hAnsi="Times New Roman" w:cs="Times New Roman"/>
                <w:sz w:val="24"/>
                <w:szCs w:val="24"/>
                <w:lang w:eastAsia="ru-RU"/>
              </w:rPr>
              <w:t>х</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Статья, 11</w:t>
            </w:r>
            <w:r w:rsidRPr="0089347E">
              <w:rPr>
                <w:rFonts w:ascii="Times New Roman" w:eastAsia="Times New Roman" w:hAnsi="Times New Roman" w:cs="Times New Roman"/>
                <w:b/>
                <w:bCs/>
                <w:sz w:val="24"/>
                <w:szCs w:val="24"/>
                <w:lang w:eastAsia="ru-RU"/>
              </w:rPr>
              <w:t>.</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roofErr w:type="gramStart"/>
            <w:r w:rsidRPr="0089347E">
              <w:rPr>
                <w:rFonts w:ascii="Times New Roman" w:eastAsia="Times New Roman" w:hAnsi="Times New Roman" w:cs="Times New Roman"/>
                <w:sz w:val="24"/>
                <w:szCs w:val="24"/>
                <w:lang w:eastAsia="ru-RU"/>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5" w:anchor="dst100756" w:history="1">
              <w:r w:rsidRPr="0089347E">
                <w:rPr>
                  <w:rFonts w:ascii="Times New Roman" w:eastAsia="Times New Roman" w:hAnsi="Times New Roman" w:cs="Times New Roman"/>
                  <w:sz w:val="24"/>
                  <w:szCs w:val="24"/>
                  <w:lang w:eastAsia="ru-RU"/>
                </w:rPr>
                <w:t>формы</w:t>
              </w:r>
            </w:hyperlink>
            <w:r w:rsidRPr="0089347E">
              <w:rPr>
                <w:rFonts w:ascii="Times New Roman" w:eastAsia="Times New Roman" w:hAnsi="Times New Roman" w:cs="Times New Roman"/>
                <w:sz w:val="24"/>
                <w:szCs w:val="24"/>
                <w:lang w:eastAsia="ru-RU"/>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bookmarkStart w:id="1" w:name="dst100140"/>
            <w:bookmarkStart w:id="2" w:name="dst100141"/>
            <w:bookmarkEnd w:id="1"/>
            <w:bookmarkEnd w:id="2"/>
            <w:r w:rsidRPr="0089347E">
              <w:rPr>
                <w:rFonts w:ascii="Times New Roman" w:eastAsia="Times New Roman" w:hAnsi="Times New Roman" w:cs="Times New Roman"/>
                <w:sz w:val="24"/>
                <w:szCs w:val="24"/>
                <w:lang w:eastAsia="ru-RU"/>
              </w:rPr>
              <w:lastRenderedPageBreak/>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2.</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Земельный кодекс Российской Федерации от 25.10.2001 № 136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участки по добыче </w:t>
            </w:r>
            <w:proofErr w:type="gramStart"/>
            <w:r w:rsidRPr="0089347E">
              <w:rPr>
                <w:rFonts w:ascii="Times New Roman" w:eastAsia="Times New Roman" w:hAnsi="Times New Roman" w:cs="Times New Roman"/>
                <w:sz w:val="24"/>
                <w:szCs w:val="24"/>
                <w:lang w:eastAsia="ru-RU"/>
              </w:rPr>
              <w:t>общераспространенны</w:t>
            </w:r>
            <w:r>
              <w:rPr>
                <w:rFonts w:ascii="Times New Roman" w:eastAsia="Times New Roman" w:hAnsi="Times New Roman" w:cs="Times New Roman"/>
                <w:sz w:val="24"/>
                <w:szCs w:val="24"/>
                <w:lang w:eastAsia="ru-RU"/>
              </w:rPr>
              <w:t>х</w:t>
            </w:r>
            <w:proofErr w:type="gramEnd"/>
            <w:r w:rsidRPr="0089347E">
              <w:rPr>
                <w:rFonts w:ascii="Times New Roman" w:eastAsia="Times New Roman" w:hAnsi="Times New Roman" w:cs="Times New Roman"/>
                <w:sz w:val="24"/>
                <w:szCs w:val="24"/>
                <w:lang w:eastAsia="ru-RU"/>
              </w:rPr>
              <w:t xml:space="preserve">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полезны</w:t>
            </w:r>
            <w:r>
              <w:rPr>
                <w:rFonts w:ascii="Times New Roman" w:eastAsia="Times New Roman" w:hAnsi="Times New Roman" w:cs="Times New Roman"/>
                <w:sz w:val="24"/>
                <w:szCs w:val="24"/>
                <w:lang w:eastAsia="ru-RU"/>
              </w:rPr>
              <w:t>х</w:t>
            </w:r>
            <w:r w:rsidRPr="0089347E">
              <w:rPr>
                <w:rFonts w:ascii="Times New Roman" w:eastAsia="Times New Roman" w:hAnsi="Times New Roman" w:cs="Times New Roman"/>
                <w:sz w:val="24"/>
                <w:szCs w:val="24"/>
                <w:lang w:eastAsia="ru-RU"/>
              </w:rPr>
              <w:t xml:space="preserve"> ископаемы</w:t>
            </w:r>
            <w:r>
              <w:rPr>
                <w:rFonts w:ascii="Times New Roman" w:eastAsia="Times New Roman" w:hAnsi="Times New Roman" w:cs="Times New Roman"/>
                <w:sz w:val="24"/>
                <w:szCs w:val="24"/>
                <w:lang w:eastAsia="ru-RU"/>
              </w:rPr>
              <w:t>х</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Статья ,25 п.1. </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Права на земельные участки, предусмотренные </w:t>
            </w:r>
            <w:hyperlink r:id="rId6" w:history="1">
              <w:r w:rsidRPr="0089347E">
                <w:rPr>
                  <w:rFonts w:ascii="Times New Roman" w:eastAsia="Times New Roman" w:hAnsi="Times New Roman" w:cs="Times New Roman"/>
                  <w:sz w:val="24"/>
                  <w:szCs w:val="24"/>
                  <w:lang w:eastAsia="ru-RU"/>
                </w:rPr>
                <w:t>главами III</w:t>
              </w:r>
            </w:hyperlink>
            <w:r w:rsidRPr="0089347E">
              <w:rPr>
                <w:rFonts w:ascii="Times New Roman" w:eastAsia="Times New Roman" w:hAnsi="Times New Roman" w:cs="Times New Roman"/>
                <w:sz w:val="24"/>
                <w:szCs w:val="24"/>
                <w:lang w:eastAsia="ru-RU"/>
              </w:rPr>
              <w:t xml:space="preserve"> и </w:t>
            </w:r>
            <w:hyperlink r:id="rId7" w:history="1">
              <w:r w:rsidRPr="0089347E">
                <w:rPr>
                  <w:rFonts w:ascii="Times New Roman" w:eastAsia="Times New Roman" w:hAnsi="Times New Roman" w:cs="Times New Roman"/>
                  <w:sz w:val="24"/>
                  <w:szCs w:val="24"/>
                  <w:lang w:eastAsia="ru-RU"/>
                </w:rPr>
                <w:t>IV</w:t>
              </w:r>
            </w:hyperlink>
            <w:r w:rsidRPr="0089347E">
              <w:rPr>
                <w:rFonts w:ascii="Times New Roman" w:eastAsia="Times New Roman" w:hAnsi="Times New Roman" w:cs="Times New Roman"/>
                <w:sz w:val="24"/>
                <w:szCs w:val="24"/>
                <w:lang w:eastAsia="ru-RU"/>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8" w:history="1">
              <w:r w:rsidRPr="0089347E">
                <w:rPr>
                  <w:rFonts w:ascii="Times New Roman" w:eastAsia="Times New Roman" w:hAnsi="Times New Roman" w:cs="Times New Roman"/>
                  <w:sz w:val="24"/>
                  <w:szCs w:val="24"/>
                  <w:lang w:eastAsia="ru-RU"/>
                </w:rPr>
                <w:t>законом</w:t>
              </w:r>
            </w:hyperlink>
            <w:r w:rsidRPr="0089347E">
              <w:rPr>
                <w:rFonts w:ascii="Times New Roman" w:eastAsia="Times New Roman" w:hAnsi="Times New Roman" w:cs="Times New Roman"/>
                <w:sz w:val="24"/>
                <w:szCs w:val="24"/>
                <w:lang w:eastAsia="ru-RU"/>
              </w:rPr>
              <w:t xml:space="preserve"> "О государственной регистрации недвижимости".</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3.</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Закон Российской </w:t>
            </w:r>
            <w:r w:rsidRPr="0089347E">
              <w:rPr>
                <w:rFonts w:ascii="Times New Roman" w:eastAsia="Times New Roman" w:hAnsi="Times New Roman" w:cs="Times New Roman"/>
                <w:sz w:val="24"/>
                <w:szCs w:val="24"/>
                <w:lang w:eastAsia="ru-RU"/>
              </w:rPr>
              <w:lastRenderedPageBreak/>
              <w:t xml:space="preserve">Федерации от 21.02.1992 № 2395-1 «О недрах» </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 xml:space="preserve">Юридические лица и индивидуальные </w:t>
            </w:r>
            <w:r w:rsidRPr="0089347E">
              <w:rPr>
                <w:rFonts w:ascii="Times New Roman" w:eastAsia="Times New Roman" w:hAnsi="Times New Roman" w:cs="Times New Roman"/>
                <w:sz w:val="24"/>
                <w:szCs w:val="24"/>
                <w:lang w:eastAsia="ru-RU"/>
              </w:rPr>
              <w:lastRenderedPageBreak/>
              <w:t>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участки по добыче </w:t>
            </w:r>
            <w:proofErr w:type="gramStart"/>
            <w:r w:rsidRPr="0089347E">
              <w:rPr>
                <w:rFonts w:ascii="Times New Roman" w:eastAsia="Times New Roman" w:hAnsi="Times New Roman" w:cs="Times New Roman"/>
                <w:sz w:val="24"/>
                <w:szCs w:val="24"/>
                <w:lang w:eastAsia="ru-RU"/>
              </w:rPr>
              <w:t>общераспространенны</w:t>
            </w:r>
            <w:r>
              <w:rPr>
                <w:rFonts w:ascii="Times New Roman" w:eastAsia="Times New Roman" w:hAnsi="Times New Roman" w:cs="Times New Roman"/>
                <w:sz w:val="24"/>
                <w:szCs w:val="24"/>
                <w:lang w:eastAsia="ru-RU"/>
              </w:rPr>
              <w:t>х</w:t>
            </w:r>
            <w:proofErr w:type="gramEnd"/>
            <w:r w:rsidRPr="0089347E">
              <w:rPr>
                <w:rFonts w:ascii="Times New Roman" w:eastAsia="Times New Roman" w:hAnsi="Times New Roman" w:cs="Times New Roman"/>
                <w:sz w:val="24"/>
                <w:szCs w:val="24"/>
                <w:lang w:eastAsia="ru-RU"/>
              </w:rPr>
              <w:t xml:space="preserve">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полезны</w:t>
            </w:r>
            <w:r>
              <w:rPr>
                <w:rFonts w:ascii="Times New Roman" w:eastAsia="Times New Roman" w:hAnsi="Times New Roman" w:cs="Times New Roman"/>
                <w:sz w:val="24"/>
                <w:szCs w:val="24"/>
                <w:lang w:eastAsia="ru-RU"/>
              </w:rPr>
              <w:t>х</w:t>
            </w:r>
            <w:r w:rsidRPr="0089347E">
              <w:rPr>
                <w:rFonts w:ascii="Times New Roman" w:eastAsia="Times New Roman" w:hAnsi="Times New Roman" w:cs="Times New Roman"/>
                <w:sz w:val="24"/>
                <w:szCs w:val="24"/>
                <w:lang w:eastAsia="ru-RU"/>
              </w:rPr>
              <w:t xml:space="preserve"> ископаемы</w:t>
            </w:r>
            <w:r>
              <w:rPr>
                <w:rFonts w:ascii="Times New Roman" w:eastAsia="Times New Roman" w:hAnsi="Times New Roman" w:cs="Times New Roman"/>
                <w:sz w:val="24"/>
                <w:szCs w:val="24"/>
                <w:lang w:eastAsia="ru-RU"/>
              </w:rPr>
              <w:t>х</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 xml:space="preserve">Статья 29. </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roofErr w:type="gramStart"/>
            <w:r w:rsidRPr="0089347E">
              <w:rPr>
                <w:rFonts w:ascii="Times New Roman" w:eastAsia="Times New Roman" w:hAnsi="Times New Roman" w:cs="Times New Roman"/>
                <w:sz w:val="24"/>
                <w:szCs w:val="24"/>
                <w:lang w:eastAsia="ru-RU"/>
              </w:rPr>
              <w:t xml:space="preserve">В целях создания условий для рационального комплексного </w:t>
            </w:r>
            <w:r w:rsidRPr="0089347E">
              <w:rPr>
                <w:rFonts w:ascii="Times New Roman" w:eastAsia="Times New Roman" w:hAnsi="Times New Roman" w:cs="Times New Roman"/>
                <w:sz w:val="24"/>
                <w:szCs w:val="24"/>
                <w:lang w:eastAsia="ru-RU"/>
              </w:rPr>
              <w:lastRenderedPageBreak/>
              <w:t>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w:t>
            </w:r>
            <w:proofErr w:type="gramEnd"/>
            <w:r w:rsidRPr="0089347E">
              <w:rPr>
                <w:rFonts w:ascii="Times New Roman" w:eastAsia="Times New Roman" w:hAnsi="Times New Roman" w:cs="Times New Roman"/>
                <w:sz w:val="24"/>
                <w:szCs w:val="24"/>
                <w:lang w:eastAsia="ru-RU"/>
              </w:rPr>
              <w:t xml:space="preserve"> объем </w:t>
            </w:r>
            <w:proofErr w:type="gramStart"/>
            <w:r w:rsidRPr="0089347E">
              <w:rPr>
                <w:rFonts w:ascii="Times New Roman" w:eastAsia="Times New Roman" w:hAnsi="Times New Roman" w:cs="Times New Roman"/>
                <w:sz w:val="24"/>
                <w:szCs w:val="24"/>
                <w:lang w:eastAsia="ru-RU"/>
              </w:rPr>
              <w:t>добычи</w:t>
            </w:r>
            <w:proofErr w:type="gramEnd"/>
            <w:r w:rsidRPr="0089347E">
              <w:rPr>
                <w:rFonts w:ascii="Times New Roman" w:eastAsia="Times New Roman" w:hAnsi="Times New Roman" w:cs="Times New Roman"/>
                <w:sz w:val="24"/>
                <w:szCs w:val="24"/>
                <w:lang w:eastAsia="ru-RU"/>
              </w:rPr>
              <w:t xml:space="preserve"> которых составляет не более 100 кубических метров в сутки.</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4.</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Закон Российской Федерации от 21.02.1992 № 2395-1 «О недрах» </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участки по добыче </w:t>
            </w:r>
            <w:proofErr w:type="gramStart"/>
            <w:r w:rsidRPr="0089347E">
              <w:rPr>
                <w:rFonts w:ascii="Times New Roman" w:eastAsia="Times New Roman" w:hAnsi="Times New Roman" w:cs="Times New Roman"/>
                <w:sz w:val="24"/>
                <w:szCs w:val="24"/>
                <w:lang w:eastAsia="ru-RU"/>
              </w:rPr>
              <w:t>общераспространенны</w:t>
            </w:r>
            <w:r>
              <w:rPr>
                <w:rFonts w:ascii="Times New Roman" w:eastAsia="Times New Roman" w:hAnsi="Times New Roman" w:cs="Times New Roman"/>
                <w:sz w:val="24"/>
                <w:szCs w:val="24"/>
                <w:lang w:eastAsia="ru-RU"/>
              </w:rPr>
              <w:t>х</w:t>
            </w:r>
            <w:proofErr w:type="gramEnd"/>
            <w:r w:rsidRPr="0089347E">
              <w:rPr>
                <w:rFonts w:ascii="Times New Roman" w:eastAsia="Times New Roman" w:hAnsi="Times New Roman" w:cs="Times New Roman"/>
                <w:sz w:val="24"/>
                <w:szCs w:val="24"/>
                <w:lang w:eastAsia="ru-RU"/>
              </w:rPr>
              <w:t xml:space="preserve">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полезны</w:t>
            </w:r>
            <w:r>
              <w:rPr>
                <w:rFonts w:ascii="Times New Roman" w:eastAsia="Times New Roman" w:hAnsi="Times New Roman" w:cs="Times New Roman"/>
                <w:sz w:val="24"/>
                <w:szCs w:val="24"/>
                <w:lang w:eastAsia="ru-RU"/>
              </w:rPr>
              <w:t>х</w:t>
            </w:r>
            <w:r w:rsidRPr="0089347E">
              <w:rPr>
                <w:rFonts w:ascii="Times New Roman" w:eastAsia="Times New Roman" w:hAnsi="Times New Roman" w:cs="Times New Roman"/>
                <w:sz w:val="24"/>
                <w:szCs w:val="24"/>
                <w:lang w:eastAsia="ru-RU"/>
              </w:rPr>
              <w:t xml:space="preserve"> ископаемы</w:t>
            </w:r>
            <w:r>
              <w:rPr>
                <w:rFonts w:ascii="Times New Roman" w:eastAsia="Times New Roman" w:hAnsi="Times New Roman" w:cs="Times New Roman"/>
                <w:sz w:val="24"/>
                <w:szCs w:val="24"/>
                <w:lang w:eastAsia="ru-RU"/>
              </w:rPr>
              <w:t>х</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Статья 23.2 </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w:t>
            </w:r>
            <w:r w:rsidRPr="0089347E">
              <w:rPr>
                <w:rFonts w:ascii="Times New Roman" w:eastAsia="Times New Roman" w:hAnsi="Times New Roman" w:cs="Times New Roman"/>
                <w:sz w:val="24"/>
                <w:szCs w:val="24"/>
                <w:lang w:eastAsia="ru-RU"/>
              </w:rPr>
              <w:lastRenderedPageBreak/>
              <w:t xml:space="preserve">объектов сельскохозяйственного назначения и объем </w:t>
            </w:r>
            <w:proofErr w:type="gramStart"/>
            <w:r w:rsidRPr="0089347E">
              <w:rPr>
                <w:rFonts w:ascii="Times New Roman" w:eastAsia="Times New Roman" w:hAnsi="Times New Roman" w:cs="Times New Roman"/>
                <w:sz w:val="24"/>
                <w:szCs w:val="24"/>
                <w:lang w:eastAsia="ru-RU"/>
              </w:rPr>
              <w:t>добычи</w:t>
            </w:r>
            <w:proofErr w:type="gramEnd"/>
            <w:r w:rsidRPr="0089347E">
              <w:rPr>
                <w:rFonts w:ascii="Times New Roman" w:eastAsia="Times New Roman" w:hAnsi="Times New Roman" w:cs="Times New Roman"/>
                <w:sz w:val="24"/>
                <w:szCs w:val="24"/>
                <w:lang w:eastAsia="ru-RU"/>
              </w:rPr>
              <w:t xml:space="preserve">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5.</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Закон Российской Федерации от 21.02.1992 № 2395-1 «О недрах»,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участки по добыче </w:t>
            </w:r>
            <w:proofErr w:type="gramStart"/>
            <w:r w:rsidRPr="0089347E">
              <w:rPr>
                <w:rFonts w:ascii="Times New Roman" w:eastAsia="Times New Roman" w:hAnsi="Times New Roman" w:cs="Times New Roman"/>
                <w:sz w:val="24"/>
                <w:szCs w:val="24"/>
                <w:lang w:eastAsia="ru-RU"/>
              </w:rPr>
              <w:t>общераспространенны</w:t>
            </w:r>
            <w:r>
              <w:rPr>
                <w:rFonts w:ascii="Times New Roman" w:eastAsia="Times New Roman" w:hAnsi="Times New Roman" w:cs="Times New Roman"/>
                <w:sz w:val="24"/>
                <w:szCs w:val="24"/>
                <w:lang w:eastAsia="ru-RU"/>
              </w:rPr>
              <w:t>х</w:t>
            </w:r>
            <w:proofErr w:type="gramEnd"/>
            <w:r w:rsidRPr="0089347E">
              <w:rPr>
                <w:rFonts w:ascii="Times New Roman" w:eastAsia="Times New Roman" w:hAnsi="Times New Roman" w:cs="Times New Roman"/>
                <w:sz w:val="24"/>
                <w:szCs w:val="24"/>
                <w:lang w:eastAsia="ru-RU"/>
              </w:rPr>
              <w:t xml:space="preserve"> </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полезны</w:t>
            </w:r>
            <w:r>
              <w:rPr>
                <w:rFonts w:ascii="Times New Roman" w:eastAsia="Times New Roman" w:hAnsi="Times New Roman" w:cs="Times New Roman"/>
                <w:sz w:val="24"/>
                <w:szCs w:val="24"/>
                <w:lang w:eastAsia="ru-RU"/>
              </w:rPr>
              <w:t>х</w:t>
            </w:r>
            <w:r w:rsidRPr="0089347E">
              <w:rPr>
                <w:rFonts w:ascii="Times New Roman" w:eastAsia="Times New Roman" w:hAnsi="Times New Roman" w:cs="Times New Roman"/>
                <w:sz w:val="24"/>
                <w:szCs w:val="24"/>
                <w:lang w:eastAsia="ru-RU"/>
              </w:rPr>
              <w:t xml:space="preserve"> ископаемы</w:t>
            </w:r>
            <w:r>
              <w:rPr>
                <w:rFonts w:ascii="Times New Roman" w:eastAsia="Times New Roman" w:hAnsi="Times New Roman" w:cs="Times New Roman"/>
                <w:sz w:val="24"/>
                <w:szCs w:val="24"/>
                <w:lang w:eastAsia="ru-RU"/>
              </w:rPr>
              <w:t>х</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Статья. 23</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2) обеспечение полноты геологического изучения, рационального комплексного использования и охраны недр;</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5) обеспечение наиболее полного извлечения из недр запасов основных и совместно с ними залегающих полезных </w:t>
            </w:r>
            <w:r w:rsidRPr="0089347E">
              <w:rPr>
                <w:rFonts w:ascii="Times New Roman" w:eastAsia="Times New Roman" w:hAnsi="Times New Roman" w:cs="Times New Roman"/>
                <w:sz w:val="24"/>
                <w:szCs w:val="24"/>
                <w:lang w:eastAsia="ru-RU"/>
              </w:rPr>
              <w:lastRenderedPageBreak/>
              <w:t>ископаемых и попутных компонентов;</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w:t>
            </w:r>
            <w:r w:rsidRPr="0089347E">
              <w:rPr>
                <w:rFonts w:ascii="Times New Roman" w:eastAsia="Times New Roman" w:hAnsi="Times New Roman" w:cs="Times New Roman"/>
                <w:sz w:val="24"/>
                <w:szCs w:val="24"/>
                <w:lang w:eastAsia="ru-RU"/>
              </w:rPr>
              <w:lastRenderedPageBreak/>
              <w:t>технологических нужд;</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В случае нарушения требований настоящей </w:t>
            </w:r>
            <w:r w:rsidRPr="0089347E">
              <w:rPr>
                <w:rFonts w:ascii="Times New Roman" w:eastAsia="Times New Roman" w:hAnsi="Times New Roman" w:cs="Times New Roman"/>
                <w:sz w:val="24"/>
                <w:szCs w:val="24"/>
                <w:lang w:eastAsia="ru-RU"/>
              </w:rPr>
              <w:lastRenderedPageBreak/>
              <w:t>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6.</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Закона Ханты-Мансийского автономного округа – Югры от 17.10.2005 № 82-оз «О пользовании участками недр местного значения на территории Ханты-Мансийского автономного округа – Югры.</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п.6 ст.28</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Владельцы лицензий на пользование недрами для целей разработки месторождений общераспространенных полезных ископаемых ежегодно не позднее 20 числа месяца, следующего за истекшим годом, представляют в уполномоченный орган исполнительной власти</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автономного округа информацию об объемах геологоразведочных работ в натуральных и стоимостных показателях, объемах выполненных работ</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по текущей консервации и (или) ликвидации горных выработок и иных промысловых объектов, а также работ по рекультивации нарушенных и загрязненных земель, восстановлению загрязненных и засоренных водных объектов по формам, </w:t>
            </w:r>
            <w:r w:rsidRPr="0089347E">
              <w:rPr>
                <w:rFonts w:ascii="Times New Roman" w:eastAsia="Times New Roman" w:hAnsi="Times New Roman" w:cs="Times New Roman"/>
                <w:sz w:val="24"/>
                <w:szCs w:val="24"/>
                <w:lang w:eastAsia="ru-RU"/>
              </w:rPr>
              <w:lastRenderedPageBreak/>
              <w:t>устанавливаемым уполномоченным органом исполнительной власти автономного округа.</w:t>
            </w:r>
          </w:p>
        </w:tc>
      </w:tr>
      <w:tr w:rsidR="0089347E" w:rsidRPr="0089347E" w:rsidTr="0089347E">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lastRenderedPageBreak/>
              <w:t>7.</w:t>
            </w: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Юридические лица и индивидуальные предприниматели</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часть 1 статьи 9, часть 1 статьи 10, часть 1 статьи 11, часть 1 статьи 12.</w:t>
            </w:r>
          </w:p>
          <w:p w:rsidR="0089347E" w:rsidRPr="0089347E" w:rsidRDefault="0089347E" w:rsidP="0089347E">
            <w:pPr>
              <w:spacing w:after="150" w:line="336" w:lineRule="atLeast"/>
              <w:jc w:val="center"/>
              <w:rPr>
                <w:rFonts w:ascii="Times New Roman" w:eastAsia="Times New Roman" w:hAnsi="Times New Roman" w:cs="Times New Roman"/>
                <w:sz w:val="24"/>
                <w:szCs w:val="24"/>
                <w:lang w:eastAsia="ru-RU"/>
              </w:rPr>
            </w:pPr>
          </w:p>
        </w:tc>
        <w:tc>
          <w:tcPr>
            <w:tcW w:w="0" w:type="auto"/>
            <w:tcBorders>
              <w:top w:val="dashed" w:sz="6" w:space="0" w:color="ACACAC"/>
              <w:left w:val="dashed" w:sz="6" w:space="0" w:color="ACACAC"/>
              <w:bottom w:val="dashed" w:sz="6" w:space="0" w:color="ACACAC"/>
              <w:right w:val="dashed" w:sz="6" w:space="0" w:color="ACACAC"/>
            </w:tcBorders>
            <w:shd w:val="clear" w:color="auto" w:fill="auto"/>
            <w:tcMar>
              <w:top w:w="0" w:type="dxa"/>
              <w:left w:w="0" w:type="dxa"/>
              <w:bottom w:w="0" w:type="dxa"/>
              <w:right w:w="0" w:type="dxa"/>
            </w:tcMar>
            <w:vAlign w:val="center"/>
            <w:hideMark/>
          </w:tcPr>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Предметом проверки является:</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соответствие их работников, состояние </w:t>
            </w:r>
            <w:r w:rsidRPr="0089347E">
              <w:rPr>
                <w:rFonts w:ascii="Times New Roman" w:eastAsia="Times New Roman" w:hAnsi="Times New Roman" w:cs="Times New Roman"/>
                <w:sz w:val="24"/>
                <w:szCs w:val="24"/>
                <w:lang w:eastAsia="ru-RU"/>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r w:rsidRPr="0089347E">
              <w:rPr>
                <w:rFonts w:ascii="Times New Roman" w:eastAsia="Times New Roman" w:hAnsi="Times New Roman" w:cs="Times New Roman"/>
                <w:sz w:val="24"/>
                <w:szCs w:val="24"/>
                <w:lang w:eastAsia="ru-RU"/>
              </w:rPr>
              <w:t xml:space="preserve">выполнение предписаний и постановлений органов муниципального контроля; </w:t>
            </w:r>
          </w:p>
          <w:p w:rsidR="0089347E" w:rsidRPr="0089347E" w:rsidRDefault="0089347E" w:rsidP="0089347E">
            <w:pPr>
              <w:spacing w:after="150" w:line="336" w:lineRule="atLeast"/>
              <w:rPr>
                <w:rFonts w:ascii="Times New Roman" w:eastAsia="Times New Roman" w:hAnsi="Times New Roman" w:cs="Times New Roman"/>
                <w:sz w:val="24"/>
                <w:szCs w:val="24"/>
                <w:lang w:eastAsia="ru-RU"/>
              </w:rPr>
            </w:pPr>
            <w:proofErr w:type="gramStart"/>
            <w:r w:rsidRPr="0089347E">
              <w:rPr>
                <w:rFonts w:ascii="Times New Roman" w:eastAsia="Times New Roman" w:hAnsi="Times New Roman" w:cs="Times New Roman"/>
                <w:sz w:val="24"/>
                <w:szCs w:val="24"/>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89347E">
              <w:rPr>
                <w:rFonts w:ascii="Times New Roman" w:eastAsia="Times New Roman" w:hAnsi="Times New Roman" w:cs="Times New Roman"/>
                <w:sz w:val="24"/>
                <w:szCs w:val="24"/>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89347E">
              <w:rPr>
                <w:rFonts w:ascii="Times New Roman" w:eastAsia="Times New Roman" w:hAnsi="Times New Roman" w:cs="Times New Roman"/>
                <w:sz w:val="24"/>
                <w:szCs w:val="24"/>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bl>
    <w:p w:rsidR="00D7004C" w:rsidRPr="0089347E" w:rsidRDefault="00D7004C">
      <w:pPr>
        <w:rPr>
          <w:rFonts w:ascii="Times New Roman" w:hAnsi="Times New Roman" w:cs="Times New Roman"/>
          <w:sz w:val="24"/>
          <w:szCs w:val="24"/>
        </w:rPr>
      </w:pPr>
    </w:p>
    <w:sectPr w:rsidR="00D7004C" w:rsidRPr="00893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7E"/>
    <w:rsid w:val="00437339"/>
    <w:rsid w:val="0089347E"/>
    <w:rsid w:val="00D7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8186">
      <w:bodyDiv w:val="1"/>
      <w:marLeft w:val="0"/>
      <w:marRight w:val="0"/>
      <w:marTop w:val="0"/>
      <w:marBottom w:val="0"/>
      <w:divBdr>
        <w:top w:val="none" w:sz="0" w:space="0" w:color="auto"/>
        <w:left w:val="none" w:sz="0" w:space="0" w:color="auto"/>
        <w:bottom w:val="none" w:sz="0" w:space="0" w:color="auto"/>
        <w:right w:val="none" w:sz="0" w:space="0" w:color="auto"/>
      </w:divBdr>
      <w:divsChild>
        <w:div w:id="2029484273">
          <w:marLeft w:val="0"/>
          <w:marRight w:val="0"/>
          <w:marTop w:val="0"/>
          <w:marBottom w:val="0"/>
          <w:divBdr>
            <w:top w:val="none" w:sz="0" w:space="0" w:color="auto"/>
            <w:left w:val="none" w:sz="0" w:space="0" w:color="auto"/>
            <w:bottom w:val="none" w:sz="0" w:space="0" w:color="auto"/>
            <w:right w:val="none" w:sz="0" w:space="0" w:color="auto"/>
          </w:divBdr>
          <w:divsChild>
            <w:div w:id="967854041">
              <w:marLeft w:val="0"/>
              <w:marRight w:val="0"/>
              <w:marTop w:val="0"/>
              <w:marBottom w:val="0"/>
              <w:divBdr>
                <w:top w:val="none" w:sz="0" w:space="0" w:color="auto"/>
                <w:left w:val="none" w:sz="0" w:space="0" w:color="auto"/>
                <w:bottom w:val="none" w:sz="0" w:space="0" w:color="auto"/>
                <w:right w:val="none" w:sz="0" w:space="0" w:color="auto"/>
              </w:divBdr>
              <w:divsChild>
                <w:div w:id="653609530">
                  <w:marLeft w:val="0"/>
                  <w:marRight w:val="0"/>
                  <w:marTop w:val="0"/>
                  <w:marBottom w:val="0"/>
                  <w:divBdr>
                    <w:top w:val="none" w:sz="0" w:space="0" w:color="auto"/>
                    <w:left w:val="none" w:sz="0" w:space="0" w:color="auto"/>
                    <w:bottom w:val="none" w:sz="0" w:space="0" w:color="auto"/>
                    <w:right w:val="none" w:sz="0" w:space="0" w:color="auto"/>
                  </w:divBdr>
                  <w:divsChild>
                    <w:div w:id="1851412987">
                      <w:marLeft w:val="-225"/>
                      <w:marRight w:val="-225"/>
                      <w:marTop w:val="0"/>
                      <w:marBottom w:val="0"/>
                      <w:divBdr>
                        <w:top w:val="none" w:sz="0" w:space="0" w:color="auto"/>
                        <w:left w:val="none" w:sz="0" w:space="0" w:color="auto"/>
                        <w:bottom w:val="none" w:sz="0" w:space="0" w:color="auto"/>
                        <w:right w:val="none" w:sz="0" w:space="0" w:color="auto"/>
                      </w:divBdr>
                      <w:divsChild>
                        <w:div w:id="301273492">
                          <w:marLeft w:val="0"/>
                          <w:marRight w:val="0"/>
                          <w:marTop w:val="0"/>
                          <w:marBottom w:val="0"/>
                          <w:divBdr>
                            <w:top w:val="none" w:sz="0" w:space="0" w:color="auto"/>
                            <w:left w:val="none" w:sz="0" w:space="0" w:color="auto"/>
                            <w:bottom w:val="none" w:sz="0" w:space="0" w:color="auto"/>
                            <w:right w:val="none" w:sz="0" w:space="0" w:color="auto"/>
                          </w:divBdr>
                          <w:divsChild>
                            <w:div w:id="10983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501&amp;rnd=244973.1999220786"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0210&amp;rnd=244973.1629217666&amp;dst=100159&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cons/cgi/online.cgi?req=doc&amp;base=LAW&amp;n=200210&amp;rnd=244973.1108628904&amp;dst=100126&amp;fld=134" TargetMode="External"/><Relationship Id="rId5" Type="http://schemas.openxmlformats.org/officeDocument/2006/relationships/hyperlink" Target="http://www.consultant.ru/document/cons_doc_LAW_963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2018-08-02T04:51:00Z</dcterms:created>
  <dcterms:modified xsi:type="dcterms:W3CDTF">2018-08-02T05:02:00Z</dcterms:modified>
</cp:coreProperties>
</file>