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i (3)" recolor="t" type="frame"/>
    </v:background>
  </w:background>
  <w:body>
    <w:p w:rsidR="005969AF" w:rsidRDefault="005969AF" w:rsidP="00BC06D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</w:rPr>
      </w:pPr>
    </w:p>
    <w:p w:rsidR="005969AF" w:rsidRDefault="005969AF" w:rsidP="00BC06D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</w:rPr>
      </w:pPr>
    </w:p>
    <w:tbl>
      <w:tblPr>
        <w:tblStyle w:val="a9"/>
        <w:tblW w:w="15385" w:type="dxa"/>
        <w:tblLook w:val="04A0" w:firstRow="1" w:lastRow="0" w:firstColumn="1" w:lastColumn="0" w:noHBand="0" w:noVBand="1"/>
      </w:tblPr>
      <w:tblGrid>
        <w:gridCol w:w="4928"/>
        <w:gridCol w:w="5528"/>
        <w:gridCol w:w="4929"/>
      </w:tblGrid>
      <w:tr w:rsidR="005969AF" w:rsidTr="00E350CE">
        <w:trPr>
          <w:trHeight w:val="835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7160A" w:rsidRDefault="0017160A" w:rsidP="0017160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</w:pPr>
            <w:r>
              <w:rPr>
                <w:rFonts w:ascii="Roboto-Regular" w:hAnsi="Roboto-Regular" w:cs="Roboto-Regula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ABEE42" wp14:editId="37E02967">
                  <wp:extent cx="523631" cy="586154"/>
                  <wp:effectExtent l="0" t="0" r="0" b="444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92" cy="5884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160A" w:rsidRPr="009856D4" w:rsidRDefault="0017160A" w:rsidP="0017160A">
            <w:pPr>
              <w:keepNext/>
              <w:ind w:lef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56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ДЕПАРТАМЕНТ</w:t>
            </w:r>
          </w:p>
          <w:p w:rsidR="0017160A" w:rsidRPr="009856D4" w:rsidRDefault="0017160A" w:rsidP="0017160A">
            <w:pPr>
              <w:keepNext/>
              <w:ind w:lef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56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ГРАДОСТРОИТЕЛЬСТВА И АРХИТЕКТУРЫ</w:t>
            </w:r>
          </w:p>
          <w:p w:rsidR="0017160A" w:rsidRPr="009856D4" w:rsidRDefault="0017160A" w:rsidP="0017160A">
            <w:pPr>
              <w:keepNext/>
              <w:ind w:lef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56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АДМИНИСТРАЦИИ ГОРОДА ХАНТЫ-МАНСИЙСКА</w:t>
            </w:r>
          </w:p>
          <w:p w:rsidR="0017160A" w:rsidRDefault="0017160A" w:rsidP="0017160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</w:pPr>
          </w:p>
          <w:p w:rsidR="00B76165" w:rsidRDefault="0017160A" w:rsidP="003F580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</w:pPr>
            <w:r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  <w:t xml:space="preserve">КАК </w:t>
            </w:r>
            <w:r w:rsidR="003F5808" w:rsidRPr="003F5808"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  <w:t>ПРИСВО</w:t>
            </w:r>
            <w:r w:rsidR="003F5808"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  <w:t>ИТЬ</w:t>
            </w:r>
            <w:r w:rsidR="00B76165"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  <w:t xml:space="preserve"> АДРЕС ОБЪЕКТУ АДРЕСАЦИИ</w:t>
            </w:r>
            <w:r w:rsidR="003F5808" w:rsidRPr="003F5808"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  <w:t>, АННУЛИРОВ</w:t>
            </w:r>
            <w:r w:rsidR="003F5808"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  <w:t xml:space="preserve">АТЬ </w:t>
            </w:r>
            <w:r w:rsidR="003F5808" w:rsidRPr="003F5808"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  <w:t>АДРЕС</w:t>
            </w:r>
          </w:p>
          <w:p w:rsidR="0017160A" w:rsidRDefault="00B76165" w:rsidP="003F580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</w:pPr>
            <w:r w:rsidRPr="00B76165"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  <w:t>ОБЪЕКТУ АДРЕСАЦИИ</w:t>
            </w:r>
            <w:r w:rsidR="0017160A"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  <w:t>?</w:t>
            </w:r>
          </w:p>
          <w:p w:rsidR="0017160A" w:rsidRDefault="0017160A" w:rsidP="0017160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</w:pPr>
          </w:p>
          <w:p w:rsidR="003F5808" w:rsidRPr="003F5808" w:rsidRDefault="0017160A" w:rsidP="003F580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</w:pPr>
            <w:r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  <w:t xml:space="preserve">Стандарт предоставления муниципальной услуги </w:t>
            </w:r>
            <w:r w:rsidR="003F5808" w:rsidRPr="003F5808"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  <w:t>по присвоению объекту</w:t>
            </w:r>
          </w:p>
          <w:p w:rsidR="003F5808" w:rsidRPr="003F5808" w:rsidRDefault="003F5808" w:rsidP="003F580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</w:pPr>
            <w:r w:rsidRPr="003F5808"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  <w:t>адресации адреса, аннулированию</w:t>
            </w:r>
          </w:p>
          <w:p w:rsidR="003F5808" w:rsidRPr="003F5808" w:rsidRDefault="003F5808" w:rsidP="003F580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</w:pPr>
            <w:r w:rsidRPr="003F5808"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  <w:t xml:space="preserve">его адреса на территории </w:t>
            </w:r>
          </w:p>
          <w:p w:rsidR="003F5808" w:rsidRPr="003F5808" w:rsidRDefault="003F5808" w:rsidP="003F580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</w:pPr>
            <w:r w:rsidRPr="003F5808"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  <w:t xml:space="preserve">муниципального образования </w:t>
            </w:r>
          </w:p>
          <w:p w:rsidR="003F5808" w:rsidRPr="003F5808" w:rsidRDefault="003F5808" w:rsidP="003F580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</w:pPr>
            <w:r w:rsidRPr="003F5808"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  <w:t xml:space="preserve">Ханты-Мансийского автономного </w:t>
            </w:r>
          </w:p>
          <w:p w:rsidR="003F5808" w:rsidRPr="003F5808" w:rsidRDefault="003F5808" w:rsidP="003F580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</w:pPr>
            <w:r w:rsidRPr="003F5808"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  <w:t>округа – Югры городской округ</w:t>
            </w:r>
          </w:p>
          <w:p w:rsidR="0017160A" w:rsidRDefault="003F5808" w:rsidP="003F580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</w:pPr>
            <w:r w:rsidRPr="003F5808"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  <w:t>город Ханты-Мансийск</w:t>
            </w:r>
          </w:p>
          <w:p w:rsidR="0017160A" w:rsidRDefault="0017160A" w:rsidP="0017160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</w:pPr>
            <w:r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  <w:t>(извлечения из административного регламента)</w:t>
            </w:r>
          </w:p>
          <w:p w:rsidR="0017160A" w:rsidRDefault="0017160A" w:rsidP="0017160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</w:pPr>
          </w:p>
          <w:p w:rsidR="0017160A" w:rsidRDefault="0017160A" w:rsidP="0017160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</w:pPr>
          </w:p>
          <w:p w:rsidR="0017160A" w:rsidRDefault="0017160A" w:rsidP="0017160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</w:pPr>
          </w:p>
          <w:p w:rsidR="009D7CFF" w:rsidRDefault="0017160A" w:rsidP="005969A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  <w:r w:rsidRPr="009D7CFF">
              <w:rPr>
                <w:rFonts w:ascii="Roboto-Regular" w:hAnsi="Roboto-Regular" w:cs="Roboto-Regula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E47212" wp14:editId="02F8D291">
                  <wp:extent cx="2454030" cy="749720"/>
                  <wp:effectExtent l="133350" t="114300" r="137160" b="16510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853" cy="7502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B6783" w:rsidRDefault="00EB6783" w:rsidP="00E350CE">
            <w:pPr>
              <w:autoSpaceDE w:val="0"/>
              <w:autoSpaceDN w:val="0"/>
              <w:adjustRightInd w:val="0"/>
              <w:ind w:left="349" w:firstLine="142"/>
              <w:jc w:val="center"/>
              <w:rPr>
                <w:rFonts w:ascii="RobotoCondensed-Regular" w:hAnsi="RobotoCondensed-Regular" w:cs="RobotoCondensed-Regular"/>
                <w:color w:val="000000"/>
                <w:sz w:val="23"/>
                <w:szCs w:val="23"/>
              </w:rPr>
            </w:pPr>
          </w:p>
          <w:p w:rsidR="00EB6783" w:rsidRDefault="00EB6783" w:rsidP="00E350CE">
            <w:pPr>
              <w:autoSpaceDE w:val="0"/>
              <w:autoSpaceDN w:val="0"/>
              <w:adjustRightInd w:val="0"/>
              <w:ind w:left="349" w:firstLine="142"/>
              <w:jc w:val="center"/>
              <w:rPr>
                <w:rFonts w:ascii="Roboto-Bold" w:hAnsi="Roboto-Bold" w:cs="Roboto-Bold"/>
                <w:b/>
                <w:bCs/>
              </w:rPr>
            </w:pPr>
          </w:p>
        </w:tc>
      </w:tr>
    </w:tbl>
    <w:p w:rsidR="005969AF" w:rsidRDefault="005969AF" w:rsidP="00BC06D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</w:rPr>
      </w:pPr>
    </w:p>
    <w:tbl>
      <w:tblPr>
        <w:tblStyle w:val="a9"/>
        <w:tblW w:w="15102" w:type="dxa"/>
        <w:tblLook w:val="04A0" w:firstRow="1" w:lastRow="0" w:firstColumn="1" w:lastColumn="0" w:noHBand="0" w:noVBand="1"/>
      </w:tblPr>
      <w:tblGrid>
        <w:gridCol w:w="4889"/>
        <w:gridCol w:w="5197"/>
        <w:gridCol w:w="5016"/>
      </w:tblGrid>
      <w:tr w:rsidR="005969AF" w:rsidTr="00B76165">
        <w:trPr>
          <w:trHeight w:val="877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  <w:bookmarkStart w:id="0" w:name="_GoBack"/>
            <w:bookmarkEnd w:id="0"/>
            <w:r>
              <w:rPr>
                <w:rFonts w:ascii="Roboto-Bold" w:hAnsi="Roboto-Bold" w:cs="Roboto-Bold"/>
                <w:b/>
                <w:bCs/>
              </w:rPr>
              <w:lastRenderedPageBreak/>
              <w:t>Круг заявителей</w:t>
            </w:r>
          </w:p>
          <w:p w:rsidR="003F5808" w:rsidRPr="003F5808" w:rsidRDefault="003F5808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 w:rsidRPr="003F5808">
              <w:rPr>
                <w:rFonts w:ascii="Roboto-Regular" w:hAnsi="Roboto-Regular" w:cs="Roboto-Regular"/>
                <w:sz w:val="20"/>
                <w:szCs w:val="20"/>
              </w:rPr>
              <w:t>Заявителями на получение муниципальной услуги являются юридические и физические лица, а также индивидуальные предприниматели (далее – заявитель), являющиеся собственниками объекта адресации либо лицами, обладающими одним из следующих вещных прав на объект адресации:</w:t>
            </w:r>
          </w:p>
          <w:p w:rsidR="003F5808" w:rsidRPr="003F5808" w:rsidRDefault="003F5808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 w:rsidRPr="003F5808">
              <w:rPr>
                <w:rFonts w:ascii="Roboto-Regular" w:hAnsi="Roboto-Regular" w:cs="Roboto-Regular"/>
                <w:sz w:val="20"/>
                <w:szCs w:val="20"/>
              </w:rPr>
              <w:t>право хозяйственного ведения;</w:t>
            </w:r>
          </w:p>
          <w:p w:rsidR="003F5808" w:rsidRPr="003F5808" w:rsidRDefault="003F5808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 w:rsidRPr="003F5808">
              <w:rPr>
                <w:rFonts w:ascii="Roboto-Regular" w:hAnsi="Roboto-Regular" w:cs="Roboto-Regular"/>
                <w:sz w:val="20"/>
                <w:szCs w:val="20"/>
              </w:rPr>
              <w:t>право оперативного управления;</w:t>
            </w:r>
          </w:p>
          <w:p w:rsidR="003F5808" w:rsidRPr="003F5808" w:rsidRDefault="003F5808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 w:rsidRPr="003F5808">
              <w:rPr>
                <w:rFonts w:ascii="Roboto-Regular" w:hAnsi="Roboto-Regular" w:cs="Roboto-Regular"/>
                <w:sz w:val="20"/>
                <w:szCs w:val="20"/>
              </w:rPr>
              <w:t>право пожизненно наследуемого владения;</w:t>
            </w:r>
          </w:p>
          <w:p w:rsidR="003F5808" w:rsidRPr="003F5808" w:rsidRDefault="003F5808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 w:rsidRPr="003F5808">
              <w:rPr>
                <w:rFonts w:ascii="Roboto-Regular" w:hAnsi="Roboto-Regular" w:cs="Roboto-Regular"/>
                <w:sz w:val="20"/>
                <w:szCs w:val="20"/>
              </w:rPr>
              <w:t>право постоянного (бессрочного) пользования.</w:t>
            </w:r>
          </w:p>
          <w:p w:rsidR="003F5808" w:rsidRPr="003F5808" w:rsidRDefault="003F5808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 w:rsidRPr="003F5808">
              <w:rPr>
                <w:rFonts w:ascii="Roboto-Regular" w:hAnsi="Roboto-Regular" w:cs="Roboto-Regular"/>
                <w:sz w:val="20"/>
                <w:szCs w:val="20"/>
              </w:rPr>
              <w:t>При предоставлении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действующим законодательством.</w:t>
            </w:r>
          </w:p>
          <w:p w:rsidR="003F5808" w:rsidRPr="003F5808" w:rsidRDefault="003F5808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 w:rsidRPr="003F5808">
              <w:rPr>
                <w:rFonts w:ascii="Roboto-Regular" w:hAnsi="Roboto-Regular" w:cs="Roboto-Regular"/>
                <w:sz w:val="20"/>
                <w:szCs w:val="20"/>
              </w:rPr>
      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      </w:r>
          </w:p>
          <w:p w:rsidR="005969AF" w:rsidRDefault="003F5808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 w:rsidRPr="003F5808">
              <w:rPr>
                <w:rFonts w:ascii="Roboto-Regular" w:hAnsi="Roboto-Regular" w:cs="Roboto-Regular"/>
                <w:sz w:val="20"/>
                <w:szCs w:val="20"/>
              </w:rPr>
              <w:t xml:space="preserve">От имени членов садоводческого, огороднического </w:t>
            </w:r>
            <w:proofErr w:type="gramStart"/>
            <w:r w:rsidRPr="003F5808">
              <w:rPr>
                <w:rFonts w:ascii="Roboto-Regular" w:hAnsi="Roboto-Regular" w:cs="Roboto-Regular"/>
                <w:sz w:val="20"/>
                <w:szCs w:val="20"/>
              </w:rPr>
              <w:t>и(</w:t>
            </w:r>
            <w:proofErr w:type="gramEnd"/>
            <w:r w:rsidRPr="003F5808">
              <w:rPr>
                <w:rFonts w:ascii="Roboto-Regular" w:hAnsi="Roboto-Regular" w:cs="Roboto-Regular"/>
                <w:sz w:val="20"/>
                <w:szCs w:val="20"/>
              </w:rPr>
              <w:t>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в установленном законодательством Российской Федерации порядке решением общего собрания членов такого некоммерческого объединения.</w:t>
            </w:r>
            <w:r w:rsidR="005969AF">
              <w:rPr>
                <w:rFonts w:ascii="Roboto-Regular" w:hAnsi="Roboto-Regular" w:cs="Roboto-Regular"/>
                <w:sz w:val="20"/>
                <w:szCs w:val="20"/>
              </w:rPr>
              <w:t>.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  <w:r>
              <w:rPr>
                <w:rFonts w:ascii="Roboto-Bold" w:hAnsi="Roboto-Bold" w:cs="Roboto-Bold"/>
                <w:b/>
                <w:bCs/>
              </w:rPr>
              <w:t>Наименование органа, предоставляющего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  <w:r>
              <w:rPr>
                <w:rFonts w:ascii="Roboto-Bold" w:hAnsi="Roboto-Bold" w:cs="Roboto-Bold"/>
                <w:b/>
                <w:bCs/>
              </w:rPr>
              <w:t>муниципальную услугу</w:t>
            </w:r>
          </w:p>
          <w:p w:rsidR="005969AF" w:rsidRDefault="009D7CF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Органом А</w:t>
            </w:r>
            <w:r w:rsidR="005969AF">
              <w:rPr>
                <w:rFonts w:ascii="Roboto-Regular" w:hAnsi="Roboto-Regular" w:cs="Roboto-Regular"/>
                <w:sz w:val="20"/>
                <w:szCs w:val="20"/>
              </w:rPr>
              <w:t xml:space="preserve">дминистрации города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Ханты-Мансийска</w:t>
            </w:r>
            <w:r w:rsidR="003F5808">
              <w:rPr>
                <w:rFonts w:ascii="Roboto-Regular" w:hAnsi="Roboto-Regular" w:cs="Roboto-Regular"/>
                <w:sz w:val="20"/>
                <w:szCs w:val="20"/>
              </w:rPr>
              <w:t>,</w:t>
            </w:r>
            <w:r>
              <w:rPr>
                <w:rFonts w:ascii="Roboto-Regular" w:hAnsi="Roboto-Regular" w:cs="Roboto-Regular"/>
                <w:sz w:val="20"/>
                <w:szCs w:val="20"/>
              </w:rPr>
              <w:t xml:space="preserve"> </w:t>
            </w:r>
            <w:r w:rsidR="005969AF">
              <w:rPr>
                <w:rFonts w:ascii="Roboto-Regular" w:hAnsi="Roboto-Regular" w:cs="Roboto-Regular"/>
                <w:sz w:val="20"/>
                <w:szCs w:val="20"/>
              </w:rPr>
              <w:t>предоставляющим муниципальную услу</w:t>
            </w:r>
            <w:r>
              <w:rPr>
                <w:rFonts w:ascii="Roboto-Regular" w:hAnsi="Roboto-Regular" w:cs="Roboto-Regular"/>
                <w:sz w:val="20"/>
                <w:szCs w:val="20"/>
              </w:rPr>
              <w:t xml:space="preserve">гу по </w:t>
            </w:r>
            <w:r w:rsidR="003F5808" w:rsidRPr="003F5808">
              <w:rPr>
                <w:rFonts w:ascii="Roboto-Regular" w:hAnsi="Roboto-Regular" w:cs="Roboto-Regular"/>
                <w:sz w:val="20"/>
                <w:szCs w:val="20"/>
              </w:rPr>
              <w:t>присвоению объекту</w:t>
            </w:r>
            <w:r w:rsidR="003F5808">
              <w:rPr>
                <w:rFonts w:ascii="Roboto-Regular" w:hAnsi="Roboto-Regular" w:cs="Roboto-Regular"/>
                <w:sz w:val="20"/>
                <w:szCs w:val="20"/>
              </w:rPr>
              <w:t xml:space="preserve"> </w:t>
            </w:r>
            <w:r w:rsidR="003F5808" w:rsidRPr="003F5808">
              <w:rPr>
                <w:rFonts w:ascii="Roboto-Regular" w:hAnsi="Roboto-Regular" w:cs="Roboto-Regular"/>
                <w:sz w:val="20"/>
                <w:szCs w:val="20"/>
              </w:rPr>
              <w:t>адресации адреса, аннулированию</w:t>
            </w:r>
            <w:r w:rsidR="003F5808">
              <w:rPr>
                <w:rFonts w:ascii="Roboto-Regular" w:hAnsi="Roboto-Regular" w:cs="Roboto-Regular"/>
                <w:sz w:val="20"/>
                <w:szCs w:val="20"/>
              </w:rPr>
              <w:t xml:space="preserve"> </w:t>
            </w:r>
            <w:r w:rsidR="003F5808" w:rsidRPr="003F5808">
              <w:rPr>
                <w:rFonts w:ascii="Roboto-Regular" w:hAnsi="Roboto-Regular" w:cs="Roboto-Regular"/>
                <w:sz w:val="20"/>
                <w:szCs w:val="20"/>
              </w:rPr>
              <w:t>его адреса на территории</w:t>
            </w:r>
            <w:r w:rsidR="003F5808">
              <w:rPr>
                <w:rFonts w:ascii="Roboto-Regular" w:hAnsi="Roboto-Regular" w:cs="Roboto-Regular"/>
                <w:sz w:val="20"/>
                <w:szCs w:val="20"/>
              </w:rPr>
              <w:t xml:space="preserve"> </w:t>
            </w:r>
            <w:r w:rsidR="003F5808" w:rsidRPr="003F5808">
              <w:rPr>
                <w:rFonts w:ascii="Roboto-Regular" w:hAnsi="Roboto-Regular" w:cs="Roboto-Regular"/>
                <w:sz w:val="20"/>
                <w:szCs w:val="20"/>
              </w:rPr>
              <w:t>муниципального образования Ханты-</w:t>
            </w:r>
            <w:r w:rsidR="003F5808" w:rsidRPr="003F5808">
              <w:rPr>
                <w:rFonts w:ascii="Roboto-Regular" w:hAnsi="Roboto-Regular" w:cs="Roboto-Regular"/>
                <w:sz w:val="20"/>
                <w:szCs w:val="20"/>
              </w:rPr>
              <w:lastRenderedPageBreak/>
              <w:t>Мансийского автономного округа – Югры городской округ</w:t>
            </w:r>
            <w:r w:rsidR="003F5808">
              <w:rPr>
                <w:rFonts w:ascii="Roboto-Regular" w:hAnsi="Roboto-Regular" w:cs="Roboto-Regular"/>
                <w:sz w:val="20"/>
                <w:szCs w:val="20"/>
              </w:rPr>
              <w:t xml:space="preserve"> </w:t>
            </w:r>
            <w:r w:rsidR="003F5808" w:rsidRPr="003F5808">
              <w:rPr>
                <w:rFonts w:ascii="Roboto-Regular" w:hAnsi="Roboto-Regular" w:cs="Roboto-Regular"/>
                <w:sz w:val="20"/>
                <w:szCs w:val="20"/>
              </w:rPr>
              <w:t>город Ханты-Мансийск</w:t>
            </w:r>
            <w:r>
              <w:rPr>
                <w:rFonts w:ascii="Roboto-Regular" w:hAnsi="Roboto-Regular" w:cs="Roboto-Regular"/>
                <w:sz w:val="20"/>
                <w:szCs w:val="20"/>
              </w:rPr>
              <w:t xml:space="preserve">, является </w:t>
            </w:r>
            <w:r w:rsidR="005969AF">
              <w:rPr>
                <w:rFonts w:ascii="Roboto-Regular" w:hAnsi="Roboto-Regular" w:cs="Roboto-Regular"/>
                <w:sz w:val="20"/>
                <w:szCs w:val="20"/>
              </w:rPr>
              <w:t xml:space="preserve">Департамент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градостроительств и архитектуры Администрации города Ханты-Мансийска</w:t>
            </w:r>
            <w:r w:rsidR="003F5808">
              <w:rPr>
                <w:rFonts w:ascii="Roboto-Regular" w:hAnsi="Roboto-Regular" w:cs="Roboto-Regular"/>
                <w:sz w:val="20"/>
                <w:szCs w:val="20"/>
              </w:rPr>
              <w:t>.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Непосредственное предоставление</w:t>
            </w:r>
            <w:r w:rsidR="003F5808">
              <w:rPr>
                <w:rFonts w:ascii="Roboto-Regular" w:hAnsi="Roboto-Regular" w:cs="Roboto-Regular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муниципальной услуги осуществляет</w:t>
            </w:r>
            <w:r w:rsidR="003F5808">
              <w:rPr>
                <w:rFonts w:ascii="Roboto-Regular" w:hAnsi="Roboto-Regular" w:cs="Roboto-Regular"/>
                <w:sz w:val="20"/>
                <w:szCs w:val="20"/>
              </w:rPr>
              <w:t xml:space="preserve">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структурное подразделение Департамента –</w:t>
            </w:r>
          </w:p>
          <w:p w:rsidR="005969AF" w:rsidRDefault="00C1330B" w:rsidP="00EB678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  <w:r w:rsidRPr="00C1330B">
              <w:rPr>
                <w:rFonts w:ascii="Roboto-Regular" w:hAnsi="Roboto-Regular" w:cs="Roboto-Regular"/>
                <w:sz w:val="20"/>
                <w:szCs w:val="20"/>
              </w:rPr>
              <w:t xml:space="preserve">отдела информационного </w:t>
            </w:r>
            <w:proofErr w:type="gramStart"/>
            <w:r w:rsidRPr="00C1330B">
              <w:rPr>
                <w:rFonts w:ascii="Roboto-Regular" w:hAnsi="Roboto-Regular" w:cs="Roboto-Regular"/>
                <w:sz w:val="20"/>
                <w:szCs w:val="20"/>
              </w:rPr>
              <w:t>обеспечения градостроительной деятельности управления градостроительной деятельности Департамента градостроительства</w:t>
            </w:r>
            <w:proofErr w:type="gramEnd"/>
            <w:r w:rsidRPr="00C1330B">
              <w:rPr>
                <w:rFonts w:ascii="Roboto-Regular" w:hAnsi="Roboto-Regular" w:cs="Roboto-Regular"/>
                <w:sz w:val="20"/>
                <w:szCs w:val="20"/>
              </w:rPr>
              <w:t xml:space="preserve"> и архитектуры Администрации города Ханты-Мансийск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а</w:t>
            </w:r>
            <w:r w:rsidR="005969AF">
              <w:rPr>
                <w:rFonts w:ascii="Roboto-Regular" w:hAnsi="Roboto-Regular" w:cs="Roboto-Regular"/>
                <w:sz w:val="20"/>
                <w:szCs w:val="20"/>
              </w:rPr>
              <w:t>.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  <w:r>
              <w:rPr>
                <w:rFonts w:ascii="Roboto-Bold" w:hAnsi="Roboto-Bold" w:cs="Roboto-Bold"/>
                <w:b/>
                <w:bCs/>
              </w:rPr>
              <w:lastRenderedPageBreak/>
              <w:t>Результ</w:t>
            </w:r>
            <w:r w:rsidR="00EB6783">
              <w:rPr>
                <w:rFonts w:ascii="Roboto-Bold" w:hAnsi="Roboto-Bold" w:cs="Roboto-Bold"/>
                <w:b/>
                <w:bCs/>
              </w:rPr>
              <w:t xml:space="preserve">ат предоставления муниципальной </w:t>
            </w:r>
            <w:r>
              <w:rPr>
                <w:rFonts w:ascii="Roboto-Bold" w:hAnsi="Roboto-Bold" w:cs="Roboto-Bold"/>
                <w:b/>
                <w:bCs/>
              </w:rPr>
              <w:t>услуги</w:t>
            </w:r>
          </w:p>
          <w:p w:rsidR="006069FA" w:rsidRPr="006069FA" w:rsidRDefault="006069FA" w:rsidP="006069F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В</w:t>
            </w:r>
            <w:r w:rsidRPr="006069FA">
              <w:rPr>
                <w:rFonts w:ascii="Roboto-Regular" w:hAnsi="Roboto-Regular" w:cs="Roboto-Regular"/>
                <w:sz w:val="20"/>
                <w:szCs w:val="20"/>
              </w:rPr>
              <w:t>ыдача (направление) заявителю решения о присвоении объекту адресации адреса или аннулировании его адреса;</w:t>
            </w:r>
          </w:p>
          <w:p w:rsidR="005969AF" w:rsidRDefault="006069FA" w:rsidP="006069F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 w:rsidRPr="006069FA">
              <w:rPr>
                <w:rFonts w:ascii="Roboto-Regular" w:hAnsi="Roboto-Regular" w:cs="Roboto-Regular"/>
                <w:sz w:val="20"/>
                <w:szCs w:val="20"/>
              </w:rPr>
              <w:t>выдача (направление) заявителю решения об отказе                                     в предоставлении муниципальной услуги с мотивированным указанием причин отказа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.</w:t>
            </w:r>
          </w:p>
          <w:p w:rsidR="00EB6783" w:rsidRDefault="00EB6783" w:rsidP="005969A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  <w:r>
              <w:rPr>
                <w:rFonts w:ascii="Roboto-Bold" w:hAnsi="Roboto-Bold" w:cs="Roboto-Bold"/>
                <w:b/>
                <w:bCs/>
              </w:rPr>
              <w:t>Запрещается требовать от заявителей:</w:t>
            </w:r>
          </w:p>
          <w:p w:rsidR="004C2388" w:rsidRPr="004C2388" w:rsidRDefault="004C2388" w:rsidP="004C238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- </w:t>
            </w:r>
            <w:r w:rsidRPr="004C2388">
              <w:rPr>
                <w:rFonts w:ascii="Roboto-Regular" w:hAnsi="Roboto-Regular" w:cs="Roboto-Regular"/>
                <w:sz w:val="20"/>
                <w:szCs w:val="20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EB6783" w:rsidRDefault="004C2388" w:rsidP="004C238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 xml:space="preserve">- </w:t>
            </w:r>
            <w:r w:rsidRPr="004C2388">
              <w:rPr>
                <w:rFonts w:ascii="Roboto-Regular" w:hAnsi="Roboto-Regular" w:cs="Roboto-Regular"/>
                <w:sz w:val="20"/>
                <w:szCs w:val="20"/>
              </w:rPr>
      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      </w:r>
            <w:r w:rsidR="003841EC">
              <w:rPr>
                <w:rFonts w:ascii="Roboto-Regular" w:hAnsi="Roboto-Regular" w:cs="Roboto-Regular"/>
                <w:sz w:val="20"/>
                <w:szCs w:val="20"/>
              </w:rPr>
              <w:t xml:space="preserve">от 27.07.2010 №210-ФЗ </w:t>
            </w:r>
            <w:r w:rsidRPr="004C2388">
              <w:rPr>
                <w:rFonts w:ascii="Roboto-Regular" w:hAnsi="Roboto-Regular" w:cs="Roboto-Regular"/>
                <w:sz w:val="20"/>
                <w:szCs w:val="20"/>
              </w:rPr>
              <w:t>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      </w:r>
            <w:proofErr w:type="gramEnd"/>
            <w:r w:rsidRPr="004C2388">
              <w:rPr>
                <w:rFonts w:ascii="Roboto-Regular" w:hAnsi="Roboto-Regular" w:cs="Roboto-Regular"/>
                <w:sz w:val="20"/>
                <w:szCs w:val="20"/>
              </w:rPr>
              <w:t xml:space="preserve"> </w:t>
            </w:r>
            <w:proofErr w:type="gramStart"/>
            <w:r w:rsidRPr="004C2388">
              <w:rPr>
                <w:rFonts w:ascii="Roboto-Regular" w:hAnsi="Roboto-Regular" w:cs="Roboto-Regular"/>
                <w:sz w:val="20"/>
                <w:szCs w:val="20"/>
              </w:rPr>
              <w:t>актами Российской Федерации, нормативными правовыми актами Ханты-Мансийского автономного округа – Югры, муниципальными правовыми актами, за искл</w:t>
            </w:r>
            <w:r>
              <w:rPr>
                <w:rFonts w:ascii="Roboto-Regular" w:hAnsi="Roboto-Regular" w:cs="Roboto-Regular"/>
                <w:sz w:val="20"/>
                <w:szCs w:val="20"/>
              </w:rPr>
              <w:t xml:space="preserve">ючением документов, включенных </w:t>
            </w:r>
            <w:r w:rsidRPr="004C2388">
              <w:rPr>
                <w:rFonts w:ascii="Roboto-Regular" w:hAnsi="Roboto-Regular" w:cs="Roboto-Regular"/>
                <w:sz w:val="20"/>
                <w:szCs w:val="20"/>
              </w:rPr>
              <w:t>в определенный частью 6 статьи 7 указанного Федерального закона перечень документов.</w:t>
            </w:r>
            <w:proofErr w:type="gramEnd"/>
          </w:p>
          <w:p w:rsidR="004C2388" w:rsidRDefault="004C2388" w:rsidP="004C238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 w:rsidRPr="004C2388">
              <w:rPr>
                <w:rFonts w:ascii="Roboto-Regular" w:hAnsi="Roboto-Regular" w:cs="Roboto-Regular"/>
                <w:sz w:val="20"/>
                <w:szCs w:val="20"/>
              </w:rPr>
              <w:t>Заявитель вправе предоставить по собственной инициативе (самостоятельно) в Департамент документы (копии документов), предусмотренные настоящим пунктом.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EB6783" w:rsidRDefault="00EB6783" w:rsidP="00E350CE">
            <w:pPr>
              <w:autoSpaceDE w:val="0"/>
              <w:autoSpaceDN w:val="0"/>
              <w:adjustRightInd w:val="0"/>
              <w:ind w:left="349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0DFF93" wp14:editId="251275A2">
                      <wp:simplePos x="0" y="0"/>
                      <wp:positionH relativeFrom="column">
                        <wp:posOffset>15484</wp:posOffset>
                      </wp:positionH>
                      <wp:positionV relativeFrom="paragraph">
                        <wp:posOffset>138528</wp:posOffset>
                      </wp:positionV>
                      <wp:extent cx="2993293" cy="1851660"/>
                      <wp:effectExtent l="57150" t="38100" r="74295" b="9144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3293" cy="1851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1D8" w:rsidRPr="00EB6783" w:rsidRDefault="00AF41D8" w:rsidP="00EB678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Roboto-Bold" w:hAnsi="Roboto-Bold" w:cs="Roboto-Bold"/>
                                      <w:bCs/>
                                    </w:rPr>
                                  </w:pPr>
                                  <w:r w:rsidRPr="00EB6783">
                                    <w:rPr>
                                      <w:rFonts w:ascii="Roboto-Bold" w:hAnsi="Roboto-Bold" w:cs="Roboto-Bold"/>
                                      <w:bCs/>
                                    </w:rPr>
                                    <w:t>Срок предоставления муниципальной услуги</w:t>
                                  </w:r>
                                </w:p>
                                <w:p w:rsidR="00AF41D8" w:rsidRDefault="009937F0" w:rsidP="009937F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9937F0">
                                    <w:rPr>
                                      <w:rFonts w:ascii="Roboto-Bold" w:hAnsi="Roboto-Bold" w:cs="Roboto-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Общий срок предоставления муниципальной услуги составляет</w:t>
                                  </w:r>
                                  <w:r>
                                    <w:rPr>
                                      <w:rFonts w:ascii="Roboto-Bold" w:hAnsi="Roboto-Bold" w:cs="Roboto-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937F0">
                                    <w:rPr>
                                      <w:rFonts w:ascii="Roboto-Bold" w:hAnsi="Roboto-Bold" w:cs="Roboto-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11 рабочих дней со дня поступления в Департамент заявления о предоставлении муниципальной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left:0;text-align:left;margin-left:1.2pt;margin-top:10.9pt;width:235.7pt;height:1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AF41D8" w:rsidRPr="00EB6783" w:rsidRDefault="00AF41D8" w:rsidP="00EB67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-Bold" w:hAnsi="Roboto-Bold" w:cs="Roboto-Bold"/>
                                <w:bCs/>
                              </w:rPr>
                            </w:pPr>
                            <w:r w:rsidRPr="00EB6783">
                              <w:rPr>
                                <w:rFonts w:ascii="Roboto-Bold" w:hAnsi="Roboto-Bold" w:cs="Roboto-Bold"/>
                                <w:bCs/>
                              </w:rPr>
                              <w:t>Срок предоставления муниципальной услуги</w:t>
                            </w:r>
                          </w:p>
                          <w:p w:rsidR="00AF41D8" w:rsidRDefault="009937F0" w:rsidP="00993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9937F0">
                              <w:rPr>
                                <w:rFonts w:ascii="Roboto-Bold" w:hAnsi="Roboto-Bold" w:cs="Roboto-Bold"/>
                                <w:b/>
                                <w:bCs/>
                                <w:sz w:val="20"/>
                                <w:szCs w:val="20"/>
                              </w:rPr>
                              <w:t>Общий срок предоставления муниципальной услуги составляет</w:t>
                            </w:r>
                            <w:r>
                              <w:rPr>
                                <w:rFonts w:ascii="Roboto-Bold" w:hAnsi="Roboto-Bold" w:cs="Roboto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37F0">
                              <w:rPr>
                                <w:rFonts w:ascii="Roboto-Bold" w:hAnsi="Roboto-Bold" w:cs="Roboto-Bold"/>
                                <w:b/>
                                <w:bCs/>
                                <w:sz w:val="20"/>
                                <w:szCs w:val="20"/>
                              </w:rPr>
                              <w:t>11 рабочих дней со дня поступления в Департамент заявления о предоставлении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6783" w:rsidRDefault="00EB6783" w:rsidP="00E350CE">
            <w:pPr>
              <w:autoSpaceDE w:val="0"/>
              <w:autoSpaceDN w:val="0"/>
              <w:adjustRightInd w:val="0"/>
              <w:ind w:left="349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EB6783" w:rsidRDefault="00EB6783" w:rsidP="00E350CE">
            <w:pPr>
              <w:autoSpaceDE w:val="0"/>
              <w:autoSpaceDN w:val="0"/>
              <w:adjustRightInd w:val="0"/>
              <w:ind w:left="349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EB6783" w:rsidRDefault="00EB6783" w:rsidP="00E350CE">
            <w:pPr>
              <w:autoSpaceDE w:val="0"/>
              <w:autoSpaceDN w:val="0"/>
              <w:adjustRightInd w:val="0"/>
              <w:ind w:left="349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EB6783" w:rsidRDefault="00EB6783" w:rsidP="00E350CE">
            <w:pPr>
              <w:autoSpaceDE w:val="0"/>
              <w:autoSpaceDN w:val="0"/>
              <w:adjustRightInd w:val="0"/>
              <w:ind w:left="349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EB6783" w:rsidRDefault="00EB6783" w:rsidP="00E350CE">
            <w:pPr>
              <w:autoSpaceDE w:val="0"/>
              <w:autoSpaceDN w:val="0"/>
              <w:adjustRightInd w:val="0"/>
              <w:ind w:left="349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EB6783" w:rsidRDefault="00EB6783" w:rsidP="00E350CE">
            <w:pPr>
              <w:autoSpaceDE w:val="0"/>
              <w:autoSpaceDN w:val="0"/>
              <w:adjustRightInd w:val="0"/>
              <w:ind w:left="349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EB6783" w:rsidRDefault="00EB6783" w:rsidP="00E350CE">
            <w:pPr>
              <w:autoSpaceDE w:val="0"/>
              <w:autoSpaceDN w:val="0"/>
              <w:adjustRightInd w:val="0"/>
              <w:ind w:left="349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EB6783" w:rsidRDefault="00EB6783" w:rsidP="00E350CE">
            <w:pPr>
              <w:autoSpaceDE w:val="0"/>
              <w:autoSpaceDN w:val="0"/>
              <w:adjustRightInd w:val="0"/>
              <w:ind w:left="349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EB6783" w:rsidRDefault="00EB6783" w:rsidP="00E350CE">
            <w:pPr>
              <w:autoSpaceDE w:val="0"/>
              <w:autoSpaceDN w:val="0"/>
              <w:adjustRightInd w:val="0"/>
              <w:ind w:left="349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EB6783" w:rsidRDefault="00EB6783" w:rsidP="00E350CE">
            <w:pPr>
              <w:autoSpaceDE w:val="0"/>
              <w:autoSpaceDN w:val="0"/>
              <w:adjustRightInd w:val="0"/>
              <w:ind w:left="349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EB6783" w:rsidRDefault="00EB6783" w:rsidP="00E350CE">
            <w:pPr>
              <w:autoSpaceDE w:val="0"/>
              <w:autoSpaceDN w:val="0"/>
              <w:adjustRightInd w:val="0"/>
              <w:ind w:left="349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EB6783" w:rsidRDefault="00EB6783" w:rsidP="00E350CE">
            <w:pPr>
              <w:autoSpaceDE w:val="0"/>
              <w:autoSpaceDN w:val="0"/>
              <w:adjustRightInd w:val="0"/>
              <w:ind w:left="349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EB6783" w:rsidRDefault="00EB6783" w:rsidP="00E350CE">
            <w:pPr>
              <w:autoSpaceDE w:val="0"/>
              <w:autoSpaceDN w:val="0"/>
              <w:adjustRightInd w:val="0"/>
              <w:ind w:left="349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EB6783" w:rsidRDefault="00EB6783" w:rsidP="00E350CE">
            <w:pPr>
              <w:autoSpaceDE w:val="0"/>
              <w:autoSpaceDN w:val="0"/>
              <w:adjustRightInd w:val="0"/>
              <w:ind w:left="349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5969AF" w:rsidRDefault="00A3037F" w:rsidP="005969A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  <w:r>
              <w:object w:dxaOrig="4800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117.55pt" o:ole="">
                  <v:imagedata r:id="rId11" o:title=""/>
                </v:shape>
                <o:OLEObject Type="Embed" ProgID="PBrush" ShapeID="_x0000_i1025" DrawAspect="Content" ObjectID="_1636189524" r:id="rId12"/>
              </w:object>
            </w:r>
          </w:p>
        </w:tc>
      </w:tr>
    </w:tbl>
    <w:p w:rsidR="005969AF" w:rsidRDefault="005969AF" w:rsidP="00BC06D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</w:rPr>
      </w:pPr>
    </w:p>
    <w:tbl>
      <w:tblPr>
        <w:tblStyle w:val="a9"/>
        <w:tblpPr w:leftFromText="180" w:rightFromText="180" w:vertAnchor="text" w:horzAnchor="margin" w:tblpY="101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969AF" w:rsidTr="005969AF">
        <w:trPr>
          <w:trHeight w:val="949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  <w:r>
              <w:rPr>
                <w:rFonts w:ascii="Roboto-Bold" w:hAnsi="Roboto-Bold" w:cs="Roboto-Bold"/>
                <w:b/>
                <w:bCs/>
              </w:rPr>
              <w:lastRenderedPageBreak/>
              <w:t>Исчерпывающий перечень документов для выдачи разрешения на строительство на объекты капитального строительства (кроме объектов индивидуального жилищного строительства)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1) заявление о предоставлении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муниципальной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услуги;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2) правоустанавливающие документы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на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земельный участок;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3) при наличии соглашения о передаче в случаях,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 xml:space="preserve"> бюджетным законодательством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Российской Федерации, органом государственной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власти (государственным органом),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Государственной корпорацией по атомной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энергии «Росатом», Государственной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корпорацией по космической деятельности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«Роскосмос», органом управления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государственным внебюджетным фондом или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органом местного самоуправления полномочий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государственного (муниципального) заказчика,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заключенного при осуществлении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бюджетных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инвестиций, - указанное соглашение,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правоустанавливающие документы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на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земельный участок правообладателя, с которым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заключено это соглашение;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4) градостроительный план земельного участка,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выданный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 xml:space="preserve"> не ранее чем за три года до дня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представления заявления на получение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разрешения на строительство, или в случае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выдачи разрешения на строительство линейного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объекта реквизиты проекта планировки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территории и проекта межевания территории;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5) материалы, содержащиеся в проектной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документации: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- пояснительная записка;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- схема планировочной организации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земельного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участка,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выполненная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 xml:space="preserve"> в соответствии с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информацией, указанной в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градостроительном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плане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 xml:space="preserve"> земельного участка, с обозначением места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размещения объекта капитального 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строительства,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подъездов и проходов к нему, границ зон действия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публичных сервитутов, объектов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археологического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наследия;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- схема планировочной организации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земельного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участка,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подтверждающая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 xml:space="preserve"> расположение линейного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объекта в пределах красных линий, утвержденных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в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составе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 xml:space="preserve"> документации по планировке территории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применительно к линейным объектам;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- архитектурные решения;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- сведения об инженерном оборудовании,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сводный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план сетей инженерно-технического обеспечения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с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обозначением мест подключения (технологического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присоединения) проектируемого объекта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капитального строительства к сетям инженерно-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технического обеспечения;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- проект организации строительства объекта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капитального строительства;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- проект организации работ по сносу или демонтажу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объектов капитального строительства, их частей;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- перечень мероприятий по обеспечению доступа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инвалидов к объектам здравоохранения,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образования, культуры, отдыха, спорта и иным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объектам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социально-культурного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 xml:space="preserve"> и коммунально-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бытового назначения, объектам транспорта,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торговли, общественного питания, объектам</w:t>
            </w:r>
          </w:p>
          <w:p w:rsidR="005969AF" w:rsidRDefault="005969AF" w:rsidP="00A950ED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A950ED" w:rsidRDefault="00A950ED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делового, административного, финансового,</w:t>
            </w:r>
          </w:p>
          <w:p w:rsidR="00A950ED" w:rsidRDefault="00A950ED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религиозного назначения, объектам жилищного</w:t>
            </w:r>
          </w:p>
          <w:p w:rsidR="00A950ED" w:rsidRDefault="00A950ED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фонда в случае строительства, реконструкции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указанных объек</w:t>
            </w:r>
            <w:r w:rsidR="00E350CE">
              <w:rPr>
                <w:rFonts w:ascii="Roboto-Regular" w:hAnsi="Roboto-Regular" w:cs="Roboto-Regular"/>
                <w:sz w:val="20"/>
                <w:szCs w:val="20"/>
              </w:rPr>
              <w:t xml:space="preserve">тов при условии, что экспертиза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проектной док</w:t>
            </w:r>
            <w:r w:rsidR="00E350CE">
              <w:rPr>
                <w:rFonts w:ascii="Roboto-Regular" w:hAnsi="Roboto-Regular" w:cs="Roboto-Regular"/>
                <w:sz w:val="20"/>
                <w:szCs w:val="20"/>
              </w:rPr>
              <w:t xml:space="preserve">ументации указанных объектов не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проводила</w:t>
            </w:r>
            <w:r w:rsidR="00E350CE">
              <w:rPr>
                <w:rFonts w:ascii="Roboto-Regular" w:hAnsi="Roboto-Regular" w:cs="Roboto-Regular"/>
                <w:sz w:val="20"/>
                <w:szCs w:val="20"/>
              </w:rPr>
              <w:t xml:space="preserve">сь в соответствии со статьей 49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Градостроительного Кодекса РФ;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6) положительное заключение экспертизы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проектной документации объекта капитального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строительства (применительно к отдельным</w:t>
            </w:r>
            <w:proofErr w:type="gramEnd"/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этапам строительства в случае,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предусмотренном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 xml:space="preserve"> частью 12.1 статьи 48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Градостроительного кодекса РФ), если такая</w:t>
            </w:r>
            <w:proofErr w:type="gramEnd"/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проектная док</w:t>
            </w:r>
            <w:r w:rsidR="00E350CE">
              <w:rPr>
                <w:rFonts w:ascii="Roboto-Regular" w:hAnsi="Roboto-Regular" w:cs="Roboto-Regular"/>
                <w:sz w:val="20"/>
                <w:szCs w:val="20"/>
              </w:rPr>
              <w:t xml:space="preserve">ументация подлежит экспертизе в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соответствии с</w:t>
            </w:r>
            <w:r w:rsidR="00E350CE">
              <w:rPr>
                <w:rFonts w:ascii="Roboto-Regular" w:hAnsi="Roboto-Regular" w:cs="Roboto-Regular"/>
                <w:sz w:val="20"/>
                <w:szCs w:val="20"/>
              </w:rPr>
              <w:t xml:space="preserve">о статьей 49 Градостроительного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кодекса РФ, положительное заключение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государственной экспертизы проектной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документации в случаях, предусмотренных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частью 3.4 статьи 49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Градостроительного</w:t>
            </w:r>
            <w:proofErr w:type="gramEnd"/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кодекса РФ, положительное заключение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государственной экологической экспертизы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проектной документации в случаях,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предусмотренных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 xml:space="preserve"> частью 6 статьи 49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Градостроительного кодекса РФ;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7) заключение, предусмотренное частью 3.5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статьи 49 Градостроительного кодекса РФ,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в</w:t>
            </w:r>
            <w:proofErr w:type="gramEnd"/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случае использования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модифицированной</w:t>
            </w:r>
            <w:proofErr w:type="gramEnd"/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проектной документации;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8) разрешение на отклонение от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предельных</w:t>
            </w:r>
            <w:proofErr w:type="gramEnd"/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параметров разрешенного строительства,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реконструкции (</w:t>
            </w:r>
            <w:r w:rsidR="00E350CE">
              <w:rPr>
                <w:rFonts w:ascii="Roboto-Regular" w:hAnsi="Roboto-Regular" w:cs="Roboto-Regular"/>
                <w:sz w:val="20"/>
                <w:szCs w:val="20"/>
              </w:rPr>
              <w:t xml:space="preserve">в случае, если застройщику было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 xml:space="preserve">предоставлено </w:t>
            </w:r>
            <w:r w:rsidR="00E350CE">
              <w:rPr>
                <w:rFonts w:ascii="Roboto-Regular" w:hAnsi="Roboto-Regular" w:cs="Roboto-Regular"/>
                <w:sz w:val="20"/>
                <w:szCs w:val="20"/>
              </w:rPr>
              <w:t xml:space="preserve">такое разрешение в соответствии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со статьей 40 Градостроительного кодекса РФ);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9) согласие всех правообладателей объекта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капитального строительства в случае</w:t>
            </w:r>
          </w:p>
          <w:p w:rsidR="005969AF" w:rsidRDefault="005969AF" w:rsidP="00E350CE">
            <w:pPr>
              <w:autoSpaceDE w:val="0"/>
              <w:autoSpaceDN w:val="0"/>
              <w:adjustRightInd w:val="0"/>
              <w:ind w:left="208"/>
              <w:rPr>
                <w:rFonts w:ascii="Roboto-Bold" w:hAnsi="Roboto-Bold" w:cs="Roboto-Bold"/>
                <w:b/>
                <w:bCs/>
              </w:rPr>
            </w:pPr>
          </w:p>
        </w:tc>
      </w:tr>
    </w:tbl>
    <w:p w:rsidR="005969AF" w:rsidRDefault="005969AF" w:rsidP="005969AF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</w:rPr>
      </w:pPr>
    </w:p>
    <w:p w:rsidR="00A950ED" w:rsidRDefault="00A950ED" w:rsidP="005969AF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</w:rPr>
      </w:pPr>
    </w:p>
    <w:p w:rsidR="00A950ED" w:rsidRDefault="00A950ED" w:rsidP="005969AF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</w:rPr>
      </w:pPr>
    </w:p>
    <w:p w:rsidR="00A950ED" w:rsidRDefault="00A950ED" w:rsidP="005969AF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</w:rPr>
      </w:pPr>
    </w:p>
    <w:tbl>
      <w:tblPr>
        <w:tblStyle w:val="a9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969AF" w:rsidTr="005969A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350CE" w:rsidRDefault="00E350CE" w:rsidP="00E350C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реконструкции такого объекта;</w:t>
            </w:r>
          </w:p>
          <w:p w:rsidR="00E350CE" w:rsidRDefault="00E350CE" w:rsidP="00E350C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10) в случае проведения реконструкции</w:t>
            </w:r>
          </w:p>
          <w:p w:rsidR="00E350CE" w:rsidRDefault="00E350CE" w:rsidP="00E350C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государственным (муниципальным) заказчиком,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являющимся органом государственной власти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(государственным органом),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Государственной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корпорацией по атомной энергии «Росатом»,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Государственной корпорацией по космической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деятельности «Роскосмос», органом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управления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государственным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 xml:space="preserve"> внебюджетным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фондом или органом местного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самоуправления, на объекте капитального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строительства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государственной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(муниципальной) собственности,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правообладателем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 xml:space="preserve"> которого является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государственное (муниципальное) унитарное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предприятие, государственное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(муниципальное) бюджетное или автономное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учреждение, в отношении которого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указанный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орган осуществляет соответственно функции и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полномочия учредителя или права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собственника имущества, - соглашение о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проведении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 xml:space="preserve"> такой реконструкции,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определяющее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 xml:space="preserve"> в том числе условия и порядок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возмещения ущерба, причиненного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указанному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объекту при осуществлении реконструкции;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11) решение общего собрания собственников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помещений и машино-мест в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многоквартирном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доме,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принятое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 xml:space="preserve"> в соответствии с жилищным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законодательством в случае реконструкции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многоквартирного дома, или, если в результате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такой реконструкции произойдет уменьшение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размера общего имущества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в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доме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>, согласие всех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собственников помещений и машино-мест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в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доме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>;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12) копия свидетельства об аккредитации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юридического лица, выдавшего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положительное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заключение негосударственной экспертизы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проектной документации, в случае, если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представлено заключение негосударственной</w:t>
            </w:r>
          </w:p>
          <w:p w:rsidR="005969AF" w:rsidRPr="00E350CE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экспертизы проектной документации;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13) документы, предусмотренные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законодательством Российской Федерации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об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объектах культурного наследия, в случае, если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при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проведении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 xml:space="preserve"> работ по сохранению объекта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культурного наследия затрагиваются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конструктивные и другие характеристики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надежности и безопасности такого объекта.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  <w:r>
              <w:rPr>
                <w:rFonts w:ascii="Roboto-Bold" w:hAnsi="Roboto-Bold" w:cs="Roboto-Bold"/>
                <w:b/>
                <w:bCs/>
              </w:rPr>
              <w:t xml:space="preserve">Исчерпывающий перечень оснований </w:t>
            </w:r>
            <w:proofErr w:type="gramStart"/>
            <w:r>
              <w:rPr>
                <w:rFonts w:ascii="Roboto-Bold" w:hAnsi="Roboto-Bold" w:cs="Roboto-Bold"/>
                <w:b/>
                <w:bCs/>
              </w:rPr>
              <w:t>для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  <w:r>
              <w:rPr>
                <w:rFonts w:ascii="Roboto-Bold" w:hAnsi="Roboto-Bold" w:cs="Roboto-Bold"/>
                <w:b/>
                <w:bCs/>
              </w:rPr>
              <w:t xml:space="preserve">отказа в предоставлении разрешения </w:t>
            </w:r>
            <w:proofErr w:type="gramStart"/>
            <w:r>
              <w:rPr>
                <w:rFonts w:ascii="Roboto-Bold" w:hAnsi="Roboto-Bold" w:cs="Roboto-Bold"/>
                <w:b/>
                <w:bCs/>
              </w:rPr>
              <w:t>на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  <w:r>
              <w:rPr>
                <w:rFonts w:ascii="Roboto-Bold" w:hAnsi="Roboto-Bold" w:cs="Roboto-Bold"/>
                <w:b/>
                <w:bCs/>
              </w:rPr>
              <w:t>строительство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Основаниями для отказа в выдаче разрешения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на строительство, являются: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1) отсутствие документов, обязанность по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представлению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 xml:space="preserve"> которых возложена на заявителя;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2) несоответствие представленных документов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требованиям к строительству, реконструкции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объекта капитального строительства,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установленным на дату выдачи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представленного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для получения разрешения на строительство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градостроительного плана земельного участка,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или в случае выдачи разрешения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на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строительство линейного объекта требованиям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проекта планировки территории и проекта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межевания территории, а также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разрешенному</w:t>
            </w:r>
            <w:proofErr w:type="gramEnd"/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использованию земельного участка и (или)</w:t>
            </w:r>
          </w:p>
          <w:p w:rsidR="00AF7F50" w:rsidRDefault="00AF7F50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88263D" wp14:editId="2A2FCC8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71120</wp:posOffset>
                      </wp:positionV>
                      <wp:extent cx="2821305" cy="546735"/>
                      <wp:effectExtent l="57150" t="38100" r="74295" b="10096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1305" cy="546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1D8" w:rsidRDefault="00AF41D8" w:rsidP="00A950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Roboto-Bold" w:hAnsi="Roboto-Bold" w:cs="Roboto-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oboto-Bold" w:hAnsi="Roboto-Bold" w:cs="Roboto-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Предоставление муниципальной услуги</w:t>
                                  </w:r>
                                </w:p>
                                <w:p w:rsidR="00AF41D8" w:rsidRDefault="00AF41D8" w:rsidP="00A950ED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Roboto-Bold" w:hAnsi="Roboto-Bold" w:cs="Roboto-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осуществляется на безвозмездной основе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9" style="position:absolute;margin-left:-3.45pt;margin-top:5.6pt;width:222.15pt;height:43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A950ED" w:rsidRDefault="00A950ED" w:rsidP="00A950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-Bold" w:hAnsi="Roboto-Bold" w:cs="Roboto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-Bold" w:hAnsi="Roboto-Bold" w:cs="Roboto-Bold"/>
                                <w:b/>
                                <w:bCs/>
                                <w:sz w:val="20"/>
                                <w:szCs w:val="20"/>
                              </w:rPr>
                              <w:t>Предоставление муниципальной услуги</w:t>
                            </w:r>
                          </w:p>
                          <w:p w:rsidR="00A950ED" w:rsidRDefault="00A950ED" w:rsidP="00A950ED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Roboto-Bold" w:hAnsi="Roboto-Bold" w:cs="Roboto-Bold"/>
                                <w:b/>
                                <w:bCs/>
                                <w:sz w:val="20"/>
                                <w:szCs w:val="20"/>
                              </w:rPr>
                              <w:t>осуществляется на безвозмездной основе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F7F50" w:rsidRDefault="00AF7F50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AF7F50" w:rsidRDefault="00AF7F50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AF7F50" w:rsidRDefault="00AF7F50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AF7F50" w:rsidRDefault="00AF7F50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AF7F50" w:rsidRDefault="00AF7F50" w:rsidP="005969A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</w:p>
          <w:p w:rsidR="005969AF" w:rsidRDefault="005969AF" w:rsidP="00A950ED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  <w:r>
              <w:rPr>
                <w:rFonts w:ascii="Roboto-Bold" w:hAnsi="Roboto-Bold" w:cs="Roboto-Bold"/>
                <w:b/>
                <w:bCs/>
                <w:sz w:val="20"/>
                <w:szCs w:val="20"/>
              </w:rPr>
              <w:t>.</w:t>
            </w:r>
            <w:r w:rsidR="00AF7F50">
              <w:rPr>
                <w:rFonts w:ascii="Roboto-Regular" w:hAnsi="Roboto-Regular" w:cs="Roboto-Regula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C60CC5" wp14:editId="76E49E1B">
                  <wp:extent cx="2655867" cy="1070708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342" cy="107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AF7F50" w:rsidRDefault="00AF7F50" w:rsidP="00AF7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ограничениям, установленным в соответствии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с</w:t>
            </w:r>
            <w:proofErr w:type="gramEnd"/>
          </w:p>
          <w:p w:rsidR="00AF7F50" w:rsidRDefault="00AF7F50" w:rsidP="00AF7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земельным и иным законодательством</w:t>
            </w:r>
          </w:p>
          <w:p w:rsidR="00AF7F50" w:rsidRDefault="00AF7F50" w:rsidP="00AF7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Российской Федерации;</w:t>
            </w:r>
          </w:p>
          <w:p w:rsidR="00AF7F50" w:rsidRDefault="00AF7F50" w:rsidP="00AF7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3) несоответствие требованиям, установленным в разрешении на отклонение от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предельных</w:t>
            </w:r>
            <w:proofErr w:type="gramEnd"/>
          </w:p>
          <w:p w:rsidR="00AF7F50" w:rsidRDefault="00AF7F50" w:rsidP="00AF7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параметров разрешенного строительства,</w:t>
            </w:r>
          </w:p>
          <w:p w:rsidR="00AF7F50" w:rsidRDefault="00AF7F50" w:rsidP="00AF7F5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реконструкции.</w:t>
            </w: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</w:pPr>
          </w:p>
          <w:p w:rsidR="00AF7F50" w:rsidRDefault="00AF7F50" w:rsidP="005969AF">
            <w:pPr>
              <w:autoSpaceDE w:val="0"/>
              <w:autoSpaceDN w:val="0"/>
              <w:adjustRightInd w:val="0"/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</w:pPr>
            <w:r>
              <w:rPr>
                <w:rFonts w:ascii="Roboto-Bold" w:hAnsi="Roboto-Bold" w:cs="Roboto-Bold"/>
                <w:b/>
                <w:bCs/>
                <w:noProof/>
                <w:lang w:eastAsia="ru-RU"/>
              </w:rPr>
              <w:drawing>
                <wp:inline distT="0" distB="0" distL="0" distR="0" wp14:anchorId="3B926905" wp14:editId="7AD3BE5A">
                  <wp:extent cx="2854975" cy="2235200"/>
                  <wp:effectExtent l="0" t="0" r="254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975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F50" w:rsidRDefault="00AF7F50" w:rsidP="005969AF">
            <w:pPr>
              <w:autoSpaceDE w:val="0"/>
              <w:autoSpaceDN w:val="0"/>
              <w:adjustRightInd w:val="0"/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</w:pPr>
          </w:p>
          <w:p w:rsidR="00AF7F50" w:rsidRDefault="00AF7F50" w:rsidP="005969AF">
            <w:pPr>
              <w:autoSpaceDE w:val="0"/>
              <w:autoSpaceDN w:val="0"/>
              <w:adjustRightInd w:val="0"/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</w:pPr>
          </w:p>
          <w:p w:rsidR="00AF7F50" w:rsidRDefault="00AF7F50" w:rsidP="005969AF">
            <w:pPr>
              <w:autoSpaceDE w:val="0"/>
              <w:autoSpaceDN w:val="0"/>
              <w:adjustRightInd w:val="0"/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</w:pPr>
            <w:r w:rsidRPr="009D7CFF">
              <w:rPr>
                <w:rFonts w:ascii="Roboto-Regular" w:hAnsi="Roboto-Regular" w:cs="Roboto-Regula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3A8539" wp14:editId="68159F5D">
                  <wp:extent cx="2658689" cy="812244"/>
                  <wp:effectExtent l="133350" t="114300" r="142240" b="15938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63" cy="8128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F7F50" w:rsidRDefault="00AF7F50" w:rsidP="005969AF">
            <w:pPr>
              <w:autoSpaceDE w:val="0"/>
              <w:autoSpaceDN w:val="0"/>
              <w:adjustRightInd w:val="0"/>
              <w:rPr>
                <w:rFonts w:ascii="RobotoCondensed-Regular" w:hAnsi="RobotoCondensed-Regular" w:cs="RobotoCondensed-Regular"/>
                <w:color w:val="00003A"/>
                <w:sz w:val="39"/>
                <w:szCs w:val="39"/>
              </w:rPr>
            </w:pPr>
          </w:p>
          <w:p w:rsidR="005969AF" w:rsidRDefault="005969AF" w:rsidP="005969A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</w:p>
        </w:tc>
      </w:tr>
    </w:tbl>
    <w:p w:rsidR="0017160A" w:rsidRDefault="0017160A" w:rsidP="0017160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</w:rPr>
      </w:pPr>
    </w:p>
    <w:tbl>
      <w:tblPr>
        <w:tblStyle w:val="a9"/>
        <w:tblW w:w="15385" w:type="dxa"/>
        <w:tblLook w:val="04A0" w:firstRow="1" w:lastRow="0" w:firstColumn="1" w:lastColumn="0" w:noHBand="0" w:noVBand="1"/>
      </w:tblPr>
      <w:tblGrid>
        <w:gridCol w:w="4928"/>
        <w:gridCol w:w="5528"/>
        <w:gridCol w:w="4929"/>
      </w:tblGrid>
      <w:tr w:rsidR="0017160A" w:rsidTr="003F5808">
        <w:trPr>
          <w:trHeight w:val="835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7160A" w:rsidRDefault="0017160A" w:rsidP="003F580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  <w:r>
              <w:rPr>
                <w:rFonts w:ascii="Roboto-Bold" w:hAnsi="Roboto-Bold" w:cs="Roboto-Bold"/>
                <w:b/>
                <w:bCs/>
              </w:rPr>
              <w:t>Способы подачи документов, необходимых для выдачи разрешения на строительство:</w:t>
            </w:r>
          </w:p>
          <w:p w:rsidR="0017160A" w:rsidRDefault="0017160A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- при личном обращении в Департамент. Место</w:t>
            </w:r>
          </w:p>
          <w:p w:rsidR="0017160A" w:rsidRDefault="0017160A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нахождения структурного подразделения</w:t>
            </w:r>
          </w:p>
          <w:p w:rsidR="0017160A" w:rsidRDefault="0017160A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Департамента, предоставляющего</w:t>
            </w:r>
          </w:p>
          <w:p w:rsidR="0017160A" w:rsidRDefault="0017160A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муниципальную услугу, - отдела подготовки разрешительной документации:</w:t>
            </w:r>
          </w:p>
          <w:p w:rsidR="0017160A" w:rsidRDefault="0017160A" w:rsidP="003F5808">
            <w:pPr>
              <w:autoSpaceDE w:val="0"/>
              <w:autoSpaceDN w:val="0"/>
              <w:adjustRightInd w:val="0"/>
              <w:jc w:val="both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 </w:t>
            </w: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 xml:space="preserve">г. Ханты-Мансийск, улица Калинина, дом 26: 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этаж 3, кабинет 306, телефон для справок: (3467) 32-95-78; </w:t>
            </w:r>
          </w:p>
          <w:p w:rsidR="0017160A" w:rsidRPr="009D7CFF" w:rsidRDefault="0017160A" w:rsidP="003F5808">
            <w:pPr>
              <w:autoSpaceDE w:val="0"/>
              <w:autoSpaceDN w:val="0"/>
              <w:adjustRightInd w:val="0"/>
              <w:jc w:val="both"/>
              <w:rPr>
                <w:rFonts w:ascii="Roboto-Bold" w:hAnsi="Roboto-Bold" w:cs="Roboto-Bold"/>
                <w:b/>
                <w:bCs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Приемная этаж </w:t>
            </w:r>
            <w:r w:rsidR="003C4DBE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3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,  телефон для справок </w:t>
            </w:r>
            <w:r>
              <w:rPr>
                <w:rFonts w:ascii="Roboto-Regular" w:hAnsi="Roboto-Regular" w:cs="Roboto-Regular"/>
                <w:sz w:val="20"/>
                <w:szCs w:val="20"/>
              </w:rPr>
              <w:t xml:space="preserve"> 8(3467) 32-5</w:t>
            </w:r>
            <w:r w:rsidR="003C4DBE">
              <w:rPr>
                <w:rFonts w:ascii="Roboto-Regular" w:hAnsi="Roboto-Regular" w:cs="Roboto-Regular"/>
                <w:sz w:val="20"/>
                <w:szCs w:val="20"/>
              </w:rPr>
              <w:t>9</w:t>
            </w:r>
            <w:r>
              <w:rPr>
                <w:rFonts w:ascii="Roboto-Regular" w:hAnsi="Roboto-Regular" w:cs="Roboto-Regular"/>
                <w:sz w:val="20"/>
                <w:szCs w:val="20"/>
              </w:rPr>
              <w:t>-</w:t>
            </w:r>
            <w:r w:rsidR="003C4DBE">
              <w:rPr>
                <w:rFonts w:ascii="Roboto-Regular" w:hAnsi="Roboto-Regular" w:cs="Roboto-Regular"/>
                <w:sz w:val="20"/>
                <w:szCs w:val="20"/>
              </w:rPr>
              <w:t>70</w:t>
            </w: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; адрес электронной почты отдела: </w:t>
            </w:r>
            <w:r w:rsidRPr="009D7CFF">
              <w:rPr>
                <w:rFonts w:ascii="Roboto-Bold" w:hAnsi="Roboto-Bold" w:cs="Roboto-Bold"/>
                <w:bCs/>
                <w:sz w:val="20"/>
                <w:szCs w:val="20"/>
              </w:rPr>
              <w:t>dga@admhmansy.ru.</w:t>
            </w:r>
          </w:p>
          <w:p w:rsidR="0017160A" w:rsidRDefault="0017160A" w:rsidP="003F5808">
            <w:pPr>
              <w:autoSpaceDE w:val="0"/>
              <w:autoSpaceDN w:val="0"/>
              <w:adjustRightInd w:val="0"/>
              <w:jc w:val="both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График работы и приема граждан Департамента,</w:t>
            </w:r>
            <w:r>
              <w:rPr>
                <w:rFonts w:ascii="Roboto-Regular" w:hAnsi="Roboto-Regular" w:cs="Roboto-Regular"/>
                <w:sz w:val="20"/>
                <w:szCs w:val="20"/>
              </w:rPr>
              <w:t xml:space="preserve"> </w:t>
            </w:r>
            <w:r w:rsidRPr="00B9358E">
              <w:rPr>
                <w:rFonts w:ascii="Roboto-Regular" w:hAnsi="Roboto-Regular" w:cs="Roboto-Regular"/>
                <w:b/>
                <w:sz w:val="20"/>
                <w:szCs w:val="20"/>
              </w:rPr>
              <w:t>отдела</w:t>
            </w:r>
          </w:p>
          <w:p w:rsidR="0017160A" w:rsidRDefault="0017160A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понедельник - пятница: с 09.00 до 17.15 час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.;</w:t>
            </w:r>
            <w:proofErr w:type="gramEnd"/>
          </w:p>
          <w:p w:rsidR="0017160A" w:rsidRDefault="0017160A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вторник: с 09.00 до 18.15 час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.;</w:t>
            </w:r>
            <w:proofErr w:type="gramEnd"/>
          </w:p>
          <w:p w:rsidR="0017160A" w:rsidRDefault="0017160A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обеденный перерыв: с 12.45 до 14.00 час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.;</w:t>
            </w:r>
            <w:proofErr w:type="gramEnd"/>
          </w:p>
          <w:p w:rsidR="0017160A" w:rsidRDefault="0017160A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суббота, воскресенье - выходные дни.</w:t>
            </w:r>
          </w:p>
          <w:p w:rsidR="0017160A" w:rsidRDefault="0017160A" w:rsidP="003F5808">
            <w:pPr>
              <w:framePr w:hSpace="180" w:wrap="around" w:vAnchor="text" w:hAnchor="margin" w:y="184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- по почте в Департамент по адресу: 628007,</w:t>
            </w:r>
          </w:p>
          <w:p w:rsidR="0017160A" w:rsidRDefault="0017160A" w:rsidP="003F5808">
            <w:pPr>
              <w:framePr w:hSpace="180" w:wrap="around" w:vAnchor="text" w:hAnchor="margin" w:y="184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г. Ханты-Мансийск, улица Калинина, дом 26;</w:t>
            </w:r>
          </w:p>
          <w:p w:rsidR="0017160A" w:rsidRDefault="0017160A" w:rsidP="003F5808">
            <w:pPr>
              <w:framePr w:hSpace="180" w:wrap="around" w:vAnchor="text" w:hAnchor="margin" w:y="184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- посредством обращения в МФЦ по адресу:</w:t>
            </w:r>
          </w:p>
          <w:p w:rsidR="0017160A" w:rsidRDefault="0017160A" w:rsidP="003F5808">
            <w:pPr>
              <w:autoSpaceDE w:val="0"/>
              <w:autoSpaceDN w:val="0"/>
              <w:adjustRightInd w:val="0"/>
              <w:jc w:val="both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628012, г. Ханты-Мансийск, ул. Энгельса,</w:t>
            </w:r>
          </w:p>
          <w:p w:rsidR="0017160A" w:rsidRDefault="0017160A" w:rsidP="003F5808">
            <w:pPr>
              <w:autoSpaceDE w:val="0"/>
              <w:autoSpaceDN w:val="0"/>
              <w:adjustRightInd w:val="0"/>
              <w:jc w:val="both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 д. 45, блок "В".</w:t>
            </w:r>
          </w:p>
          <w:p w:rsidR="0017160A" w:rsidRDefault="0017160A" w:rsidP="003F5808">
            <w:pPr>
              <w:autoSpaceDE w:val="0"/>
              <w:autoSpaceDN w:val="0"/>
              <w:adjustRightInd w:val="0"/>
              <w:jc w:val="both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Телефон для справок: 8 8001010001.</w:t>
            </w:r>
          </w:p>
          <w:p w:rsidR="0017160A" w:rsidRPr="00B9358E" w:rsidRDefault="0017160A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 w:rsidRPr="00B9358E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Адрес электронной почты: </w:t>
            </w:r>
          </w:p>
          <w:p w:rsidR="0017160A" w:rsidRDefault="0017160A" w:rsidP="003F5808">
            <w:pPr>
              <w:framePr w:hSpace="180" w:wrap="around" w:vAnchor="text" w:hAnchor="margin" w:y="184"/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официального сайта: </w:t>
            </w:r>
            <w:r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 xml:space="preserve">mfc-ugorsk.ru; </w:t>
            </w:r>
          </w:p>
          <w:p w:rsidR="0017160A" w:rsidRDefault="0017160A" w:rsidP="003F5808">
            <w:pPr>
              <w:framePr w:hSpace="180" w:wrap="around" w:vAnchor="text" w:hAnchor="margin" w:y="184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00000"/>
                <w:sz w:val="20"/>
                <w:szCs w:val="20"/>
              </w:rPr>
            </w:pPr>
            <w:r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адрес электронной почты: </w:t>
            </w:r>
            <w:r w:rsidRPr="00B9358E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Pr="00D00BAD">
                <w:rPr>
                  <w:rStyle w:val="aa"/>
                  <w:rFonts w:ascii="Roboto-Regular" w:hAnsi="Roboto-Regular" w:cs="Roboto-Regular"/>
                  <w:sz w:val="20"/>
                  <w:szCs w:val="20"/>
                </w:rPr>
                <w:t>office@mfchmao.ru</w:t>
              </w:r>
            </w:hyperlink>
            <w:r w:rsidRPr="00B9358E">
              <w:rPr>
                <w:rFonts w:ascii="Roboto-Regular" w:hAnsi="Roboto-Regular" w:cs="Roboto-Regular"/>
                <w:color w:val="000000"/>
                <w:sz w:val="20"/>
                <w:szCs w:val="20"/>
              </w:rPr>
              <w:t>.</w:t>
            </w:r>
          </w:p>
          <w:p w:rsidR="0017160A" w:rsidRDefault="0017160A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График работы:</w:t>
            </w:r>
          </w:p>
          <w:p w:rsidR="0017160A" w:rsidRDefault="0017160A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понедельник - пятница: с 08.00 до 20.00 час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.;</w:t>
            </w:r>
            <w:proofErr w:type="gramEnd"/>
          </w:p>
          <w:p w:rsidR="0017160A" w:rsidRDefault="0017160A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суббота: с 09.00 до 18.00 час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.;</w:t>
            </w:r>
            <w:proofErr w:type="gramEnd"/>
          </w:p>
          <w:p w:rsidR="0017160A" w:rsidRDefault="0017160A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воскресенье - выходной день.</w:t>
            </w:r>
          </w:p>
          <w:p w:rsidR="0017160A" w:rsidRDefault="0017160A" w:rsidP="003F580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>- в электронной форме в разделе «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Личный</w:t>
            </w:r>
            <w:proofErr w:type="gramEnd"/>
          </w:p>
          <w:p w:rsidR="0017160A" w:rsidRDefault="0017160A" w:rsidP="003F580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t xml:space="preserve">кабинет» </w:t>
            </w:r>
            <w:proofErr w:type="gramStart"/>
            <w:r>
              <w:rPr>
                <w:rFonts w:ascii="Roboto-Regular" w:hAnsi="Roboto-Regular" w:cs="Roboto-Regular"/>
                <w:sz w:val="20"/>
                <w:szCs w:val="20"/>
              </w:rPr>
              <w:t>Единого</w:t>
            </w:r>
            <w:proofErr w:type="gramEnd"/>
            <w:r>
              <w:rPr>
                <w:rFonts w:ascii="Roboto-Regular" w:hAnsi="Roboto-Regular" w:cs="Roboto-Regular"/>
                <w:sz w:val="20"/>
                <w:szCs w:val="20"/>
              </w:rPr>
              <w:t xml:space="preserve"> портал государственных услуг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7160A" w:rsidRDefault="0017160A" w:rsidP="003F5808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</w:rPr>
            </w:pPr>
            <w:r w:rsidRPr="009D7CFF">
              <w:rPr>
                <w:rFonts w:ascii="Roboto-Regular" w:hAnsi="Roboto-Regular" w:cs="Roboto-Regula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F52917" wp14:editId="1A3615B3">
                  <wp:extent cx="2454030" cy="749720"/>
                  <wp:effectExtent l="133350" t="114300" r="137160" b="16510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853" cy="7502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17160A" w:rsidRDefault="0017160A" w:rsidP="003F5808">
            <w:pPr>
              <w:autoSpaceDE w:val="0"/>
              <w:autoSpaceDN w:val="0"/>
              <w:adjustRightInd w:val="0"/>
              <w:ind w:left="349" w:firstLine="142"/>
              <w:jc w:val="center"/>
              <w:rPr>
                <w:rFonts w:ascii="Roboto-Bold" w:hAnsi="Roboto-Bold" w:cs="Roboto-Bold"/>
                <w:b/>
                <w:bCs/>
              </w:rPr>
            </w:pPr>
          </w:p>
        </w:tc>
      </w:tr>
    </w:tbl>
    <w:p w:rsidR="005969AF" w:rsidRDefault="005969AF" w:rsidP="00E350CE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</w:p>
    <w:sectPr w:rsidR="005969AF" w:rsidSect="00BC06D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9E" w:rsidRDefault="00367D9E" w:rsidP="009E0EA7">
      <w:pPr>
        <w:spacing w:after="0" w:line="240" w:lineRule="auto"/>
      </w:pPr>
      <w:r>
        <w:separator/>
      </w:r>
    </w:p>
  </w:endnote>
  <w:endnote w:type="continuationSeparator" w:id="0">
    <w:p w:rsidR="00367D9E" w:rsidRDefault="00367D9E" w:rsidP="009E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Condensed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9E" w:rsidRDefault="00367D9E" w:rsidP="009E0EA7">
      <w:pPr>
        <w:spacing w:after="0" w:line="240" w:lineRule="auto"/>
      </w:pPr>
      <w:r>
        <w:separator/>
      </w:r>
    </w:p>
  </w:footnote>
  <w:footnote w:type="continuationSeparator" w:id="0">
    <w:p w:rsidR="00367D9E" w:rsidRDefault="00367D9E" w:rsidP="009E0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1F"/>
    <w:rsid w:val="000209A5"/>
    <w:rsid w:val="000879C3"/>
    <w:rsid w:val="000D436D"/>
    <w:rsid w:val="00147868"/>
    <w:rsid w:val="0017160A"/>
    <w:rsid w:val="001959D8"/>
    <w:rsid w:val="00345158"/>
    <w:rsid w:val="00367D9E"/>
    <w:rsid w:val="00382CF8"/>
    <w:rsid w:val="003841EC"/>
    <w:rsid w:val="003A238B"/>
    <w:rsid w:val="003C4DBE"/>
    <w:rsid w:val="003F5808"/>
    <w:rsid w:val="00414511"/>
    <w:rsid w:val="004B1D46"/>
    <w:rsid w:val="004C2388"/>
    <w:rsid w:val="00580AC5"/>
    <w:rsid w:val="005969AF"/>
    <w:rsid w:val="005D59D1"/>
    <w:rsid w:val="005E706F"/>
    <w:rsid w:val="006069FA"/>
    <w:rsid w:val="00652FDF"/>
    <w:rsid w:val="00662969"/>
    <w:rsid w:val="00880D8F"/>
    <w:rsid w:val="00981BD8"/>
    <w:rsid w:val="009856D4"/>
    <w:rsid w:val="009937F0"/>
    <w:rsid w:val="009D7CFF"/>
    <w:rsid w:val="009E0EA7"/>
    <w:rsid w:val="00A3037F"/>
    <w:rsid w:val="00A315C3"/>
    <w:rsid w:val="00A41BC2"/>
    <w:rsid w:val="00A73B71"/>
    <w:rsid w:val="00A879DD"/>
    <w:rsid w:val="00A950ED"/>
    <w:rsid w:val="00AF41D8"/>
    <w:rsid w:val="00AF580B"/>
    <w:rsid w:val="00AF7F50"/>
    <w:rsid w:val="00B76165"/>
    <w:rsid w:val="00B9358E"/>
    <w:rsid w:val="00B9541F"/>
    <w:rsid w:val="00BC06D6"/>
    <w:rsid w:val="00BC4C88"/>
    <w:rsid w:val="00BD5350"/>
    <w:rsid w:val="00BF099E"/>
    <w:rsid w:val="00BF2F48"/>
    <w:rsid w:val="00C1330B"/>
    <w:rsid w:val="00C452F2"/>
    <w:rsid w:val="00C56EED"/>
    <w:rsid w:val="00D02A4D"/>
    <w:rsid w:val="00D61D43"/>
    <w:rsid w:val="00E350CE"/>
    <w:rsid w:val="00E441B2"/>
    <w:rsid w:val="00E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EA7"/>
  </w:style>
  <w:style w:type="paragraph" w:styleId="a5">
    <w:name w:val="footer"/>
    <w:basedOn w:val="a"/>
    <w:link w:val="a6"/>
    <w:uiPriority w:val="99"/>
    <w:unhideWhenUsed/>
    <w:rsid w:val="009E0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EA7"/>
  </w:style>
  <w:style w:type="paragraph" w:styleId="a7">
    <w:name w:val="Balloon Text"/>
    <w:basedOn w:val="a"/>
    <w:link w:val="a8"/>
    <w:uiPriority w:val="99"/>
    <w:semiHidden/>
    <w:unhideWhenUsed/>
    <w:rsid w:val="009E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E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8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93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EA7"/>
  </w:style>
  <w:style w:type="paragraph" w:styleId="a5">
    <w:name w:val="footer"/>
    <w:basedOn w:val="a"/>
    <w:link w:val="a6"/>
    <w:uiPriority w:val="99"/>
    <w:unhideWhenUsed/>
    <w:rsid w:val="009E0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EA7"/>
  </w:style>
  <w:style w:type="paragraph" w:styleId="a7">
    <w:name w:val="Balloon Text"/>
    <w:basedOn w:val="a"/>
    <w:link w:val="a8"/>
    <w:uiPriority w:val="99"/>
    <w:semiHidden/>
    <w:unhideWhenUsed/>
    <w:rsid w:val="009E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E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8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93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mailto:office@mfchmao.ru" TargetMode="External"/><Relationship Id="rId10" Type="http://schemas.openxmlformats.org/officeDocument/2006/relationships/image" Target="media/image3.emf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D881-56FA-495B-9523-F1FECC06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Алексей Александрович</dc:creator>
  <cp:lastModifiedBy>Шумилова Галина Рашитовна</cp:lastModifiedBy>
  <cp:revision>9</cp:revision>
  <cp:lastPrinted>2017-10-13T10:44:00Z</cp:lastPrinted>
  <dcterms:created xsi:type="dcterms:W3CDTF">2019-11-25T06:44:00Z</dcterms:created>
  <dcterms:modified xsi:type="dcterms:W3CDTF">2019-11-25T07:19:00Z</dcterms:modified>
</cp:coreProperties>
</file>