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78" w:rsidRPr="00550643" w:rsidRDefault="00D60E78" w:rsidP="00E463AC">
      <w:pPr>
        <w:jc w:val="center"/>
        <w:rPr>
          <w:sz w:val="28"/>
          <w:szCs w:val="28"/>
        </w:rPr>
      </w:pPr>
      <w:r w:rsidRPr="00550643">
        <w:rPr>
          <w:sz w:val="28"/>
          <w:szCs w:val="28"/>
        </w:rPr>
        <w:t xml:space="preserve">Сводный отчет об </w:t>
      </w:r>
      <w:r w:rsidR="00311B4D" w:rsidRPr="00550643">
        <w:rPr>
          <w:sz w:val="28"/>
          <w:szCs w:val="28"/>
        </w:rPr>
        <w:t xml:space="preserve">оценке </w:t>
      </w:r>
      <w:r w:rsidR="007B0942" w:rsidRPr="00550643">
        <w:rPr>
          <w:sz w:val="28"/>
          <w:szCs w:val="28"/>
        </w:rPr>
        <w:t xml:space="preserve">фактического </w:t>
      </w:r>
      <w:r w:rsidR="00311B4D" w:rsidRPr="00550643">
        <w:rPr>
          <w:sz w:val="28"/>
          <w:szCs w:val="28"/>
        </w:rPr>
        <w:t xml:space="preserve">воздействия </w:t>
      </w:r>
      <w:r w:rsidRPr="00550643">
        <w:rPr>
          <w:sz w:val="28"/>
          <w:szCs w:val="28"/>
        </w:rPr>
        <w:t>муниципального нормативного правового акта</w:t>
      </w:r>
    </w:p>
    <w:p w:rsidR="00D60E78" w:rsidRPr="00550643" w:rsidRDefault="00D60E78" w:rsidP="00D60E78">
      <w:pPr>
        <w:ind w:left="426"/>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D60E78" w:rsidRPr="00550643" w:rsidTr="00D60E78">
        <w:trPr>
          <w:trHeight w:val="1409"/>
        </w:trPr>
        <w:tc>
          <w:tcPr>
            <w:tcW w:w="3936" w:type="dxa"/>
            <w:shd w:val="clear" w:color="auto" w:fill="auto"/>
          </w:tcPr>
          <w:p w:rsidR="00D60E78" w:rsidRPr="00550643" w:rsidRDefault="00D60E78" w:rsidP="00D60E78">
            <w:pPr>
              <w:rPr>
                <w:sz w:val="28"/>
                <w:szCs w:val="28"/>
                <w:u w:val="single"/>
              </w:rPr>
            </w:pPr>
            <w:r w:rsidRPr="00550643">
              <w:rPr>
                <w:sz w:val="28"/>
                <w:szCs w:val="28"/>
              </w:rPr>
              <w:t xml:space="preserve">№ </w:t>
            </w:r>
            <w:r w:rsidR="009B3478" w:rsidRPr="00550643">
              <w:rPr>
                <w:sz w:val="28"/>
                <w:szCs w:val="28"/>
                <w:u w:val="single"/>
              </w:rPr>
              <w:t xml:space="preserve"> 1  </w:t>
            </w:r>
          </w:p>
          <w:p w:rsidR="00D60E78" w:rsidRPr="00550643" w:rsidRDefault="00D60E78" w:rsidP="00D60E78">
            <w:pPr>
              <w:jc w:val="center"/>
              <w:rPr>
                <w:sz w:val="28"/>
                <w:szCs w:val="28"/>
              </w:rPr>
            </w:pPr>
          </w:p>
        </w:tc>
        <w:tc>
          <w:tcPr>
            <w:tcW w:w="6378" w:type="dxa"/>
            <w:shd w:val="clear" w:color="auto" w:fill="auto"/>
          </w:tcPr>
          <w:p w:rsidR="00D60E78" w:rsidRPr="00550643" w:rsidRDefault="00D60E78" w:rsidP="00D60E78">
            <w:pPr>
              <w:rPr>
                <w:sz w:val="28"/>
                <w:szCs w:val="28"/>
              </w:rPr>
            </w:pPr>
            <w:r w:rsidRPr="00550643">
              <w:rPr>
                <w:sz w:val="28"/>
                <w:szCs w:val="28"/>
              </w:rPr>
              <w:t>Сроки проведения публичной консультации:</w:t>
            </w:r>
          </w:p>
          <w:p w:rsidR="00D60E78" w:rsidRPr="00550643" w:rsidRDefault="00D60E78" w:rsidP="00D60E78">
            <w:pPr>
              <w:rPr>
                <w:sz w:val="28"/>
                <w:szCs w:val="28"/>
              </w:rPr>
            </w:pPr>
          </w:p>
          <w:p w:rsidR="00D60E78" w:rsidRPr="00550643" w:rsidRDefault="00D60E78" w:rsidP="00D60E78">
            <w:pPr>
              <w:autoSpaceDE w:val="0"/>
              <w:autoSpaceDN w:val="0"/>
              <w:adjustRightInd w:val="0"/>
              <w:rPr>
                <w:sz w:val="28"/>
                <w:szCs w:val="28"/>
              </w:rPr>
            </w:pPr>
            <w:r w:rsidRPr="00550643">
              <w:rPr>
                <w:sz w:val="28"/>
                <w:szCs w:val="28"/>
              </w:rPr>
              <w:t>начало: «</w:t>
            </w:r>
            <w:r w:rsidR="007B0942" w:rsidRPr="00550643">
              <w:rPr>
                <w:sz w:val="28"/>
                <w:szCs w:val="28"/>
              </w:rPr>
              <w:t>0</w:t>
            </w:r>
            <w:r w:rsidR="00550643" w:rsidRPr="00550643">
              <w:rPr>
                <w:sz w:val="28"/>
                <w:szCs w:val="28"/>
              </w:rPr>
              <w:t>1</w:t>
            </w:r>
            <w:r w:rsidR="00E463AC" w:rsidRPr="00550643">
              <w:rPr>
                <w:sz w:val="28"/>
                <w:szCs w:val="28"/>
              </w:rPr>
              <w:t>»</w:t>
            </w:r>
            <w:r w:rsidR="00FF03E1" w:rsidRPr="00550643">
              <w:rPr>
                <w:sz w:val="28"/>
                <w:szCs w:val="28"/>
              </w:rPr>
              <w:t xml:space="preserve"> </w:t>
            </w:r>
            <w:r w:rsidR="00BE6B5C">
              <w:rPr>
                <w:sz w:val="28"/>
                <w:szCs w:val="28"/>
              </w:rPr>
              <w:t>октября</w:t>
            </w:r>
            <w:r w:rsidR="007B0942" w:rsidRPr="00550643">
              <w:rPr>
                <w:sz w:val="28"/>
                <w:szCs w:val="28"/>
              </w:rPr>
              <w:t xml:space="preserve"> </w:t>
            </w:r>
            <w:r w:rsidR="00E463AC" w:rsidRPr="00550643">
              <w:rPr>
                <w:sz w:val="28"/>
                <w:szCs w:val="28"/>
              </w:rPr>
              <w:t>20</w:t>
            </w:r>
            <w:r w:rsidR="00311B4D" w:rsidRPr="00550643">
              <w:rPr>
                <w:sz w:val="28"/>
                <w:szCs w:val="28"/>
              </w:rPr>
              <w:t>2</w:t>
            </w:r>
            <w:r w:rsidR="00550643" w:rsidRPr="00550643">
              <w:rPr>
                <w:sz w:val="28"/>
                <w:szCs w:val="28"/>
              </w:rPr>
              <w:t>2</w:t>
            </w:r>
            <w:r w:rsidR="00E463AC" w:rsidRPr="00550643">
              <w:rPr>
                <w:sz w:val="28"/>
                <w:szCs w:val="28"/>
              </w:rPr>
              <w:t xml:space="preserve"> </w:t>
            </w:r>
            <w:r w:rsidRPr="00550643">
              <w:rPr>
                <w:sz w:val="28"/>
                <w:szCs w:val="28"/>
              </w:rPr>
              <w:t>г.;</w:t>
            </w:r>
          </w:p>
          <w:p w:rsidR="00D60E78" w:rsidRPr="00550643" w:rsidRDefault="00EA6E11" w:rsidP="00BE6B5C">
            <w:pPr>
              <w:rPr>
                <w:sz w:val="28"/>
                <w:szCs w:val="28"/>
              </w:rPr>
            </w:pPr>
            <w:r w:rsidRPr="00550643">
              <w:rPr>
                <w:sz w:val="28"/>
                <w:szCs w:val="28"/>
              </w:rPr>
              <w:t>окончание: «</w:t>
            </w:r>
            <w:r w:rsidR="00311B4D" w:rsidRPr="00550643">
              <w:rPr>
                <w:sz w:val="28"/>
                <w:szCs w:val="28"/>
              </w:rPr>
              <w:t>2</w:t>
            </w:r>
            <w:r w:rsidR="00550643" w:rsidRPr="00550643">
              <w:rPr>
                <w:sz w:val="28"/>
                <w:szCs w:val="28"/>
              </w:rPr>
              <w:t>1</w:t>
            </w:r>
            <w:r w:rsidR="00E463AC" w:rsidRPr="00550643">
              <w:rPr>
                <w:sz w:val="28"/>
                <w:szCs w:val="28"/>
              </w:rPr>
              <w:t xml:space="preserve">» </w:t>
            </w:r>
            <w:r w:rsidR="00BE6B5C">
              <w:rPr>
                <w:sz w:val="28"/>
                <w:szCs w:val="28"/>
              </w:rPr>
              <w:t>октября</w:t>
            </w:r>
            <w:r w:rsidRPr="00550643">
              <w:rPr>
                <w:sz w:val="28"/>
                <w:szCs w:val="28"/>
              </w:rPr>
              <w:t xml:space="preserve"> </w:t>
            </w:r>
            <w:r w:rsidR="00E463AC" w:rsidRPr="00550643">
              <w:rPr>
                <w:sz w:val="28"/>
                <w:szCs w:val="28"/>
              </w:rPr>
              <w:t>20</w:t>
            </w:r>
            <w:r w:rsidR="00311B4D" w:rsidRPr="00550643">
              <w:rPr>
                <w:sz w:val="28"/>
                <w:szCs w:val="28"/>
              </w:rPr>
              <w:t>2</w:t>
            </w:r>
            <w:r w:rsidR="00550643" w:rsidRPr="00550643">
              <w:rPr>
                <w:sz w:val="28"/>
                <w:szCs w:val="28"/>
              </w:rPr>
              <w:t>2</w:t>
            </w:r>
            <w:r w:rsidR="00E463AC" w:rsidRPr="00550643">
              <w:rPr>
                <w:sz w:val="28"/>
                <w:szCs w:val="28"/>
              </w:rPr>
              <w:t xml:space="preserve"> </w:t>
            </w:r>
            <w:r w:rsidR="00D60E78" w:rsidRPr="00550643">
              <w:rPr>
                <w:sz w:val="28"/>
                <w:szCs w:val="28"/>
              </w:rPr>
              <w:t>г.</w:t>
            </w:r>
          </w:p>
        </w:tc>
      </w:tr>
    </w:tbl>
    <w:p w:rsidR="00D60E78" w:rsidRPr="00550643" w:rsidRDefault="00D60E78" w:rsidP="00D60E78">
      <w:pPr>
        <w:jc w:val="center"/>
        <w:rPr>
          <w:sz w:val="28"/>
          <w:szCs w:val="28"/>
        </w:rPr>
      </w:pPr>
    </w:p>
    <w:p w:rsidR="00D60E78" w:rsidRPr="00550643" w:rsidRDefault="00D60E78" w:rsidP="00D60E78">
      <w:pPr>
        <w:contextualSpacing/>
        <w:jc w:val="center"/>
        <w:rPr>
          <w:sz w:val="28"/>
          <w:szCs w:val="28"/>
        </w:rPr>
      </w:pPr>
      <w:r w:rsidRPr="00550643">
        <w:rPr>
          <w:sz w:val="28"/>
          <w:szCs w:val="28"/>
        </w:rPr>
        <w:t>1.Общая информация</w:t>
      </w:r>
    </w:p>
    <w:p w:rsidR="00D60E78" w:rsidRPr="00550643" w:rsidRDefault="00D60E78" w:rsidP="00D60E78">
      <w:pPr>
        <w:ind w:left="720"/>
        <w:contextualSpacing/>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D60E78" w:rsidRPr="00550643" w:rsidTr="00D60E78">
        <w:tc>
          <w:tcPr>
            <w:tcW w:w="10348" w:type="dxa"/>
            <w:shd w:val="clear" w:color="auto" w:fill="auto"/>
          </w:tcPr>
          <w:p w:rsidR="00D60E78" w:rsidRPr="00550643" w:rsidRDefault="00D60E78" w:rsidP="00D60E78">
            <w:pPr>
              <w:keepNext/>
              <w:keepLines/>
              <w:widowControl w:val="0"/>
              <w:jc w:val="both"/>
              <w:outlineLvl w:val="0"/>
              <w:rPr>
                <w:sz w:val="28"/>
                <w:szCs w:val="28"/>
              </w:rPr>
            </w:pPr>
            <w:r w:rsidRPr="00550643">
              <w:rPr>
                <w:sz w:val="28"/>
                <w:szCs w:val="28"/>
              </w:rPr>
              <w:t xml:space="preserve">1.1.Орган, осуществляющий </w:t>
            </w:r>
            <w:r w:rsidR="00311B4D" w:rsidRPr="00550643">
              <w:rPr>
                <w:sz w:val="28"/>
                <w:szCs w:val="28"/>
              </w:rPr>
              <w:t xml:space="preserve">оценку </w:t>
            </w:r>
            <w:r w:rsidR="007B0942" w:rsidRPr="00550643">
              <w:rPr>
                <w:sz w:val="28"/>
                <w:szCs w:val="28"/>
              </w:rPr>
              <w:t>фактического</w:t>
            </w:r>
            <w:r w:rsidR="00311B4D" w:rsidRPr="00550643">
              <w:rPr>
                <w:sz w:val="28"/>
                <w:szCs w:val="28"/>
              </w:rPr>
              <w:t xml:space="preserve"> воздействия </w:t>
            </w:r>
            <w:r w:rsidRPr="00550643">
              <w:rPr>
                <w:sz w:val="28"/>
                <w:szCs w:val="28"/>
              </w:rPr>
              <w:t>муниципальн</w:t>
            </w:r>
            <w:r w:rsidR="00311B4D" w:rsidRPr="00550643">
              <w:rPr>
                <w:sz w:val="28"/>
                <w:szCs w:val="28"/>
              </w:rPr>
              <w:t>ого</w:t>
            </w:r>
            <w:r w:rsidRPr="00550643">
              <w:rPr>
                <w:sz w:val="28"/>
                <w:szCs w:val="28"/>
              </w:rPr>
              <w:t xml:space="preserve"> нормативн</w:t>
            </w:r>
            <w:r w:rsidR="00311B4D" w:rsidRPr="00550643">
              <w:rPr>
                <w:sz w:val="28"/>
                <w:szCs w:val="28"/>
              </w:rPr>
              <w:t>ого</w:t>
            </w:r>
            <w:r w:rsidRPr="00550643">
              <w:rPr>
                <w:sz w:val="28"/>
                <w:szCs w:val="28"/>
              </w:rPr>
              <w:t xml:space="preserve"> правов</w:t>
            </w:r>
            <w:r w:rsidR="00311B4D" w:rsidRPr="00550643">
              <w:rPr>
                <w:sz w:val="28"/>
                <w:szCs w:val="28"/>
              </w:rPr>
              <w:t>ого</w:t>
            </w:r>
            <w:r w:rsidRPr="00550643">
              <w:rPr>
                <w:sz w:val="28"/>
                <w:szCs w:val="28"/>
              </w:rPr>
              <w:t xml:space="preserve"> акт</w:t>
            </w:r>
            <w:r w:rsidR="00311B4D" w:rsidRPr="00550643">
              <w:rPr>
                <w:sz w:val="28"/>
                <w:szCs w:val="28"/>
              </w:rPr>
              <w:t>а</w:t>
            </w:r>
            <w:r w:rsidRPr="00550643">
              <w:rPr>
                <w:sz w:val="28"/>
                <w:szCs w:val="28"/>
              </w:rPr>
              <w:t>:</w:t>
            </w:r>
          </w:p>
          <w:p w:rsidR="00D60E78" w:rsidRPr="00550643" w:rsidRDefault="005F460B" w:rsidP="00E463AC">
            <w:pPr>
              <w:jc w:val="both"/>
              <w:rPr>
                <w:i/>
                <w:sz w:val="28"/>
                <w:szCs w:val="28"/>
              </w:rPr>
            </w:pPr>
            <w:r w:rsidRPr="00550643">
              <w:rPr>
                <w:i/>
                <w:sz w:val="28"/>
                <w:szCs w:val="28"/>
              </w:rPr>
              <w:t>Департамент городского хозяйства Администрации города Ханты-Мансийска</w:t>
            </w:r>
          </w:p>
        </w:tc>
      </w:tr>
      <w:tr w:rsidR="00D60E78" w:rsidRPr="00550643" w:rsidTr="00D60E78">
        <w:tc>
          <w:tcPr>
            <w:tcW w:w="10348" w:type="dxa"/>
            <w:shd w:val="clear" w:color="auto" w:fill="auto"/>
          </w:tcPr>
          <w:p w:rsidR="0059595F" w:rsidRPr="0059595F" w:rsidRDefault="00D60E78" w:rsidP="0059595F">
            <w:pPr>
              <w:jc w:val="both"/>
              <w:rPr>
                <w:sz w:val="28"/>
                <w:szCs w:val="28"/>
              </w:rPr>
            </w:pPr>
            <w:r w:rsidRPr="00550643">
              <w:rPr>
                <w:sz w:val="28"/>
                <w:szCs w:val="28"/>
              </w:rPr>
              <w:t>1.2.Сведения о соисполнителях:</w:t>
            </w:r>
            <w:r w:rsidR="00E463AC" w:rsidRPr="00550643">
              <w:rPr>
                <w:sz w:val="28"/>
                <w:szCs w:val="28"/>
              </w:rPr>
              <w:t xml:space="preserve"> </w:t>
            </w:r>
            <w:r w:rsidR="0059595F" w:rsidRPr="0059595F">
              <w:rPr>
                <w:sz w:val="28"/>
                <w:szCs w:val="28"/>
              </w:rPr>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59595F" w:rsidRPr="0059595F" w:rsidRDefault="0059595F" w:rsidP="0059595F">
            <w:pPr>
              <w:jc w:val="both"/>
              <w:rPr>
                <w:sz w:val="28"/>
                <w:szCs w:val="28"/>
              </w:rPr>
            </w:pPr>
            <w:r w:rsidRPr="0059595F">
              <w:rPr>
                <w:sz w:val="28"/>
                <w:szCs w:val="28"/>
              </w:rPr>
              <w:t>муниципальное казенное учреждение "Управление капитального строительства города Ханты-Мансийска" (далее - МКУ "УКС города Ханты-Мансийска");</w:t>
            </w:r>
          </w:p>
          <w:p w:rsidR="0059595F" w:rsidRPr="0059595F" w:rsidRDefault="0059595F" w:rsidP="0059595F">
            <w:pPr>
              <w:jc w:val="both"/>
              <w:rPr>
                <w:sz w:val="28"/>
                <w:szCs w:val="28"/>
              </w:rPr>
            </w:pPr>
            <w:r w:rsidRPr="0059595F">
              <w:rPr>
                <w:sz w:val="28"/>
                <w:szCs w:val="28"/>
              </w:rPr>
              <w:t>муниципальные бюджетные учреждения;</w:t>
            </w:r>
          </w:p>
          <w:p w:rsidR="0059595F" w:rsidRPr="00550643" w:rsidRDefault="0059595F" w:rsidP="0059595F">
            <w:pPr>
              <w:jc w:val="both"/>
              <w:rPr>
                <w:sz w:val="28"/>
                <w:szCs w:val="28"/>
              </w:rPr>
            </w:pPr>
            <w:r w:rsidRPr="0059595F">
              <w:rPr>
                <w:sz w:val="28"/>
                <w:szCs w:val="28"/>
              </w:rPr>
              <w:t>муниципальные предприятия</w:t>
            </w:r>
          </w:p>
          <w:p w:rsidR="00D60E78" w:rsidRPr="00550643" w:rsidRDefault="00D60E78" w:rsidP="00550643">
            <w:pPr>
              <w:jc w:val="both"/>
              <w:rPr>
                <w:sz w:val="28"/>
                <w:szCs w:val="28"/>
              </w:rPr>
            </w:pPr>
          </w:p>
        </w:tc>
      </w:tr>
      <w:tr w:rsidR="00D60E78" w:rsidRPr="00550643" w:rsidTr="00D60E78">
        <w:tc>
          <w:tcPr>
            <w:tcW w:w="10348" w:type="dxa"/>
            <w:shd w:val="clear" w:color="auto" w:fill="auto"/>
          </w:tcPr>
          <w:p w:rsidR="00D60E78" w:rsidRPr="00550643" w:rsidRDefault="00D60E78" w:rsidP="00D60E78">
            <w:pPr>
              <w:jc w:val="both"/>
              <w:rPr>
                <w:b/>
                <w:sz w:val="28"/>
                <w:szCs w:val="28"/>
              </w:rPr>
            </w:pPr>
            <w:r w:rsidRPr="00550643">
              <w:rPr>
                <w:sz w:val="28"/>
                <w:szCs w:val="28"/>
              </w:rPr>
              <w:t>1.3.Вид и наименование муниципального нормативного правового акта:</w:t>
            </w:r>
          </w:p>
          <w:p w:rsidR="00D72370" w:rsidRPr="00550643" w:rsidRDefault="007B0942" w:rsidP="00D72370">
            <w:pPr>
              <w:pBdr>
                <w:top w:val="single" w:sz="4" w:space="0" w:color="auto"/>
                <w:left w:val="single" w:sz="4" w:space="3" w:color="auto"/>
                <w:bottom w:val="single" w:sz="4" w:space="1" w:color="auto"/>
                <w:right w:val="single" w:sz="4" w:space="0" w:color="auto"/>
              </w:pBdr>
              <w:shd w:val="clear" w:color="auto" w:fill="FFFFFF"/>
              <w:jc w:val="center"/>
              <w:rPr>
                <w:b/>
                <w:sz w:val="28"/>
                <w:szCs w:val="28"/>
              </w:rPr>
            </w:pPr>
            <w:r w:rsidRPr="00550643">
              <w:rPr>
                <w:i/>
                <w:sz w:val="28"/>
                <w:szCs w:val="28"/>
              </w:rPr>
              <w:t>П</w:t>
            </w:r>
            <w:r w:rsidR="00103D1C" w:rsidRPr="00550643">
              <w:rPr>
                <w:i/>
                <w:sz w:val="28"/>
                <w:szCs w:val="28"/>
              </w:rPr>
              <w:t>остановлени</w:t>
            </w:r>
            <w:r w:rsidRPr="00550643">
              <w:rPr>
                <w:i/>
                <w:sz w:val="28"/>
                <w:szCs w:val="28"/>
              </w:rPr>
              <w:t>е</w:t>
            </w:r>
            <w:r w:rsidR="00103D1C" w:rsidRPr="00550643">
              <w:rPr>
                <w:i/>
                <w:sz w:val="28"/>
                <w:szCs w:val="28"/>
              </w:rPr>
              <w:t xml:space="preserve"> Администрации города Ханты-Мансийска от </w:t>
            </w:r>
            <w:r w:rsidR="00D72370" w:rsidRPr="00550643">
              <w:rPr>
                <w:i/>
                <w:sz w:val="28"/>
                <w:szCs w:val="28"/>
              </w:rPr>
              <w:t>17.10.2013 №132</w:t>
            </w:r>
            <w:r w:rsidR="0059595F" w:rsidRPr="0059595F">
              <w:rPr>
                <w:i/>
                <w:sz w:val="28"/>
                <w:szCs w:val="28"/>
              </w:rPr>
              <w:t>5</w:t>
            </w:r>
            <w:r w:rsidR="00D72370" w:rsidRPr="00550643">
              <w:rPr>
                <w:i/>
                <w:sz w:val="28"/>
                <w:szCs w:val="28"/>
              </w:rPr>
              <w:t xml:space="preserve"> «</w:t>
            </w:r>
            <w:r w:rsidR="0059595F" w:rsidRPr="0059595F">
              <w:rPr>
                <w:i/>
                <w:sz w:val="28"/>
                <w:szCs w:val="28"/>
              </w:rPr>
              <w:t>Об утверждении муниципальной программы «Развитие жилищно-коммунального комплекса и повышение энергетической эффективности в                                             городе Ханты-Мансийске</w:t>
            </w:r>
            <w:r w:rsidR="00D72370" w:rsidRPr="00550643">
              <w:rPr>
                <w:i/>
                <w:sz w:val="28"/>
                <w:szCs w:val="28"/>
              </w:rPr>
              <w:t>»</w:t>
            </w:r>
          </w:p>
          <w:p w:rsidR="00D60E78" w:rsidRPr="00550643" w:rsidRDefault="00D60E78" w:rsidP="00FF03E1">
            <w:pPr>
              <w:pBdr>
                <w:top w:val="single" w:sz="4" w:space="0" w:color="auto"/>
                <w:left w:val="single" w:sz="4" w:space="3" w:color="auto"/>
                <w:bottom w:val="single" w:sz="4" w:space="1" w:color="auto"/>
                <w:right w:val="single" w:sz="4" w:space="0" w:color="auto"/>
              </w:pBdr>
              <w:shd w:val="clear" w:color="auto" w:fill="FFFFFF"/>
              <w:jc w:val="both"/>
              <w:rPr>
                <w:i/>
                <w:sz w:val="28"/>
                <w:szCs w:val="28"/>
              </w:rPr>
            </w:pPr>
          </w:p>
        </w:tc>
      </w:tr>
      <w:tr w:rsidR="00D60E78" w:rsidRPr="00550643" w:rsidTr="00D60E78">
        <w:trPr>
          <w:trHeight w:val="2286"/>
        </w:trPr>
        <w:tc>
          <w:tcPr>
            <w:tcW w:w="10348" w:type="dxa"/>
            <w:shd w:val="clear" w:color="auto" w:fill="auto"/>
          </w:tcPr>
          <w:p w:rsidR="00D60E78" w:rsidRPr="00550643" w:rsidRDefault="00D60E78" w:rsidP="00D60E78">
            <w:pPr>
              <w:jc w:val="both"/>
              <w:rPr>
                <w:sz w:val="28"/>
                <w:szCs w:val="28"/>
              </w:rPr>
            </w:pPr>
            <w:r w:rsidRPr="00550643">
              <w:rPr>
                <w:sz w:val="28"/>
                <w:szCs w:val="28"/>
              </w:rPr>
              <w:t xml:space="preserve">1.4.Контактная информация исполнителя органа, осуществляющего </w:t>
            </w:r>
            <w:r w:rsidR="00311B4D" w:rsidRPr="00550643">
              <w:rPr>
                <w:sz w:val="28"/>
                <w:szCs w:val="28"/>
              </w:rPr>
              <w:t xml:space="preserve">оценку </w:t>
            </w:r>
            <w:r w:rsidR="007B0942" w:rsidRPr="00550643">
              <w:rPr>
                <w:sz w:val="28"/>
                <w:szCs w:val="28"/>
              </w:rPr>
              <w:t>фактического</w:t>
            </w:r>
            <w:r w:rsidR="00311B4D" w:rsidRPr="00550643">
              <w:rPr>
                <w:sz w:val="28"/>
                <w:szCs w:val="28"/>
              </w:rPr>
              <w:t xml:space="preserve"> </w:t>
            </w:r>
            <w:r w:rsidR="00B80F88" w:rsidRPr="00550643">
              <w:rPr>
                <w:sz w:val="28"/>
                <w:szCs w:val="28"/>
              </w:rPr>
              <w:t xml:space="preserve">воздействия </w:t>
            </w:r>
            <w:r w:rsidRPr="00550643">
              <w:rPr>
                <w:sz w:val="28"/>
                <w:szCs w:val="28"/>
              </w:rPr>
              <w:t>муниципального нормативного правового акта:</w:t>
            </w:r>
          </w:p>
          <w:p w:rsidR="00D60E78" w:rsidRPr="00550643" w:rsidRDefault="00D60E78" w:rsidP="00D60E78">
            <w:pPr>
              <w:rPr>
                <w:sz w:val="28"/>
                <w:szCs w:val="28"/>
              </w:rPr>
            </w:pPr>
          </w:p>
          <w:p w:rsidR="00D60E78" w:rsidRPr="00550643" w:rsidRDefault="00D60E78" w:rsidP="00D60E78">
            <w:pPr>
              <w:rPr>
                <w:i/>
                <w:sz w:val="28"/>
                <w:szCs w:val="28"/>
              </w:rPr>
            </w:pPr>
            <w:r w:rsidRPr="00550643">
              <w:rPr>
                <w:i/>
                <w:sz w:val="28"/>
                <w:szCs w:val="28"/>
              </w:rPr>
              <w:t xml:space="preserve">Ф.И.О.: </w:t>
            </w:r>
            <w:r w:rsidR="005F460B" w:rsidRPr="00550643">
              <w:rPr>
                <w:i/>
                <w:sz w:val="28"/>
                <w:szCs w:val="28"/>
              </w:rPr>
              <w:t>Мокроусов Алексей Юрьевич</w:t>
            </w:r>
          </w:p>
          <w:p w:rsidR="00D60E78" w:rsidRPr="00550643" w:rsidRDefault="00D60E78" w:rsidP="00D60E78">
            <w:pPr>
              <w:rPr>
                <w:i/>
                <w:sz w:val="28"/>
                <w:szCs w:val="28"/>
              </w:rPr>
            </w:pPr>
            <w:r w:rsidRPr="00550643">
              <w:rPr>
                <w:i/>
                <w:sz w:val="28"/>
                <w:szCs w:val="28"/>
              </w:rPr>
              <w:t xml:space="preserve">Должность: </w:t>
            </w:r>
            <w:r w:rsidR="00103D1C" w:rsidRPr="00550643">
              <w:rPr>
                <w:i/>
                <w:sz w:val="28"/>
                <w:szCs w:val="28"/>
              </w:rPr>
              <w:t>н</w:t>
            </w:r>
            <w:r w:rsidR="00FF03E1" w:rsidRPr="00550643">
              <w:rPr>
                <w:i/>
                <w:sz w:val="28"/>
                <w:szCs w:val="28"/>
              </w:rPr>
              <w:t>ачальник</w:t>
            </w:r>
            <w:r w:rsidR="00EA6E11" w:rsidRPr="00550643">
              <w:rPr>
                <w:i/>
                <w:sz w:val="28"/>
                <w:szCs w:val="28"/>
              </w:rPr>
              <w:t xml:space="preserve"> </w:t>
            </w:r>
            <w:r w:rsidR="00E463AC" w:rsidRPr="00550643">
              <w:rPr>
                <w:i/>
                <w:sz w:val="28"/>
                <w:szCs w:val="28"/>
              </w:rPr>
              <w:t xml:space="preserve"> отдела </w:t>
            </w:r>
            <w:r w:rsidR="005F460B" w:rsidRPr="00550643">
              <w:rPr>
                <w:i/>
                <w:sz w:val="28"/>
                <w:szCs w:val="28"/>
              </w:rPr>
              <w:t xml:space="preserve">благоустройства и природопользования </w:t>
            </w:r>
            <w:proofErr w:type="gramStart"/>
            <w:r w:rsidR="005F460B" w:rsidRPr="00550643">
              <w:rPr>
                <w:i/>
                <w:sz w:val="28"/>
                <w:szCs w:val="28"/>
              </w:rPr>
              <w:t>Департамента городского хозяйства</w:t>
            </w:r>
            <w:r w:rsidR="00E463AC" w:rsidRPr="00550643">
              <w:rPr>
                <w:i/>
                <w:sz w:val="28"/>
                <w:szCs w:val="28"/>
              </w:rPr>
              <w:t xml:space="preserve"> Администрации города Ханты-Мансийска</w:t>
            </w:r>
            <w:proofErr w:type="gramEnd"/>
          </w:p>
          <w:p w:rsidR="00D60E78" w:rsidRPr="00550643" w:rsidRDefault="00D60E78" w:rsidP="00D60E78">
            <w:pPr>
              <w:rPr>
                <w:i/>
                <w:sz w:val="28"/>
                <w:szCs w:val="28"/>
              </w:rPr>
            </w:pPr>
            <w:r w:rsidRPr="00550643">
              <w:rPr>
                <w:i/>
                <w:sz w:val="28"/>
                <w:szCs w:val="28"/>
              </w:rPr>
              <w:t xml:space="preserve">Тел: </w:t>
            </w:r>
            <w:r w:rsidR="00E463AC" w:rsidRPr="00550643">
              <w:rPr>
                <w:i/>
                <w:sz w:val="28"/>
                <w:szCs w:val="28"/>
              </w:rPr>
              <w:t>(3467) 3</w:t>
            </w:r>
            <w:r w:rsidR="005F460B" w:rsidRPr="00550643">
              <w:rPr>
                <w:i/>
                <w:sz w:val="28"/>
                <w:szCs w:val="28"/>
              </w:rPr>
              <w:t>25</w:t>
            </w:r>
            <w:r w:rsidR="00E463AC" w:rsidRPr="00550643">
              <w:rPr>
                <w:i/>
                <w:sz w:val="28"/>
                <w:szCs w:val="28"/>
              </w:rPr>
              <w:t>-</w:t>
            </w:r>
            <w:r w:rsidR="005F460B" w:rsidRPr="00550643">
              <w:rPr>
                <w:i/>
                <w:sz w:val="28"/>
                <w:szCs w:val="28"/>
              </w:rPr>
              <w:t>79</w:t>
            </w:r>
            <w:r w:rsidR="00103D1C" w:rsidRPr="00550643">
              <w:rPr>
                <w:i/>
                <w:sz w:val="28"/>
                <w:szCs w:val="28"/>
              </w:rPr>
              <w:t>4</w:t>
            </w:r>
          </w:p>
          <w:p w:rsidR="00D60E78" w:rsidRPr="00550643" w:rsidRDefault="00D60E78" w:rsidP="005F460B">
            <w:pPr>
              <w:keepNext/>
              <w:framePr w:hSpace="180" w:wrap="around" w:vAnchor="text" w:hAnchor="margin" w:xAlign="center" w:y="212"/>
              <w:tabs>
                <w:tab w:val="left" w:pos="225"/>
              </w:tabs>
              <w:outlineLvl w:val="0"/>
              <w:rPr>
                <w:sz w:val="28"/>
                <w:szCs w:val="28"/>
              </w:rPr>
            </w:pPr>
            <w:r w:rsidRPr="00550643">
              <w:rPr>
                <w:i/>
                <w:sz w:val="28"/>
                <w:szCs w:val="28"/>
              </w:rPr>
              <w:t xml:space="preserve">Адрес электронной почты: </w:t>
            </w:r>
            <w:r w:rsidR="00FF03E1" w:rsidRPr="00550643">
              <w:rPr>
                <w:sz w:val="28"/>
                <w:szCs w:val="28"/>
              </w:rPr>
              <w:t xml:space="preserve"> </w:t>
            </w:r>
            <w:r w:rsidR="00103D1C" w:rsidRPr="00550643">
              <w:rPr>
                <w:sz w:val="28"/>
                <w:szCs w:val="28"/>
              </w:rPr>
              <w:t xml:space="preserve"> </w:t>
            </w:r>
            <w:proofErr w:type="spellStart"/>
            <w:r w:rsidR="005F460B" w:rsidRPr="00550643">
              <w:rPr>
                <w:sz w:val="28"/>
                <w:szCs w:val="28"/>
                <w:lang w:val="en-US"/>
              </w:rPr>
              <w:t>MokrousovAU</w:t>
            </w:r>
            <w:proofErr w:type="spellEnd"/>
            <w:r w:rsidR="00103D1C" w:rsidRPr="00550643">
              <w:rPr>
                <w:sz w:val="28"/>
                <w:szCs w:val="28"/>
              </w:rPr>
              <w:t xml:space="preserve">@admhmansy.ru   </w:t>
            </w:r>
          </w:p>
        </w:tc>
      </w:tr>
    </w:tbl>
    <w:p w:rsidR="00D60E78" w:rsidRPr="00550643" w:rsidRDefault="00D60E78" w:rsidP="00D60E78">
      <w:pPr>
        <w:rPr>
          <w:sz w:val="28"/>
          <w:szCs w:val="28"/>
        </w:rPr>
      </w:pPr>
    </w:p>
    <w:p w:rsidR="00D60E78" w:rsidRPr="00550643" w:rsidRDefault="00D60E78" w:rsidP="00D60E78">
      <w:pPr>
        <w:jc w:val="center"/>
        <w:rPr>
          <w:sz w:val="28"/>
          <w:szCs w:val="28"/>
        </w:rPr>
      </w:pPr>
      <w:r w:rsidRPr="00550643">
        <w:rPr>
          <w:sz w:val="28"/>
          <w:szCs w:val="28"/>
        </w:rPr>
        <w:t>2.Описание проблемы, на решение которой направлен способ регулирования, оценка необходимости регулирования в соответствующей сфере деятельности</w:t>
      </w:r>
    </w:p>
    <w:p w:rsidR="00D60E78" w:rsidRPr="00550643" w:rsidRDefault="00D60E78" w:rsidP="00D60E7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D60E78" w:rsidRPr="00550643" w:rsidTr="0015670C">
        <w:trPr>
          <w:trHeight w:val="707"/>
        </w:trPr>
        <w:tc>
          <w:tcPr>
            <w:tcW w:w="10314" w:type="dxa"/>
            <w:shd w:val="clear" w:color="auto" w:fill="auto"/>
          </w:tcPr>
          <w:p w:rsidR="00D60E78" w:rsidRPr="00550643" w:rsidRDefault="0015670C" w:rsidP="003C48B2">
            <w:pPr>
              <w:jc w:val="both"/>
              <w:rPr>
                <w:i/>
                <w:sz w:val="28"/>
                <w:szCs w:val="28"/>
              </w:rPr>
            </w:pPr>
            <w:r w:rsidRPr="00550643">
              <w:rPr>
                <w:sz w:val="28"/>
                <w:szCs w:val="28"/>
              </w:rPr>
              <w:t>2.1.</w:t>
            </w:r>
            <w:r w:rsidR="00D60E78" w:rsidRPr="00550643">
              <w:rPr>
                <w:sz w:val="28"/>
                <w:szCs w:val="28"/>
              </w:rPr>
              <w:t>Описание проблемы, на решение которой направлен способ регулирования, установленный рассматриваемым муниципальным нормативным правовым актом, а также условий и факторов его осуществления:</w:t>
            </w:r>
            <w:r w:rsidR="00103D1C" w:rsidRPr="00550643">
              <w:rPr>
                <w:sz w:val="28"/>
                <w:szCs w:val="28"/>
              </w:rPr>
              <w:t xml:space="preserve"> </w:t>
            </w:r>
            <w:r w:rsidR="003C48B2" w:rsidRPr="003C48B2">
              <w:rPr>
                <w:sz w:val="28"/>
                <w:szCs w:val="28"/>
              </w:rPr>
              <w:t xml:space="preserve">Порядок предоставления субсидий организациям коммунального комплекса на возмещение затрат, связанных с </w:t>
            </w:r>
            <w:r w:rsidR="003C48B2" w:rsidRPr="003C48B2">
              <w:rPr>
                <w:sz w:val="28"/>
                <w:szCs w:val="28"/>
              </w:rPr>
              <w:lastRenderedPageBreak/>
              <w:t>выполнением работ по капитальному ремонту (с заменой) газопроводов, систем теплоснабжения, водоснабжения и водоотведения для подготовки к осенне-зимнему периоду, в том числе с применением композитных материалов на объектах коммунальной инфраструктуры, находящихся в муниципальной собственности,</w:t>
            </w:r>
          </w:p>
        </w:tc>
      </w:tr>
      <w:tr w:rsidR="00D60E78" w:rsidRPr="00550643" w:rsidTr="0015670C">
        <w:trPr>
          <w:trHeight w:val="1052"/>
        </w:trPr>
        <w:tc>
          <w:tcPr>
            <w:tcW w:w="10314" w:type="dxa"/>
            <w:shd w:val="clear" w:color="auto" w:fill="auto"/>
          </w:tcPr>
          <w:p w:rsidR="003C48B2" w:rsidRPr="003C48B2" w:rsidRDefault="00D60E78" w:rsidP="003C48B2">
            <w:pPr>
              <w:jc w:val="both"/>
              <w:rPr>
                <w:sz w:val="28"/>
                <w:szCs w:val="28"/>
              </w:rPr>
            </w:pPr>
            <w:r w:rsidRPr="00550643">
              <w:rPr>
                <w:sz w:val="28"/>
                <w:szCs w:val="28"/>
              </w:rPr>
              <w:lastRenderedPageBreak/>
              <w:t>2.2.Цели осуществляемого регулирования:</w:t>
            </w:r>
            <w:r w:rsidR="003C48B2">
              <w:t xml:space="preserve"> </w:t>
            </w:r>
            <w:r w:rsidR="003C48B2" w:rsidRPr="003C48B2">
              <w:rPr>
                <w:sz w:val="28"/>
                <w:szCs w:val="28"/>
              </w:rPr>
              <w:t>1. Повышение надежности и качества предоставления жилищно-коммунальных услуг.</w:t>
            </w:r>
          </w:p>
          <w:p w:rsidR="003C48B2" w:rsidRPr="003C48B2" w:rsidRDefault="003C48B2" w:rsidP="003C48B2">
            <w:pPr>
              <w:jc w:val="both"/>
              <w:rPr>
                <w:sz w:val="28"/>
                <w:szCs w:val="28"/>
              </w:rPr>
            </w:pPr>
            <w:r w:rsidRPr="003C48B2">
              <w:rPr>
                <w:sz w:val="28"/>
                <w:szCs w:val="28"/>
              </w:rPr>
              <w:t xml:space="preserve">2. Развитие энергосбережения и повышение </w:t>
            </w:r>
            <w:proofErr w:type="spellStart"/>
            <w:r w:rsidRPr="003C48B2">
              <w:rPr>
                <w:sz w:val="28"/>
                <w:szCs w:val="28"/>
              </w:rPr>
              <w:t>энергоэффективности</w:t>
            </w:r>
            <w:proofErr w:type="spellEnd"/>
            <w:r w:rsidRPr="003C48B2">
              <w:rPr>
                <w:sz w:val="28"/>
                <w:szCs w:val="28"/>
              </w:rPr>
              <w:t>.</w:t>
            </w:r>
          </w:p>
          <w:p w:rsidR="00D60E78" w:rsidRPr="00550643" w:rsidRDefault="003C48B2" w:rsidP="003C48B2">
            <w:pPr>
              <w:jc w:val="both"/>
              <w:rPr>
                <w:sz w:val="28"/>
                <w:szCs w:val="28"/>
              </w:rPr>
            </w:pPr>
            <w:r w:rsidRPr="003C48B2">
              <w:rPr>
                <w:sz w:val="28"/>
                <w:szCs w:val="28"/>
              </w:rPr>
              <w:t>3. Обеспечение населения достаточным количеством качественной питьевой воды в соответствии с существующими нормами водопотребления, рациональное использование водных ресурсов и повышение надежности систем водоотведения</w:t>
            </w:r>
          </w:p>
          <w:p w:rsidR="00D60E78" w:rsidRPr="00550643" w:rsidRDefault="00D60E78" w:rsidP="002A773A">
            <w:pPr>
              <w:jc w:val="both"/>
              <w:rPr>
                <w:i/>
                <w:sz w:val="28"/>
                <w:szCs w:val="28"/>
              </w:rPr>
            </w:pPr>
          </w:p>
        </w:tc>
      </w:tr>
      <w:tr w:rsidR="00D60E78" w:rsidRPr="00550643" w:rsidTr="0015670C">
        <w:trPr>
          <w:trHeight w:val="1052"/>
        </w:trPr>
        <w:tc>
          <w:tcPr>
            <w:tcW w:w="10314" w:type="dxa"/>
            <w:shd w:val="clear" w:color="auto" w:fill="auto"/>
          </w:tcPr>
          <w:p w:rsidR="00D60E78" w:rsidRPr="00550643" w:rsidRDefault="00D60E78" w:rsidP="0015670C">
            <w:pPr>
              <w:keepNext/>
              <w:jc w:val="both"/>
              <w:outlineLvl w:val="0"/>
              <w:rPr>
                <w:sz w:val="28"/>
                <w:szCs w:val="28"/>
              </w:rPr>
            </w:pPr>
            <w:r w:rsidRPr="00550643">
              <w:rPr>
                <w:sz w:val="28"/>
                <w:szCs w:val="28"/>
              </w:rPr>
              <w:t>2.3.Муниципальные нормативные правовые акты, содержащие принципы правового регулирования, программные документы, которым соответствуют цели, рассматриваемого регулирования:</w:t>
            </w:r>
          </w:p>
          <w:p w:rsidR="00D60E78" w:rsidRPr="00550643" w:rsidRDefault="00037B36" w:rsidP="00037B36">
            <w:pPr>
              <w:pBdr>
                <w:top w:val="single" w:sz="4" w:space="0" w:color="auto"/>
                <w:left w:val="single" w:sz="4" w:space="3" w:color="auto"/>
                <w:bottom w:val="single" w:sz="4" w:space="1" w:color="auto"/>
                <w:right w:val="single" w:sz="4" w:space="0" w:color="auto"/>
              </w:pBdr>
              <w:shd w:val="clear" w:color="auto" w:fill="FFFFFF"/>
              <w:jc w:val="both"/>
              <w:rPr>
                <w:i/>
                <w:sz w:val="28"/>
                <w:szCs w:val="28"/>
              </w:rPr>
            </w:pPr>
            <w:proofErr w:type="gramStart"/>
            <w:r w:rsidRPr="00550643">
              <w:rPr>
                <w:i/>
                <w:sz w:val="28"/>
                <w:szCs w:val="28"/>
              </w:rPr>
              <w:t>Распоряжение Администрации города Ханты-Мансийска от 08.10.2013 N 269-р "О разработке муниципальной программы "Об утверждении муниципальной программы "Развитие жилищного и дорожного хозяйства, благоустройство города Ханты-Мансийска на 2014 - 2020 годы", постановления Администрации города Ханты-Мансийска от 28.06.2019 N 735 "О муниципальных программах города Ханты-Мансийска" и в связи с одобрением проекта муниципальной программы "Развитие жилищного и дорожного хозяйства, благоустройство города Ханты-Мансийска на 2014 - 2020</w:t>
            </w:r>
            <w:proofErr w:type="gramEnd"/>
            <w:r w:rsidRPr="00550643">
              <w:rPr>
                <w:i/>
                <w:sz w:val="28"/>
                <w:szCs w:val="28"/>
              </w:rPr>
              <w:t xml:space="preserve"> годы"</w:t>
            </w:r>
          </w:p>
        </w:tc>
      </w:tr>
      <w:tr w:rsidR="00D60E78" w:rsidRPr="00550643" w:rsidTr="0015670C">
        <w:tc>
          <w:tcPr>
            <w:tcW w:w="10314" w:type="dxa"/>
            <w:shd w:val="clear" w:color="auto" w:fill="auto"/>
          </w:tcPr>
          <w:p w:rsidR="00D60E78" w:rsidRPr="00550643" w:rsidRDefault="0015670C" w:rsidP="0015670C">
            <w:pPr>
              <w:jc w:val="both"/>
              <w:rPr>
                <w:sz w:val="28"/>
                <w:szCs w:val="28"/>
              </w:rPr>
            </w:pPr>
            <w:r w:rsidRPr="00550643">
              <w:rPr>
                <w:sz w:val="28"/>
                <w:szCs w:val="28"/>
              </w:rPr>
              <w:t>2.4.</w:t>
            </w:r>
            <w:r w:rsidR="00D60E78" w:rsidRPr="00550643">
              <w:rPr>
                <w:sz w:val="28"/>
                <w:szCs w:val="28"/>
              </w:rPr>
              <w:t>Негативные эффекты, возникающие в связи с отсутствием регулирования в соответствующей сфере деятельности:</w:t>
            </w:r>
          </w:p>
          <w:p w:rsidR="00D60E78" w:rsidRPr="00550643" w:rsidRDefault="00037B36" w:rsidP="00ED3122">
            <w:pPr>
              <w:jc w:val="both"/>
              <w:rPr>
                <w:bCs/>
                <w:i/>
                <w:sz w:val="28"/>
                <w:szCs w:val="28"/>
              </w:rPr>
            </w:pPr>
            <w:r w:rsidRPr="00550643">
              <w:rPr>
                <w:bCs/>
                <w:i/>
                <w:sz w:val="28"/>
                <w:szCs w:val="28"/>
              </w:rPr>
              <w:t>Муниципальная программа не содержит мер, направленных на формирование благоприятного инвестиционного климата, создание благоприятных условий для ведения предпринимательской деятельности,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w:t>
            </w:r>
          </w:p>
        </w:tc>
      </w:tr>
      <w:tr w:rsidR="00D60E78" w:rsidRPr="00550643" w:rsidTr="0015670C">
        <w:tc>
          <w:tcPr>
            <w:tcW w:w="10314" w:type="dxa"/>
            <w:shd w:val="clear" w:color="auto" w:fill="auto"/>
          </w:tcPr>
          <w:p w:rsidR="00D60E78" w:rsidRPr="00550643" w:rsidRDefault="00D60E78" w:rsidP="0015670C">
            <w:pPr>
              <w:keepNext/>
              <w:jc w:val="both"/>
              <w:outlineLvl w:val="0"/>
              <w:rPr>
                <w:sz w:val="28"/>
                <w:szCs w:val="28"/>
              </w:rPr>
            </w:pPr>
            <w:r w:rsidRPr="00550643">
              <w:rPr>
                <w:sz w:val="28"/>
                <w:szCs w:val="28"/>
              </w:rPr>
              <w:t>2.5.Описание условий, при которых проблема может быть решена в целом без вмешательства со стороны государства:</w:t>
            </w:r>
            <w:r w:rsidR="00103D1C" w:rsidRPr="00550643">
              <w:rPr>
                <w:sz w:val="28"/>
                <w:szCs w:val="28"/>
              </w:rPr>
              <w:t xml:space="preserve"> 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w:t>
            </w:r>
            <w:r w:rsidR="00ED3122" w:rsidRPr="00550643">
              <w:rPr>
                <w:sz w:val="28"/>
                <w:szCs w:val="28"/>
              </w:rPr>
              <w:t xml:space="preserve"> </w:t>
            </w:r>
            <w:r w:rsidR="00103D1C" w:rsidRPr="00550643">
              <w:rPr>
                <w:sz w:val="28"/>
                <w:szCs w:val="28"/>
              </w:rPr>
              <w:t>и применять новые технологии и научные разработки. Исходя из тенденций развития малого предпринимательства, высока значимость его роли в реальном секторе муниципальной экономики, как основы ее инновационного развития</w:t>
            </w:r>
          </w:p>
          <w:p w:rsidR="00D60E78" w:rsidRPr="00550643" w:rsidRDefault="00D60E78" w:rsidP="00A94A3E">
            <w:pPr>
              <w:jc w:val="both"/>
              <w:rPr>
                <w:i/>
                <w:sz w:val="28"/>
                <w:szCs w:val="28"/>
              </w:rPr>
            </w:pPr>
          </w:p>
        </w:tc>
      </w:tr>
      <w:tr w:rsidR="00D60E78" w:rsidRPr="00550643" w:rsidTr="0015670C">
        <w:tc>
          <w:tcPr>
            <w:tcW w:w="10314" w:type="dxa"/>
            <w:shd w:val="clear" w:color="auto" w:fill="auto"/>
          </w:tcPr>
          <w:p w:rsidR="00D60E78" w:rsidRPr="00550643" w:rsidRDefault="0015670C" w:rsidP="0015670C">
            <w:pPr>
              <w:autoSpaceDE w:val="0"/>
              <w:autoSpaceDN w:val="0"/>
              <w:adjustRightInd w:val="0"/>
              <w:jc w:val="both"/>
              <w:outlineLvl w:val="1"/>
              <w:rPr>
                <w:sz w:val="28"/>
                <w:szCs w:val="28"/>
              </w:rPr>
            </w:pPr>
            <w:r w:rsidRPr="00550643">
              <w:rPr>
                <w:sz w:val="28"/>
                <w:szCs w:val="28"/>
              </w:rPr>
              <w:t>2.6.</w:t>
            </w:r>
            <w:r w:rsidR="00D60E78" w:rsidRPr="00550643">
              <w:rPr>
                <w:sz w:val="28"/>
                <w:szCs w:val="28"/>
              </w:rPr>
              <w:t>Краткий анализ регулирования субъектами Российской Федерации в соответствующих сферах деятельности:</w:t>
            </w:r>
          </w:p>
          <w:p w:rsidR="00877B1B" w:rsidRPr="00550643" w:rsidRDefault="00877B1B" w:rsidP="00877B1B">
            <w:pPr>
              <w:autoSpaceDE w:val="0"/>
              <w:autoSpaceDN w:val="0"/>
              <w:adjustRightInd w:val="0"/>
              <w:jc w:val="both"/>
              <w:rPr>
                <w:i/>
                <w:sz w:val="28"/>
                <w:szCs w:val="28"/>
              </w:rPr>
            </w:pPr>
            <w:r w:rsidRPr="00550643">
              <w:rPr>
                <w:i/>
                <w:sz w:val="28"/>
                <w:szCs w:val="28"/>
              </w:rPr>
              <w:t>В</w:t>
            </w:r>
            <w:r w:rsidR="00CD074F" w:rsidRPr="00550643">
              <w:rPr>
                <w:i/>
                <w:sz w:val="28"/>
                <w:szCs w:val="28"/>
              </w:rPr>
              <w:t xml:space="preserve">о </w:t>
            </w:r>
            <w:r w:rsidRPr="00550643">
              <w:rPr>
                <w:i/>
                <w:sz w:val="28"/>
                <w:szCs w:val="28"/>
              </w:rPr>
              <w:t>многих муниципальных образованиях Ханты-Мансийского автономного округа – Югры разработаны аналогичные нормативные правовые акты. Например:</w:t>
            </w:r>
          </w:p>
          <w:p w:rsidR="00037B36" w:rsidRPr="00550643" w:rsidRDefault="00037B36" w:rsidP="00037B36">
            <w:pPr>
              <w:autoSpaceDE w:val="0"/>
              <w:autoSpaceDN w:val="0"/>
              <w:adjustRightInd w:val="0"/>
              <w:jc w:val="both"/>
              <w:rPr>
                <w:i/>
                <w:sz w:val="28"/>
                <w:szCs w:val="28"/>
              </w:rPr>
            </w:pPr>
          </w:p>
          <w:p w:rsidR="00037B36" w:rsidRPr="00550643" w:rsidRDefault="00037B36" w:rsidP="00037B36">
            <w:pPr>
              <w:autoSpaceDE w:val="0"/>
              <w:autoSpaceDN w:val="0"/>
              <w:adjustRightInd w:val="0"/>
              <w:jc w:val="both"/>
              <w:rPr>
                <w:i/>
                <w:sz w:val="28"/>
                <w:szCs w:val="28"/>
              </w:rPr>
            </w:pPr>
            <w:r w:rsidRPr="00550643">
              <w:rPr>
                <w:i/>
                <w:sz w:val="28"/>
                <w:szCs w:val="28"/>
              </w:rPr>
              <w:lastRenderedPageBreak/>
              <w:t xml:space="preserve">«Об утверждении муниципальной программы «Развитие жилищно-коммунального комплекса и повышение энергетической эффективности в городе </w:t>
            </w:r>
            <w:proofErr w:type="spellStart"/>
            <w:r w:rsidRPr="00550643">
              <w:rPr>
                <w:i/>
                <w:sz w:val="28"/>
                <w:szCs w:val="28"/>
              </w:rPr>
              <w:t>Урай</w:t>
            </w:r>
            <w:proofErr w:type="spellEnd"/>
            <w:r w:rsidRPr="00550643">
              <w:rPr>
                <w:i/>
                <w:sz w:val="28"/>
                <w:szCs w:val="28"/>
              </w:rPr>
              <w:t>» на 2019 - 2030 годы»</w:t>
            </w:r>
          </w:p>
          <w:p w:rsidR="00037B36" w:rsidRPr="00550643" w:rsidRDefault="00037B36" w:rsidP="00877B1B">
            <w:pPr>
              <w:autoSpaceDE w:val="0"/>
              <w:autoSpaceDN w:val="0"/>
              <w:adjustRightInd w:val="0"/>
              <w:jc w:val="both"/>
              <w:rPr>
                <w:i/>
                <w:sz w:val="28"/>
                <w:szCs w:val="28"/>
              </w:rPr>
            </w:pPr>
          </w:p>
          <w:p w:rsidR="00D60E78" w:rsidRPr="00550643" w:rsidRDefault="00D60E78" w:rsidP="0015670C">
            <w:pPr>
              <w:keepNext/>
              <w:jc w:val="both"/>
              <w:outlineLvl w:val="0"/>
              <w:rPr>
                <w:sz w:val="28"/>
                <w:szCs w:val="28"/>
              </w:rPr>
            </w:pPr>
            <w:r w:rsidRPr="00550643">
              <w:rPr>
                <w:sz w:val="28"/>
                <w:szCs w:val="28"/>
              </w:rPr>
              <w:t>(Описание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 правовые и иные особенности установления обязательных требований; оценки расходов субъектов предпринимательской и инвестиционной деятельности, связанных с необходимостью соблюдения установленных требований, а также оценки соответствующих расходов, связанных с осуществлением контроля соблюдения установленных требований; описание показателей, по которым оценивалась эффективность установления обязательных требований, и результатов такой оценки)</w:t>
            </w:r>
          </w:p>
        </w:tc>
      </w:tr>
      <w:tr w:rsidR="00D60E78" w:rsidRPr="00550643" w:rsidTr="0015670C">
        <w:tc>
          <w:tcPr>
            <w:tcW w:w="10314" w:type="dxa"/>
            <w:shd w:val="clear" w:color="auto" w:fill="auto"/>
          </w:tcPr>
          <w:p w:rsidR="00D60E78" w:rsidRPr="00550643" w:rsidRDefault="00D60E78" w:rsidP="00D27E39">
            <w:pPr>
              <w:keepNext/>
              <w:jc w:val="both"/>
              <w:outlineLvl w:val="0"/>
              <w:rPr>
                <w:sz w:val="28"/>
                <w:szCs w:val="28"/>
              </w:rPr>
            </w:pPr>
            <w:r w:rsidRPr="00550643">
              <w:rPr>
                <w:sz w:val="28"/>
                <w:szCs w:val="28"/>
              </w:rPr>
              <w:lastRenderedPageBreak/>
              <w:t>2.7.Источники данных:</w:t>
            </w:r>
          </w:p>
          <w:p w:rsidR="00CD074F" w:rsidRPr="00550643" w:rsidRDefault="00CD074F" w:rsidP="00CD074F">
            <w:pPr>
              <w:jc w:val="both"/>
              <w:rPr>
                <w:i/>
                <w:sz w:val="28"/>
                <w:szCs w:val="28"/>
              </w:rPr>
            </w:pPr>
            <w:r w:rsidRPr="00550643">
              <w:rPr>
                <w:i/>
                <w:sz w:val="28"/>
                <w:szCs w:val="28"/>
              </w:rPr>
              <w:t>- Федеральный закон от 24.07.2007 № 209-ФЗ «О развитии малого и среднего предпринимательства в Российской Федерации»;</w:t>
            </w:r>
          </w:p>
          <w:p w:rsidR="00CD074F" w:rsidRPr="00550643" w:rsidRDefault="00CD074F" w:rsidP="00CD074F">
            <w:pPr>
              <w:jc w:val="both"/>
              <w:rPr>
                <w:i/>
                <w:sz w:val="28"/>
                <w:szCs w:val="28"/>
              </w:rPr>
            </w:pPr>
            <w:r w:rsidRPr="00550643">
              <w:rPr>
                <w:i/>
                <w:sz w:val="28"/>
                <w:szCs w:val="28"/>
              </w:rPr>
              <w:t xml:space="preserve">- Закон Ханты-Мансийского автономного округа - Югры от 29.12.2007 № 213-оз «О развитии малого и среднего предпринимательства </w:t>
            </w:r>
            <w:proofErr w:type="gramStart"/>
            <w:r w:rsidRPr="00550643">
              <w:rPr>
                <w:i/>
                <w:sz w:val="28"/>
                <w:szCs w:val="28"/>
              </w:rPr>
              <w:t>в</w:t>
            </w:r>
            <w:proofErr w:type="gramEnd"/>
            <w:r w:rsidRPr="00550643">
              <w:rPr>
                <w:i/>
                <w:sz w:val="28"/>
                <w:szCs w:val="28"/>
              </w:rPr>
              <w:t xml:space="preserve"> </w:t>
            </w:r>
            <w:proofErr w:type="gramStart"/>
            <w:r w:rsidRPr="00550643">
              <w:rPr>
                <w:i/>
                <w:sz w:val="28"/>
                <w:szCs w:val="28"/>
              </w:rPr>
              <w:t>Ханты-Мансийском</w:t>
            </w:r>
            <w:proofErr w:type="gramEnd"/>
            <w:r w:rsidRPr="00550643">
              <w:rPr>
                <w:i/>
                <w:sz w:val="28"/>
                <w:szCs w:val="28"/>
              </w:rPr>
              <w:t xml:space="preserve"> автономном округе - Югре»;</w:t>
            </w:r>
          </w:p>
          <w:p w:rsidR="00D60E78" w:rsidRPr="00550643" w:rsidRDefault="00CD074F" w:rsidP="00CD074F">
            <w:pPr>
              <w:jc w:val="both"/>
              <w:rPr>
                <w:sz w:val="28"/>
                <w:szCs w:val="28"/>
              </w:rPr>
            </w:pPr>
            <w:r w:rsidRPr="00550643">
              <w:rPr>
                <w:bCs/>
                <w:i/>
                <w:sz w:val="28"/>
                <w:szCs w:val="28"/>
              </w:rPr>
              <w:t xml:space="preserve">- постановление Администрации города Ханты-Мансийска  от 30.12.215 № 1514 «Об утверждении муниципальной программы </w:t>
            </w:r>
            <w:r w:rsidRPr="00550643">
              <w:rPr>
                <w:i/>
                <w:sz w:val="28"/>
                <w:szCs w:val="28"/>
              </w:rPr>
              <w:t xml:space="preserve"> «Развитие отдельных секторов экономики города Ханты-Мансийска на 2016-2020 годы».</w:t>
            </w:r>
          </w:p>
        </w:tc>
      </w:tr>
    </w:tbl>
    <w:p w:rsidR="00D60E78" w:rsidRPr="00550643" w:rsidRDefault="00D60E78" w:rsidP="00D60E78">
      <w:pPr>
        <w:jc w:val="center"/>
        <w:rPr>
          <w:sz w:val="28"/>
          <w:szCs w:val="28"/>
        </w:rPr>
      </w:pPr>
    </w:p>
    <w:p w:rsidR="00D60E78" w:rsidRPr="00550643" w:rsidRDefault="00720ECC" w:rsidP="00720ECC">
      <w:pPr>
        <w:contextualSpacing/>
        <w:jc w:val="center"/>
        <w:rPr>
          <w:sz w:val="28"/>
          <w:szCs w:val="28"/>
        </w:rPr>
      </w:pPr>
      <w:r w:rsidRPr="00550643">
        <w:rPr>
          <w:sz w:val="28"/>
          <w:szCs w:val="28"/>
        </w:rPr>
        <w:t>3.</w:t>
      </w:r>
      <w:r w:rsidR="00D60E78" w:rsidRPr="00550643">
        <w:rPr>
          <w:sz w:val="28"/>
          <w:szCs w:val="28"/>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затронуты правовым регулированием, оценка количества таких субъектов</w:t>
      </w:r>
    </w:p>
    <w:p w:rsidR="00D60E78" w:rsidRPr="00550643" w:rsidRDefault="00D60E78" w:rsidP="00D60E78">
      <w:pPr>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D60E78" w:rsidRPr="00550643" w:rsidTr="00720ECC">
        <w:tc>
          <w:tcPr>
            <w:tcW w:w="4928" w:type="dxa"/>
            <w:shd w:val="clear" w:color="auto" w:fill="auto"/>
          </w:tcPr>
          <w:p w:rsidR="00D60E78" w:rsidRPr="00550643" w:rsidRDefault="00D60E78" w:rsidP="00720ECC">
            <w:pPr>
              <w:contextualSpacing/>
              <w:rPr>
                <w:sz w:val="28"/>
                <w:szCs w:val="28"/>
              </w:rPr>
            </w:pPr>
            <w:r w:rsidRPr="00550643">
              <w:rPr>
                <w:sz w:val="28"/>
                <w:szCs w:val="28"/>
              </w:rPr>
              <w:t>3.1.Группа участников отношений</w:t>
            </w:r>
          </w:p>
        </w:tc>
        <w:tc>
          <w:tcPr>
            <w:tcW w:w="5386" w:type="dxa"/>
            <w:shd w:val="clear" w:color="auto" w:fill="auto"/>
          </w:tcPr>
          <w:p w:rsidR="00D60E78" w:rsidRPr="00550643" w:rsidRDefault="00720ECC" w:rsidP="00C41554">
            <w:pPr>
              <w:contextualSpacing/>
              <w:jc w:val="both"/>
              <w:rPr>
                <w:sz w:val="28"/>
                <w:szCs w:val="28"/>
              </w:rPr>
            </w:pPr>
            <w:r w:rsidRPr="00550643">
              <w:rPr>
                <w:sz w:val="28"/>
                <w:szCs w:val="28"/>
              </w:rPr>
              <w:t>3.2.</w:t>
            </w:r>
            <w:r w:rsidR="00D60E78" w:rsidRPr="00550643">
              <w:rPr>
                <w:sz w:val="28"/>
                <w:szCs w:val="28"/>
              </w:rPr>
              <w:t>Оценка количества участников отношений</w:t>
            </w:r>
          </w:p>
        </w:tc>
      </w:tr>
      <w:tr w:rsidR="00D60E78" w:rsidRPr="00550643" w:rsidTr="00720ECC">
        <w:tc>
          <w:tcPr>
            <w:tcW w:w="4928" w:type="dxa"/>
            <w:shd w:val="clear" w:color="auto" w:fill="auto"/>
          </w:tcPr>
          <w:p w:rsidR="00D60E78" w:rsidRPr="00550643" w:rsidRDefault="00D60E78" w:rsidP="00C41554">
            <w:pPr>
              <w:contextualSpacing/>
              <w:jc w:val="both"/>
              <w:rPr>
                <w:i/>
                <w:sz w:val="28"/>
                <w:szCs w:val="28"/>
              </w:rPr>
            </w:pPr>
          </w:p>
        </w:tc>
        <w:tc>
          <w:tcPr>
            <w:tcW w:w="5386" w:type="dxa"/>
            <w:shd w:val="clear" w:color="auto" w:fill="auto"/>
          </w:tcPr>
          <w:p w:rsidR="00D60E78" w:rsidRPr="00550643" w:rsidRDefault="00D60E78" w:rsidP="00A10DEB">
            <w:pPr>
              <w:contextualSpacing/>
              <w:jc w:val="both"/>
              <w:rPr>
                <w:i/>
                <w:sz w:val="28"/>
                <w:szCs w:val="28"/>
              </w:rPr>
            </w:pPr>
          </w:p>
        </w:tc>
      </w:tr>
      <w:tr w:rsidR="00D60E78" w:rsidRPr="00550643" w:rsidTr="00720ECC">
        <w:tc>
          <w:tcPr>
            <w:tcW w:w="4928" w:type="dxa"/>
            <w:shd w:val="clear" w:color="auto" w:fill="auto"/>
          </w:tcPr>
          <w:p w:rsidR="00D60E78" w:rsidRPr="00550643" w:rsidRDefault="00D60E78" w:rsidP="00C41554">
            <w:pPr>
              <w:contextualSpacing/>
              <w:rPr>
                <w:sz w:val="28"/>
                <w:szCs w:val="28"/>
              </w:rPr>
            </w:pPr>
            <w:r w:rsidRPr="00550643">
              <w:rPr>
                <w:sz w:val="28"/>
                <w:szCs w:val="28"/>
              </w:rPr>
              <w:t>(описание иной группы участников отношений №)</w:t>
            </w:r>
          </w:p>
        </w:tc>
        <w:tc>
          <w:tcPr>
            <w:tcW w:w="5386" w:type="dxa"/>
            <w:shd w:val="clear" w:color="auto" w:fill="auto"/>
          </w:tcPr>
          <w:p w:rsidR="00D60E78" w:rsidRPr="00550643" w:rsidRDefault="003C48B2" w:rsidP="00C41554">
            <w:pPr>
              <w:contextualSpacing/>
              <w:rPr>
                <w:sz w:val="28"/>
                <w:szCs w:val="28"/>
              </w:rPr>
            </w:pPr>
            <w:r w:rsidRPr="003C48B2">
              <w:rPr>
                <w:sz w:val="28"/>
                <w:szCs w:val="28"/>
              </w:rPr>
              <w:t xml:space="preserve">организации и индивидуальных </w:t>
            </w:r>
            <w:proofErr w:type="gramStart"/>
            <w:r w:rsidRPr="003C48B2">
              <w:rPr>
                <w:sz w:val="28"/>
                <w:szCs w:val="28"/>
              </w:rPr>
              <w:t>предпринимателей</w:t>
            </w:r>
            <w:proofErr w:type="gramEnd"/>
            <w:r w:rsidRPr="003C48B2">
              <w:rPr>
                <w:sz w:val="28"/>
                <w:szCs w:val="28"/>
              </w:rPr>
              <w:t xml:space="preserve"> осуществляющих деятельность по обслуживанию и ремонту объектов жилищно-коммунального комплекса города Ханты-Мансийска.</w:t>
            </w:r>
            <w:bookmarkStart w:id="0" w:name="_GoBack"/>
            <w:bookmarkEnd w:id="0"/>
          </w:p>
        </w:tc>
      </w:tr>
      <w:tr w:rsidR="00D60E78" w:rsidRPr="00550643" w:rsidTr="00720ECC">
        <w:tc>
          <w:tcPr>
            <w:tcW w:w="10314" w:type="dxa"/>
            <w:gridSpan w:val="2"/>
            <w:shd w:val="clear" w:color="auto" w:fill="auto"/>
          </w:tcPr>
          <w:p w:rsidR="00D60E78" w:rsidRPr="00550643" w:rsidRDefault="00720ECC" w:rsidP="00C41554">
            <w:pPr>
              <w:contextualSpacing/>
              <w:rPr>
                <w:sz w:val="28"/>
                <w:szCs w:val="28"/>
              </w:rPr>
            </w:pPr>
            <w:r w:rsidRPr="00550643">
              <w:rPr>
                <w:sz w:val="28"/>
                <w:szCs w:val="28"/>
              </w:rPr>
              <w:t>3.3.</w:t>
            </w:r>
            <w:r w:rsidR="00D60E78" w:rsidRPr="00550643">
              <w:rPr>
                <w:sz w:val="28"/>
                <w:szCs w:val="28"/>
              </w:rPr>
              <w:t>Источники данных:</w:t>
            </w:r>
          </w:p>
          <w:p w:rsidR="00D60E78" w:rsidRPr="00550643" w:rsidRDefault="00091DEC" w:rsidP="00C41554">
            <w:pPr>
              <w:contextualSpacing/>
              <w:jc w:val="center"/>
              <w:rPr>
                <w:i/>
                <w:sz w:val="28"/>
                <w:szCs w:val="28"/>
              </w:rPr>
            </w:pPr>
            <w:r w:rsidRPr="00550643">
              <w:rPr>
                <w:i/>
                <w:sz w:val="28"/>
                <w:szCs w:val="28"/>
              </w:rPr>
              <w:t>Департамент городского хозяй</w:t>
            </w:r>
            <w:r w:rsidR="00D845F6" w:rsidRPr="00550643">
              <w:rPr>
                <w:i/>
                <w:sz w:val="28"/>
                <w:szCs w:val="28"/>
              </w:rPr>
              <w:t>ства</w:t>
            </w:r>
            <w:r w:rsidR="00A94A3E" w:rsidRPr="00550643">
              <w:rPr>
                <w:i/>
                <w:sz w:val="28"/>
                <w:szCs w:val="28"/>
              </w:rPr>
              <w:t xml:space="preserve"> Администрации города Ханты-Мансийска</w:t>
            </w:r>
          </w:p>
        </w:tc>
      </w:tr>
    </w:tbl>
    <w:p w:rsidR="00D60E78" w:rsidRPr="00550643" w:rsidRDefault="00D60E78" w:rsidP="00720ECC">
      <w:pPr>
        <w:contextualSpacing/>
        <w:rPr>
          <w:sz w:val="28"/>
          <w:szCs w:val="28"/>
        </w:rPr>
      </w:pPr>
    </w:p>
    <w:p w:rsidR="00D60E78" w:rsidRPr="00550643" w:rsidRDefault="00720ECC" w:rsidP="00720ECC">
      <w:pPr>
        <w:contextualSpacing/>
        <w:jc w:val="center"/>
        <w:rPr>
          <w:sz w:val="28"/>
          <w:szCs w:val="28"/>
        </w:rPr>
      </w:pPr>
      <w:r w:rsidRPr="00550643">
        <w:rPr>
          <w:sz w:val="28"/>
          <w:szCs w:val="28"/>
        </w:rPr>
        <w:t>4.</w:t>
      </w:r>
      <w:r w:rsidR="00D60E78" w:rsidRPr="00550643">
        <w:rPr>
          <w:sz w:val="28"/>
          <w:szCs w:val="28"/>
        </w:rPr>
        <w:t>Оценка соответствующих расходов (поступлений)</w:t>
      </w:r>
    </w:p>
    <w:p w:rsidR="00D60E78" w:rsidRPr="00550643" w:rsidRDefault="00D60E78" w:rsidP="00720ECC">
      <w:pPr>
        <w:contextualSpacing/>
        <w:jc w:val="center"/>
        <w:rPr>
          <w:sz w:val="28"/>
          <w:szCs w:val="28"/>
        </w:rPr>
      </w:pPr>
      <w:r w:rsidRPr="00550643">
        <w:rPr>
          <w:sz w:val="28"/>
          <w:szCs w:val="28"/>
        </w:rPr>
        <w:t>местного бюджета</w:t>
      </w:r>
    </w:p>
    <w:p w:rsidR="00D60E78" w:rsidRPr="00550643" w:rsidRDefault="00D60E78" w:rsidP="00720ECC">
      <w:pPr>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969"/>
      </w:tblGrid>
      <w:tr w:rsidR="00D60E78" w:rsidRPr="00550643" w:rsidTr="00720ECC">
        <w:trPr>
          <w:trHeight w:val="20"/>
        </w:trPr>
        <w:tc>
          <w:tcPr>
            <w:tcW w:w="3227" w:type="dxa"/>
            <w:shd w:val="clear" w:color="auto" w:fill="auto"/>
          </w:tcPr>
          <w:p w:rsidR="00D60E78" w:rsidRPr="00550643" w:rsidRDefault="00720ECC" w:rsidP="00720ECC">
            <w:pPr>
              <w:contextualSpacing/>
              <w:jc w:val="both"/>
              <w:rPr>
                <w:sz w:val="28"/>
                <w:szCs w:val="28"/>
              </w:rPr>
            </w:pPr>
            <w:r w:rsidRPr="00550643">
              <w:rPr>
                <w:sz w:val="28"/>
                <w:szCs w:val="28"/>
              </w:rPr>
              <w:t>4.1.</w:t>
            </w:r>
            <w:r w:rsidR="00D60E78" w:rsidRPr="00550643">
              <w:rPr>
                <w:sz w:val="28"/>
                <w:szCs w:val="28"/>
              </w:rPr>
              <w:t xml:space="preserve">Наименование </w:t>
            </w:r>
            <w:r w:rsidR="00D60E78" w:rsidRPr="00550643">
              <w:rPr>
                <w:sz w:val="28"/>
                <w:szCs w:val="28"/>
              </w:rPr>
              <w:lastRenderedPageBreak/>
              <w:t>существующей функции, полномочия, обязанности или права</w:t>
            </w:r>
            <w:r w:rsidR="00B76665" w:rsidRPr="00550643">
              <w:rPr>
                <w:sz w:val="28"/>
                <w:szCs w:val="28"/>
              </w:rPr>
              <w:t>:</w:t>
            </w:r>
          </w:p>
          <w:p w:rsidR="00335797" w:rsidRPr="00550643" w:rsidRDefault="00335797" w:rsidP="00335797">
            <w:pPr>
              <w:contextualSpacing/>
              <w:jc w:val="both"/>
              <w:rPr>
                <w:i/>
                <w:sz w:val="28"/>
                <w:szCs w:val="28"/>
                <w:vertAlign w:val="superscript"/>
              </w:rPr>
            </w:pPr>
          </w:p>
        </w:tc>
        <w:tc>
          <w:tcPr>
            <w:tcW w:w="3118" w:type="dxa"/>
            <w:shd w:val="clear" w:color="auto" w:fill="auto"/>
          </w:tcPr>
          <w:p w:rsidR="00D60E78" w:rsidRPr="00550643" w:rsidRDefault="00720ECC" w:rsidP="00AC3268">
            <w:pPr>
              <w:autoSpaceDE w:val="0"/>
              <w:autoSpaceDN w:val="0"/>
              <w:adjustRightInd w:val="0"/>
              <w:jc w:val="both"/>
              <w:rPr>
                <w:i/>
                <w:sz w:val="28"/>
                <w:szCs w:val="28"/>
              </w:rPr>
            </w:pPr>
            <w:r w:rsidRPr="00550643">
              <w:rPr>
                <w:sz w:val="28"/>
                <w:szCs w:val="28"/>
              </w:rPr>
              <w:lastRenderedPageBreak/>
              <w:t>4.2.</w:t>
            </w:r>
            <w:r w:rsidR="00D60E78" w:rsidRPr="00550643">
              <w:rPr>
                <w:sz w:val="28"/>
                <w:szCs w:val="28"/>
              </w:rPr>
              <w:t xml:space="preserve">Описание видов </w:t>
            </w:r>
            <w:r w:rsidR="00D60E78" w:rsidRPr="00550643">
              <w:rPr>
                <w:sz w:val="28"/>
                <w:szCs w:val="28"/>
              </w:rPr>
              <w:lastRenderedPageBreak/>
              <w:t>расходов, (поступлений) местного бюджета</w:t>
            </w:r>
            <w:r w:rsidR="00B76665" w:rsidRPr="00550643">
              <w:rPr>
                <w:sz w:val="28"/>
                <w:szCs w:val="28"/>
              </w:rPr>
              <w:t xml:space="preserve">: </w:t>
            </w:r>
          </w:p>
        </w:tc>
        <w:tc>
          <w:tcPr>
            <w:tcW w:w="3969" w:type="dxa"/>
            <w:shd w:val="clear" w:color="auto" w:fill="auto"/>
          </w:tcPr>
          <w:p w:rsidR="00D60E78" w:rsidRPr="00550643" w:rsidRDefault="00720ECC" w:rsidP="00AC3268">
            <w:pPr>
              <w:contextualSpacing/>
              <w:jc w:val="both"/>
              <w:rPr>
                <w:sz w:val="28"/>
                <w:szCs w:val="28"/>
              </w:rPr>
            </w:pPr>
            <w:r w:rsidRPr="00550643">
              <w:rPr>
                <w:sz w:val="28"/>
                <w:szCs w:val="28"/>
              </w:rPr>
              <w:lastRenderedPageBreak/>
              <w:t>4.3.</w:t>
            </w:r>
            <w:r w:rsidR="00D60E78" w:rsidRPr="00550643">
              <w:rPr>
                <w:sz w:val="28"/>
                <w:szCs w:val="28"/>
              </w:rPr>
              <w:t xml:space="preserve">Количественная оценка </w:t>
            </w:r>
            <w:r w:rsidR="00D60E78" w:rsidRPr="00550643">
              <w:rPr>
                <w:sz w:val="28"/>
                <w:szCs w:val="28"/>
              </w:rPr>
              <w:lastRenderedPageBreak/>
              <w:t>расходов, (поступлений)</w:t>
            </w:r>
            <w:r w:rsidR="00B76665" w:rsidRPr="00550643">
              <w:rPr>
                <w:sz w:val="28"/>
                <w:szCs w:val="28"/>
              </w:rPr>
              <w:t xml:space="preserve">: </w:t>
            </w:r>
          </w:p>
        </w:tc>
      </w:tr>
      <w:tr w:rsidR="00D60E78" w:rsidRPr="00550643" w:rsidTr="00720ECC">
        <w:trPr>
          <w:trHeight w:val="20"/>
        </w:trPr>
        <w:tc>
          <w:tcPr>
            <w:tcW w:w="10314" w:type="dxa"/>
            <w:gridSpan w:val="3"/>
            <w:shd w:val="clear" w:color="auto" w:fill="auto"/>
          </w:tcPr>
          <w:p w:rsidR="00D60E78" w:rsidRPr="00550643" w:rsidRDefault="00720ECC" w:rsidP="00D845F6">
            <w:pPr>
              <w:contextualSpacing/>
              <w:jc w:val="both"/>
              <w:rPr>
                <w:sz w:val="28"/>
                <w:szCs w:val="28"/>
              </w:rPr>
            </w:pPr>
            <w:r w:rsidRPr="00550643">
              <w:rPr>
                <w:sz w:val="28"/>
                <w:szCs w:val="28"/>
              </w:rPr>
              <w:lastRenderedPageBreak/>
              <w:t>4.4.</w:t>
            </w:r>
            <w:r w:rsidR="00D60E78" w:rsidRPr="00550643">
              <w:rPr>
                <w:sz w:val="28"/>
                <w:szCs w:val="28"/>
              </w:rPr>
              <w:t>Наименование органа местного самоуправления либо его структурного подразделения</w:t>
            </w:r>
            <w:r w:rsidR="0015320A" w:rsidRPr="00550643">
              <w:rPr>
                <w:sz w:val="28"/>
                <w:szCs w:val="28"/>
              </w:rPr>
              <w:t xml:space="preserve">: </w:t>
            </w:r>
            <w:r w:rsidR="00D845F6" w:rsidRPr="00550643">
              <w:rPr>
                <w:i/>
                <w:sz w:val="28"/>
                <w:szCs w:val="28"/>
              </w:rPr>
              <w:t>Департамент городского хозяйства</w:t>
            </w:r>
            <w:r w:rsidR="0015320A" w:rsidRPr="00550643">
              <w:rPr>
                <w:i/>
                <w:sz w:val="28"/>
                <w:szCs w:val="28"/>
              </w:rPr>
              <w:t xml:space="preserve"> Администрации города Ханты-Мансийска</w:t>
            </w:r>
          </w:p>
        </w:tc>
      </w:tr>
      <w:tr w:rsidR="00D60E78" w:rsidRPr="00550643" w:rsidTr="00720ECC">
        <w:trPr>
          <w:trHeight w:val="20"/>
        </w:trPr>
        <w:tc>
          <w:tcPr>
            <w:tcW w:w="3227" w:type="dxa"/>
            <w:vMerge w:val="restart"/>
            <w:shd w:val="clear" w:color="auto" w:fill="auto"/>
          </w:tcPr>
          <w:p w:rsidR="00D60E78" w:rsidRPr="00550643" w:rsidRDefault="00720ECC" w:rsidP="00ED03F8">
            <w:pPr>
              <w:contextualSpacing/>
              <w:jc w:val="both"/>
              <w:rPr>
                <w:b/>
                <w:sz w:val="28"/>
                <w:szCs w:val="28"/>
              </w:rPr>
            </w:pPr>
            <w:r w:rsidRPr="00550643">
              <w:rPr>
                <w:sz w:val="28"/>
                <w:szCs w:val="28"/>
              </w:rPr>
              <w:t>4.4.1.</w:t>
            </w:r>
            <w:r w:rsidR="00AC3268" w:rsidRPr="00550643">
              <w:rPr>
                <w:sz w:val="28"/>
                <w:szCs w:val="28"/>
              </w:rPr>
              <w:t xml:space="preserve"> </w:t>
            </w:r>
            <w:r w:rsidR="00D845F6" w:rsidRPr="00550643">
              <w:rPr>
                <w:sz w:val="28"/>
                <w:szCs w:val="28"/>
              </w:rPr>
              <w:t>Мероприятие "Формирование современной городской среды" федерального проекта "Формирование комфортной городской среды", портфель проектов Ханты-Мансийского автономного округа - Югры "Жилье и городская среда".</w:t>
            </w:r>
          </w:p>
        </w:tc>
        <w:tc>
          <w:tcPr>
            <w:tcW w:w="3118" w:type="dxa"/>
            <w:shd w:val="clear" w:color="auto" w:fill="auto"/>
          </w:tcPr>
          <w:p w:rsidR="00D27E39" w:rsidRPr="00550643" w:rsidRDefault="00720ECC" w:rsidP="00D845F6">
            <w:pPr>
              <w:contextualSpacing/>
              <w:rPr>
                <w:sz w:val="28"/>
                <w:szCs w:val="28"/>
              </w:rPr>
            </w:pPr>
            <w:r w:rsidRPr="00550643">
              <w:rPr>
                <w:sz w:val="28"/>
                <w:szCs w:val="28"/>
              </w:rPr>
              <w:t>4.4.2.</w:t>
            </w:r>
            <w:r w:rsidR="00D60E78" w:rsidRPr="00550643">
              <w:rPr>
                <w:sz w:val="28"/>
                <w:szCs w:val="28"/>
              </w:rPr>
              <w:t xml:space="preserve">Единовременные расходы </w:t>
            </w:r>
            <w:r w:rsidR="00AC3268" w:rsidRPr="00550643">
              <w:rPr>
                <w:sz w:val="28"/>
                <w:szCs w:val="28"/>
              </w:rPr>
              <w:t>(</w:t>
            </w:r>
            <w:r w:rsidR="00D60E78" w:rsidRPr="00550643">
              <w:rPr>
                <w:sz w:val="28"/>
                <w:szCs w:val="28"/>
              </w:rPr>
              <w:t>в год возникновения полномочия и т.д.):</w:t>
            </w:r>
            <w:r w:rsidR="00AC3268" w:rsidRPr="00550643">
              <w:rPr>
                <w:sz w:val="28"/>
                <w:szCs w:val="28"/>
              </w:rPr>
              <w:t xml:space="preserve"> </w:t>
            </w:r>
          </w:p>
        </w:tc>
        <w:tc>
          <w:tcPr>
            <w:tcW w:w="3969" w:type="dxa"/>
            <w:shd w:val="clear" w:color="auto" w:fill="auto"/>
          </w:tcPr>
          <w:p w:rsidR="00D60E78" w:rsidRPr="00550643" w:rsidRDefault="00D60E78" w:rsidP="00720ECC">
            <w:pPr>
              <w:contextualSpacing/>
              <w:rPr>
                <w:i/>
                <w:sz w:val="28"/>
                <w:szCs w:val="28"/>
              </w:rPr>
            </w:pPr>
          </w:p>
        </w:tc>
      </w:tr>
      <w:tr w:rsidR="00D60E78" w:rsidRPr="00550643" w:rsidTr="00720ECC">
        <w:trPr>
          <w:trHeight w:val="20"/>
        </w:trPr>
        <w:tc>
          <w:tcPr>
            <w:tcW w:w="3227" w:type="dxa"/>
            <w:vMerge/>
            <w:shd w:val="clear" w:color="auto" w:fill="auto"/>
          </w:tcPr>
          <w:p w:rsidR="00D60E78" w:rsidRPr="00550643" w:rsidRDefault="00D60E78" w:rsidP="00720ECC">
            <w:pPr>
              <w:contextualSpacing/>
              <w:jc w:val="center"/>
              <w:rPr>
                <w:sz w:val="28"/>
                <w:szCs w:val="28"/>
              </w:rPr>
            </w:pPr>
          </w:p>
        </w:tc>
        <w:tc>
          <w:tcPr>
            <w:tcW w:w="3118" w:type="dxa"/>
            <w:shd w:val="clear" w:color="auto" w:fill="auto"/>
          </w:tcPr>
          <w:p w:rsidR="00D60E78" w:rsidRPr="00550643" w:rsidRDefault="00D60E78" w:rsidP="00AC3268">
            <w:pPr>
              <w:contextualSpacing/>
              <w:rPr>
                <w:sz w:val="28"/>
                <w:szCs w:val="28"/>
              </w:rPr>
            </w:pPr>
            <w:r w:rsidRPr="00550643">
              <w:rPr>
                <w:sz w:val="28"/>
                <w:szCs w:val="28"/>
              </w:rPr>
              <w:t>4.4.3. Периодические расходы за период реализации полномочия</w:t>
            </w:r>
            <w:r w:rsidR="00AC3268" w:rsidRPr="00550643">
              <w:rPr>
                <w:sz w:val="28"/>
                <w:szCs w:val="28"/>
              </w:rPr>
              <w:t>:</w:t>
            </w:r>
          </w:p>
          <w:p w:rsidR="00D27E39" w:rsidRPr="00550643" w:rsidRDefault="00D27E39" w:rsidP="00720ECC">
            <w:pPr>
              <w:contextualSpacing/>
              <w:rPr>
                <w:sz w:val="28"/>
                <w:szCs w:val="28"/>
              </w:rPr>
            </w:pPr>
          </w:p>
        </w:tc>
        <w:tc>
          <w:tcPr>
            <w:tcW w:w="3969" w:type="dxa"/>
            <w:shd w:val="clear" w:color="auto" w:fill="auto"/>
          </w:tcPr>
          <w:p w:rsidR="00ED03F8" w:rsidRPr="00550643" w:rsidRDefault="00ED03F8" w:rsidP="00ED03F8">
            <w:pPr>
              <w:contextualSpacing/>
              <w:rPr>
                <w:i/>
                <w:sz w:val="28"/>
                <w:szCs w:val="28"/>
              </w:rPr>
            </w:pPr>
            <w:r w:rsidRPr="00550643">
              <w:rPr>
                <w:i/>
                <w:sz w:val="28"/>
                <w:szCs w:val="28"/>
              </w:rPr>
              <w:t>Общий объем финансирования мероприятия "Формирование современной городской среды" в 2019 - 2024 годах за счет средств федерального бюджета, бюджета Ханты-Мансийского автономного округа - Югры и бюджета города Ханты-Мансийска составляет - 724269706,95 рублей, в том числе по годам:</w:t>
            </w:r>
          </w:p>
          <w:p w:rsidR="00ED03F8" w:rsidRPr="00550643" w:rsidRDefault="00ED03F8" w:rsidP="00ED03F8">
            <w:pPr>
              <w:contextualSpacing/>
              <w:rPr>
                <w:i/>
                <w:sz w:val="28"/>
                <w:szCs w:val="28"/>
              </w:rPr>
            </w:pPr>
            <w:r w:rsidRPr="00550643">
              <w:rPr>
                <w:i/>
                <w:sz w:val="28"/>
                <w:szCs w:val="28"/>
              </w:rPr>
              <w:t>2019 год - 143451456,95 рублей;</w:t>
            </w:r>
          </w:p>
          <w:p w:rsidR="00ED03F8" w:rsidRPr="00550643" w:rsidRDefault="00ED03F8" w:rsidP="00ED03F8">
            <w:pPr>
              <w:contextualSpacing/>
              <w:rPr>
                <w:i/>
                <w:sz w:val="28"/>
                <w:szCs w:val="28"/>
              </w:rPr>
            </w:pPr>
            <w:r w:rsidRPr="00550643">
              <w:rPr>
                <w:i/>
                <w:sz w:val="28"/>
                <w:szCs w:val="28"/>
              </w:rPr>
              <w:t>2020 год - 463235625,00 рублей;</w:t>
            </w:r>
          </w:p>
          <w:p w:rsidR="00ED03F8" w:rsidRPr="00550643" w:rsidRDefault="00ED03F8" w:rsidP="00ED03F8">
            <w:pPr>
              <w:contextualSpacing/>
              <w:rPr>
                <w:i/>
                <w:sz w:val="28"/>
                <w:szCs w:val="28"/>
              </w:rPr>
            </w:pPr>
            <w:r w:rsidRPr="00550643">
              <w:rPr>
                <w:i/>
                <w:sz w:val="28"/>
                <w:szCs w:val="28"/>
              </w:rPr>
              <w:t>2021 год - 28485625,00 рублей;</w:t>
            </w:r>
          </w:p>
          <w:p w:rsidR="00ED03F8" w:rsidRPr="00550643" w:rsidRDefault="00ED03F8" w:rsidP="00ED03F8">
            <w:pPr>
              <w:contextualSpacing/>
              <w:rPr>
                <w:i/>
                <w:sz w:val="28"/>
                <w:szCs w:val="28"/>
              </w:rPr>
            </w:pPr>
            <w:r w:rsidRPr="00550643">
              <w:rPr>
                <w:i/>
                <w:sz w:val="28"/>
                <w:szCs w:val="28"/>
              </w:rPr>
              <w:t>2022 год - 29699000,00 рублей;</w:t>
            </w:r>
          </w:p>
          <w:p w:rsidR="00ED03F8" w:rsidRPr="00550643" w:rsidRDefault="00ED03F8" w:rsidP="00ED03F8">
            <w:pPr>
              <w:contextualSpacing/>
              <w:rPr>
                <w:i/>
                <w:sz w:val="28"/>
                <w:szCs w:val="28"/>
              </w:rPr>
            </w:pPr>
            <w:r w:rsidRPr="00550643">
              <w:rPr>
                <w:i/>
                <w:sz w:val="28"/>
                <w:szCs w:val="28"/>
              </w:rPr>
              <w:t>2023 год - 29699000,00 рублей;</w:t>
            </w:r>
          </w:p>
          <w:p w:rsidR="00D60E78" w:rsidRPr="00550643" w:rsidRDefault="00ED03F8" w:rsidP="00ED03F8">
            <w:pPr>
              <w:contextualSpacing/>
              <w:rPr>
                <w:i/>
                <w:sz w:val="28"/>
                <w:szCs w:val="28"/>
              </w:rPr>
            </w:pPr>
            <w:r w:rsidRPr="00550643">
              <w:rPr>
                <w:i/>
                <w:sz w:val="28"/>
                <w:szCs w:val="28"/>
              </w:rPr>
              <w:t>2024 год - 29699000,00 рублей</w:t>
            </w:r>
          </w:p>
        </w:tc>
      </w:tr>
      <w:tr w:rsidR="00D60E78" w:rsidRPr="00550643" w:rsidTr="00720ECC">
        <w:trPr>
          <w:trHeight w:val="20"/>
        </w:trPr>
        <w:tc>
          <w:tcPr>
            <w:tcW w:w="3227" w:type="dxa"/>
            <w:vMerge/>
            <w:shd w:val="clear" w:color="auto" w:fill="auto"/>
          </w:tcPr>
          <w:p w:rsidR="00D60E78" w:rsidRPr="00550643" w:rsidRDefault="00D60E78" w:rsidP="00720ECC">
            <w:pPr>
              <w:contextualSpacing/>
              <w:jc w:val="center"/>
              <w:rPr>
                <w:sz w:val="28"/>
                <w:szCs w:val="28"/>
              </w:rPr>
            </w:pPr>
          </w:p>
        </w:tc>
        <w:tc>
          <w:tcPr>
            <w:tcW w:w="3118" w:type="dxa"/>
            <w:shd w:val="clear" w:color="auto" w:fill="auto"/>
          </w:tcPr>
          <w:p w:rsidR="00D60E78" w:rsidRPr="00550643" w:rsidRDefault="00D60E78" w:rsidP="00720ECC">
            <w:pPr>
              <w:contextualSpacing/>
              <w:rPr>
                <w:sz w:val="28"/>
                <w:szCs w:val="28"/>
              </w:rPr>
            </w:pPr>
            <w:r w:rsidRPr="00550643">
              <w:rPr>
                <w:sz w:val="28"/>
                <w:szCs w:val="28"/>
              </w:rPr>
              <w:t>4.4.4. П</w:t>
            </w:r>
            <w:r w:rsidR="00AC3268" w:rsidRPr="00550643">
              <w:rPr>
                <w:sz w:val="28"/>
                <w:szCs w:val="28"/>
              </w:rPr>
              <w:t>оступления за период полномочия:</w:t>
            </w:r>
          </w:p>
          <w:p w:rsidR="00D27E39" w:rsidRPr="00550643" w:rsidRDefault="00D27E39" w:rsidP="00720ECC">
            <w:pPr>
              <w:contextualSpacing/>
              <w:rPr>
                <w:sz w:val="28"/>
                <w:szCs w:val="28"/>
              </w:rPr>
            </w:pPr>
          </w:p>
        </w:tc>
        <w:tc>
          <w:tcPr>
            <w:tcW w:w="3969" w:type="dxa"/>
            <w:shd w:val="clear" w:color="auto" w:fill="auto"/>
          </w:tcPr>
          <w:p w:rsidR="00D60E78" w:rsidRPr="00550643" w:rsidRDefault="00D60E78" w:rsidP="00720ECC">
            <w:pPr>
              <w:contextualSpacing/>
              <w:rPr>
                <w:i/>
                <w:sz w:val="28"/>
                <w:szCs w:val="28"/>
              </w:rPr>
            </w:pPr>
          </w:p>
        </w:tc>
      </w:tr>
      <w:tr w:rsidR="00D60E78" w:rsidRPr="00550643" w:rsidTr="00720ECC">
        <w:trPr>
          <w:trHeight w:val="20"/>
        </w:trPr>
        <w:tc>
          <w:tcPr>
            <w:tcW w:w="6345" w:type="dxa"/>
            <w:gridSpan w:val="2"/>
            <w:shd w:val="clear" w:color="auto" w:fill="auto"/>
          </w:tcPr>
          <w:p w:rsidR="00D60E78" w:rsidRPr="00550643" w:rsidRDefault="00D60E78" w:rsidP="00720ECC">
            <w:pPr>
              <w:contextualSpacing/>
              <w:rPr>
                <w:sz w:val="28"/>
                <w:szCs w:val="28"/>
              </w:rPr>
            </w:pPr>
            <w:r w:rsidRPr="00550643">
              <w:rPr>
                <w:sz w:val="28"/>
                <w:szCs w:val="28"/>
              </w:rPr>
              <w:t>4.5.Итого единовременные расходы:</w:t>
            </w:r>
          </w:p>
        </w:tc>
        <w:tc>
          <w:tcPr>
            <w:tcW w:w="3969" w:type="dxa"/>
            <w:shd w:val="clear" w:color="auto" w:fill="auto"/>
          </w:tcPr>
          <w:p w:rsidR="00D60E78" w:rsidRPr="00550643" w:rsidRDefault="00AD6EFA" w:rsidP="00720ECC">
            <w:pPr>
              <w:contextualSpacing/>
              <w:jc w:val="center"/>
              <w:rPr>
                <w:i/>
                <w:sz w:val="28"/>
                <w:szCs w:val="28"/>
              </w:rPr>
            </w:pPr>
            <w:r w:rsidRPr="00550643">
              <w:rPr>
                <w:i/>
                <w:sz w:val="28"/>
                <w:szCs w:val="28"/>
              </w:rPr>
              <w:t>Отсутствуют</w:t>
            </w:r>
          </w:p>
        </w:tc>
      </w:tr>
      <w:tr w:rsidR="00D60E78" w:rsidRPr="00550643" w:rsidTr="00720ECC">
        <w:trPr>
          <w:trHeight w:val="20"/>
        </w:trPr>
        <w:tc>
          <w:tcPr>
            <w:tcW w:w="6345" w:type="dxa"/>
            <w:gridSpan w:val="2"/>
            <w:shd w:val="clear" w:color="auto" w:fill="auto"/>
          </w:tcPr>
          <w:p w:rsidR="00D60E78" w:rsidRPr="00550643" w:rsidRDefault="00D60E78" w:rsidP="00720ECC">
            <w:pPr>
              <w:contextualSpacing/>
              <w:rPr>
                <w:sz w:val="28"/>
                <w:szCs w:val="28"/>
              </w:rPr>
            </w:pPr>
            <w:r w:rsidRPr="00550643">
              <w:rPr>
                <w:sz w:val="28"/>
                <w:szCs w:val="28"/>
              </w:rPr>
              <w:t>4.6.Итого периодические расходы:</w:t>
            </w:r>
          </w:p>
        </w:tc>
        <w:tc>
          <w:tcPr>
            <w:tcW w:w="3969" w:type="dxa"/>
            <w:shd w:val="clear" w:color="auto" w:fill="auto"/>
          </w:tcPr>
          <w:p w:rsidR="00D60E78" w:rsidRPr="00550643" w:rsidRDefault="00AD6EFA" w:rsidP="00720ECC">
            <w:pPr>
              <w:contextualSpacing/>
              <w:jc w:val="center"/>
              <w:rPr>
                <w:i/>
                <w:sz w:val="28"/>
                <w:szCs w:val="28"/>
              </w:rPr>
            </w:pPr>
            <w:r w:rsidRPr="00550643">
              <w:rPr>
                <w:i/>
                <w:sz w:val="28"/>
                <w:szCs w:val="28"/>
              </w:rPr>
              <w:t>Отсутствуют</w:t>
            </w:r>
          </w:p>
        </w:tc>
      </w:tr>
      <w:tr w:rsidR="00D60E78" w:rsidRPr="00550643" w:rsidTr="00720ECC">
        <w:trPr>
          <w:trHeight w:val="20"/>
        </w:trPr>
        <w:tc>
          <w:tcPr>
            <w:tcW w:w="6345" w:type="dxa"/>
            <w:gridSpan w:val="2"/>
            <w:shd w:val="clear" w:color="auto" w:fill="auto"/>
          </w:tcPr>
          <w:p w:rsidR="00D60E78" w:rsidRPr="00550643" w:rsidRDefault="00720ECC" w:rsidP="00720ECC">
            <w:pPr>
              <w:contextualSpacing/>
              <w:rPr>
                <w:sz w:val="28"/>
                <w:szCs w:val="28"/>
              </w:rPr>
            </w:pPr>
            <w:r w:rsidRPr="00550643">
              <w:rPr>
                <w:sz w:val="28"/>
                <w:szCs w:val="28"/>
              </w:rPr>
              <w:t>4.7.</w:t>
            </w:r>
            <w:r w:rsidR="00D60E78" w:rsidRPr="00550643">
              <w:rPr>
                <w:sz w:val="28"/>
                <w:szCs w:val="28"/>
              </w:rPr>
              <w:t>Итого поступления:</w:t>
            </w:r>
          </w:p>
        </w:tc>
        <w:tc>
          <w:tcPr>
            <w:tcW w:w="3969" w:type="dxa"/>
            <w:shd w:val="clear" w:color="auto" w:fill="auto"/>
          </w:tcPr>
          <w:p w:rsidR="00D60E78" w:rsidRPr="00550643" w:rsidRDefault="00AD6EFA" w:rsidP="00720ECC">
            <w:pPr>
              <w:contextualSpacing/>
              <w:jc w:val="center"/>
              <w:rPr>
                <w:i/>
                <w:sz w:val="28"/>
                <w:szCs w:val="28"/>
              </w:rPr>
            </w:pPr>
            <w:r w:rsidRPr="00550643">
              <w:rPr>
                <w:i/>
                <w:sz w:val="28"/>
                <w:szCs w:val="28"/>
              </w:rPr>
              <w:t>Отсутствуют</w:t>
            </w:r>
          </w:p>
        </w:tc>
      </w:tr>
      <w:tr w:rsidR="00D60E78" w:rsidRPr="00550643" w:rsidTr="00720ECC">
        <w:trPr>
          <w:trHeight w:val="20"/>
        </w:trPr>
        <w:tc>
          <w:tcPr>
            <w:tcW w:w="10314" w:type="dxa"/>
            <w:gridSpan w:val="3"/>
            <w:shd w:val="clear" w:color="auto" w:fill="auto"/>
          </w:tcPr>
          <w:p w:rsidR="00D60E78" w:rsidRPr="00550643" w:rsidRDefault="00720ECC" w:rsidP="00720ECC">
            <w:pPr>
              <w:contextualSpacing/>
              <w:jc w:val="both"/>
              <w:rPr>
                <w:sz w:val="28"/>
                <w:szCs w:val="28"/>
              </w:rPr>
            </w:pPr>
            <w:r w:rsidRPr="00550643">
              <w:rPr>
                <w:sz w:val="28"/>
                <w:szCs w:val="28"/>
              </w:rPr>
              <w:t>4.8.</w:t>
            </w:r>
            <w:r w:rsidR="00D60E78" w:rsidRPr="00550643">
              <w:rPr>
                <w:sz w:val="28"/>
                <w:szCs w:val="28"/>
              </w:rPr>
              <w:t>Иные сведения о расходах (поступлениях) местного бюджета:</w:t>
            </w:r>
          </w:p>
          <w:p w:rsidR="00D60E78" w:rsidRPr="00550643" w:rsidRDefault="0015320A" w:rsidP="00720ECC">
            <w:pPr>
              <w:contextualSpacing/>
              <w:jc w:val="center"/>
              <w:rPr>
                <w:i/>
                <w:sz w:val="28"/>
                <w:szCs w:val="28"/>
              </w:rPr>
            </w:pPr>
            <w:r w:rsidRPr="00550643">
              <w:rPr>
                <w:i/>
                <w:sz w:val="28"/>
                <w:szCs w:val="28"/>
              </w:rPr>
              <w:t>отсутствуют</w:t>
            </w:r>
          </w:p>
        </w:tc>
      </w:tr>
      <w:tr w:rsidR="00D60E78" w:rsidRPr="00550643" w:rsidTr="00720ECC">
        <w:trPr>
          <w:trHeight w:val="20"/>
        </w:trPr>
        <w:tc>
          <w:tcPr>
            <w:tcW w:w="10314" w:type="dxa"/>
            <w:gridSpan w:val="3"/>
            <w:shd w:val="clear" w:color="auto" w:fill="auto"/>
          </w:tcPr>
          <w:p w:rsidR="00D60E78" w:rsidRPr="00550643" w:rsidRDefault="00720ECC" w:rsidP="00720ECC">
            <w:pPr>
              <w:contextualSpacing/>
              <w:rPr>
                <w:sz w:val="28"/>
                <w:szCs w:val="28"/>
              </w:rPr>
            </w:pPr>
            <w:r w:rsidRPr="00550643">
              <w:rPr>
                <w:sz w:val="28"/>
                <w:szCs w:val="28"/>
              </w:rPr>
              <w:t>4.9.</w:t>
            </w:r>
            <w:r w:rsidR="00D60E78" w:rsidRPr="00550643">
              <w:rPr>
                <w:sz w:val="28"/>
                <w:szCs w:val="28"/>
              </w:rPr>
              <w:t>Источники данных:</w:t>
            </w:r>
          </w:p>
          <w:p w:rsidR="00D60E78" w:rsidRPr="00550643" w:rsidRDefault="00ED03F8" w:rsidP="00ED03F8">
            <w:pPr>
              <w:contextualSpacing/>
              <w:jc w:val="center"/>
              <w:rPr>
                <w:i/>
                <w:sz w:val="28"/>
                <w:szCs w:val="28"/>
              </w:rPr>
            </w:pPr>
            <w:r w:rsidRPr="00550643">
              <w:rPr>
                <w:i/>
                <w:sz w:val="28"/>
                <w:szCs w:val="28"/>
              </w:rPr>
              <w:t>Департамент городского хозяйства</w:t>
            </w:r>
            <w:r w:rsidR="004C1DA2" w:rsidRPr="00550643">
              <w:rPr>
                <w:i/>
                <w:sz w:val="28"/>
                <w:szCs w:val="28"/>
              </w:rPr>
              <w:t xml:space="preserve"> Администрации города Ханты-Мансийска</w:t>
            </w:r>
          </w:p>
        </w:tc>
      </w:tr>
    </w:tbl>
    <w:p w:rsidR="00720ECC" w:rsidRPr="00550643" w:rsidRDefault="00720ECC" w:rsidP="00D60E78">
      <w:pPr>
        <w:contextualSpacing/>
        <w:jc w:val="center"/>
        <w:rPr>
          <w:sz w:val="28"/>
          <w:szCs w:val="28"/>
        </w:rPr>
      </w:pPr>
    </w:p>
    <w:p w:rsidR="00D60E78" w:rsidRPr="00550643" w:rsidRDefault="00D60E78" w:rsidP="00720ECC">
      <w:pPr>
        <w:contextualSpacing/>
        <w:jc w:val="center"/>
        <w:rPr>
          <w:sz w:val="28"/>
          <w:szCs w:val="28"/>
        </w:rPr>
      </w:pPr>
      <w:r w:rsidRPr="00550643">
        <w:rPr>
          <w:sz w:val="28"/>
          <w:szCs w:val="28"/>
        </w:rPr>
        <w:t>5.Обязанности или ограничения для субъектов</w:t>
      </w:r>
    </w:p>
    <w:p w:rsidR="00D60E78" w:rsidRPr="00550643" w:rsidRDefault="00D60E78" w:rsidP="00720ECC">
      <w:pPr>
        <w:contextualSpacing/>
        <w:jc w:val="center"/>
        <w:rPr>
          <w:sz w:val="28"/>
          <w:szCs w:val="28"/>
        </w:rPr>
      </w:pPr>
      <w:r w:rsidRPr="00550643">
        <w:rPr>
          <w:sz w:val="28"/>
          <w:szCs w:val="28"/>
        </w:rPr>
        <w:t>предпринимательской и инвестиционной деятельности,</w:t>
      </w:r>
      <w:r w:rsidRPr="00550643">
        <w:rPr>
          <w:sz w:val="28"/>
          <w:szCs w:val="28"/>
        </w:rPr>
        <w:br/>
        <w:t>а также порядок организации их исполнения</w:t>
      </w:r>
    </w:p>
    <w:p w:rsidR="00D60E78" w:rsidRPr="00550643" w:rsidRDefault="00D60E78" w:rsidP="00D60E78">
      <w:pPr>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441"/>
        <w:gridCol w:w="4036"/>
      </w:tblGrid>
      <w:tr w:rsidR="00D60E78" w:rsidRPr="00550643" w:rsidTr="00366249">
        <w:tc>
          <w:tcPr>
            <w:tcW w:w="2944" w:type="dxa"/>
            <w:shd w:val="clear" w:color="auto" w:fill="auto"/>
          </w:tcPr>
          <w:p w:rsidR="00D60E78" w:rsidRPr="00550643" w:rsidRDefault="00720ECC" w:rsidP="00720ECC">
            <w:pPr>
              <w:contextualSpacing/>
              <w:jc w:val="both"/>
              <w:rPr>
                <w:sz w:val="28"/>
                <w:szCs w:val="28"/>
                <w:vertAlign w:val="superscript"/>
              </w:rPr>
            </w:pPr>
            <w:r w:rsidRPr="00550643">
              <w:rPr>
                <w:sz w:val="28"/>
                <w:szCs w:val="28"/>
              </w:rPr>
              <w:t>5.1.</w:t>
            </w:r>
            <w:r w:rsidR="00D60E78" w:rsidRPr="00550643">
              <w:rPr>
                <w:sz w:val="28"/>
                <w:szCs w:val="28"/>
              </w:rPr>
              <w:t xml:space="preserve">Группа участников </w:t>
            </w:r>
            <w:r w:rsidR="00D60E78" w:rsidRPr="00550643">
              <w:rPr>
                <w:sz w:val="28"/>
                <w:szCs w:val="28"/>
              </w:rPr>
              <w:br/>
              <w:t>отношений</w:t>
            </w:r>
            <w:proofErr w:type="gramStart"/>
            <w:r w:rsidR="00D60E78" w:rsidRPr="00550643">
              <w:rPr>
                <w:sz w:val="28"/>
                <w:szCs w:val="28"/>
                <w:vertAlign w:val="superscript"/>
              </w:rPr>
              <w:t>1</w:t>
            </w:r>
            <w:proofErr w:type="gramEnd"/>
          </w:p>
        </w:tc>
        <w:tc>
          <w:tcPr>
            <w:tcW w:w="3441" w:type="dxa"/>
            <w:shd w:val="clear" w:color="auto" w:fill="auto"/>
          </w:tcPr>
          <w:p w:rsidR="00D60E78" w:rsidRPr="00550643" w:rsidRDefault="00D60E78" w:rsidP="00720ECC">
            <w:pPr>
              <w:contextualSpacing/>
              <w:jc w:val="both"/>
              <w:rPr>
                <w:sz w:val="28"/>
                <w:szCs w:val="28"/>
              </w:rPr>
            </w:pPr>
            <w:r w:rsidRPr="00550643">
              <w:rPr>
                <w:sz w:val="28"/>
                <w:szCs w:val="28"/>
              </w:rPr>
              <w:t>5.2.Описание содержания существующих обязанностей и ограничений</w:t>
            </w:r>
          </w:p>
        </w:tc>
        <w:tc>
          <w:tcPr>
            <w:tcW w:w="4036" w:type="dxa"/>
            <w:shd w:val="clear" w:color="auto" w:fill="auto"/>
          </w:tcPr>
          <w:p w:rsidR="00D60E78" w:rsidRPr="00550643" w:rsidRDefault="00D60E78" w:rsidP="00720ECC">
            <w:pPr>
              <w:contextualSpacing/>
              <w:jc w:val="both"/>
              <w:rPr>
                <w:sz w:val="28"/>
                <w:szCs w:val="28"/>
              </w:rPr>
            </w:pPr>
            <w:r w:rsidRPr="00550643">
              <w:rPr>
                <w:sz w:val="28"/>
                <w:szCs w:val="28"/>
              </w:rPr>
              <w:t>5.3.Порядок организации исполнения обязанностей и ограничений</w:t>
            </w:r>
          </w:p>
        </w:tc>
      </w:tr>
      <w:tr w:rsidR="00366249" w:rsidRPr="00550643" w:rsidTr="00366249">
        <w:trPr>
          <w:trHeight w:val="2684"/>
        </w:trPr>
        <w:tc>
          <w:tcPr>
            <w:tcW w:w="2944" w:type="dxa"/>
            <w:shd w:val="clear" w:color="auto" w:fill="auto"/>
          </w:tcPr>
          <w:p w:rsidR="00366249" w:rsidRPr="00550643" w:rsidRDefault="00ED03F8" w:rsidP="00ED03F8">
            <w:pPr>
              <w:contextualSpacing/>
              <w:rPr>
                <w:sz w:val="28"/>
                <w:szCs w:val="28"/>
              </w:rPr>
            </w:pPr>
            <w:r w:rsidRPr="00550643">
              <w:rPr>
                <w:sz w:val="28"/>
                <w:szCs w:val="28"/>
              </w:rPr>
              <w:t>субъекты малого и среднего предпринимательства</w:t>
            </w:r>
          </w:p>
        </w:tc>
        <w:tc>
          <w:tcPr>
            <w:tcW w:w="3441" w:type="dxa"/>
            <w:shd w:val="clear" w:color="auto" w:fill="auto"/>
          </w:tcPr>
          <w:p w:rsidR="00366249" w:rsidRPr="00550643" w:rsidRDefault="00ED03F8" w:rsidP="00912784">
            <w:pPr>
              <w:contextualSpacing/>
              <w:jc w:val="center"/>
              <w:rPr>
                <w:i/>
                <w:sz w:val="28"/>
                <w:szCs w:val="28"/>
              </w:rPr>
            </w:pPr>
            <w:r w:rsidRPr="00550643">
              <w:rPr>
                <w:i/>
                <w:sz w:val="28"/>
                <w:szCs w:val="28"/>
              </w:rPr>
              <w:t>соблюдение порядка закупок у субъектов малого и среднего предпринимательства</w:t>
            </w:r>
          </w:p>
        </w:tc>
        <w:tc>
          <w:tcPr>
            <w:tcW w:w="4036" w:type="dxa"/>
            <w:shd w:val="clear" w:color="auto" w:fill="auto"/>
          </w:tcPr>
          <w:p w:rsidR="00366249" w:rsidRPr="00550643" w:rsidRDefault="00366249" w:rsidP="00912784">
            <w:pPr>
              <w:contextualSpacing/>
              <w:jc w:val="center"/>
              <w:rPr>
                <w:i/>
                <w:sz w:val="28"/>
                <w:szCs w:val="28"/>
              </w:rPr>
            </w:pPr>
          </w:p>
        </w:tc>
      </w:tr>
    </w:tbl>
    <w:p w:rsidR="00AD6EFA" w:rsidRPr="00550643" w:rsidRDefault="00AD6EFA" w:rsidP="00366249">
      <w:pPr>
        <w:contextualSpacing/>
        <w:jc w:val="center"/>
        <w:rPr>
          <w:sz w:val="28"/>
          <w:szCs w:val="28"/>
        </w:rPr>
      </w:pPr>
    </w:p>
    <w:p w:rsidR="00D60E78" w:rsidRPr="00550643" w:rsidRDefault="00720ECC" w:rsidP="00366249">
      <w:pPr>
        <w:contextualSpacing/>
        <w:jc w:val="center"/>
        <w:rPr>
          <w:sz w:val="28"/>
          <w:szCs w:val="28"/>
        </w:rPr>
      </w:pPr>
      <w:r w:rsidRPr="00550643">
        <w:rPr>
          <w:sz w:val="28"/>
          <w:szCs w:val="28"/>
        </w:rPr>
        <w:t>6.</w:t>
      </w:r>
      <w:r w:rsidR="00D60E78" w:rsidRPr="00550643">
        <w:rPr>
          <w:sz w:val="28"/>
          <w:szCs w:val="28"/>
        </w:rPr>
        <w:t xml:space="preserve">Оценка расходов субъектов </w:t>
      </w:r>
      <w:proofErr w:type="gramStart"/>
      <w:r w:rsidR="00D60E78" w:rsidRPr="00550643">
        <w:rPr>
          <w:sz w:val="28"/>
          <w:szCs w:val="28"/>
        </w:rPr>
        <w:t>предпринимательской</w:t>
      </w:r>
      <w:proofErr w:type="gramEnd"/>
    </w:p>
    <w:p w:rsidR="00D60E78" w:rsidRPr="00550643" w:rsidRDefault="00D60E78" w:rsidP="00720ECC">
      <w:pPr>
        <w:contextualSpacing/>
        <w:jc w:val="center"/>
        <w:rPr>
          <w:sz w:val="28"/>
          <w:szCs w:val="28"/>
        </w:rPr>
      </w:pPr>
      <w:r w:rsidRPr="00550643">
        <w:rPr>
          <w:sz w:val="28"/>
          <w:szCs w:val="28"/>
        </w:rPr>
        <w:t>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D60E78" w:rsidRPr="00550643" w:rsidRDefault="00D60E78" w:rsidP="00D60E78">
      <w:pPr>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681"/>
        <w:gridCol w:w="3796"/>
      </w:tblGrid>
      <w:tr w:rsidR="00D60E78" w:rsidRPr="00550643" w:rsidTr="00366249">
        <w:tc>
          <w:tcPr>
            <w:tcW w:w="2944" w:type="dxa"/>
            <w:shd w:val="clear" w:color="auto" w:fill="auto"/>
          </w:tcPr>
          <w:p w:rsidR="00D60E78" w:rsidRPr="00550643" w:rsidRDefault="00D60E78" w:rsidP="00720ECC">
            <w:pPr>
              <w:contextualSpacing/>
              <w:jc w:val="both"/>
              <w:rPr>
                <w:sz w:val="28"/>
                <w:szCs w:val="28"/>
                <w:vertAlign w:val="superscript"/>
              </w:rPr>
            </w:pPr>
            <w:r w:rsidRPr="00550643">
              <w:rPr>
                <w:sz w:val="28"/>
                <w:szCs w:val="28"/>
              </w:rPr>
              <w:t xml:space="preserve">6.1.Группа участников </w:t>
            </w:r>
            <w:r w:rsidRPr="00550643">
              <w:rPr>
                <w:sz w:val="28"/>
                <w:szCs w:val="28"/>
              </w:rPr>
              <w:br/>
              <w:t xml:space="preserve">отношений </w:t>
            </w:r>
            <w:r w:rsidRPr="00550643">
              <w:rPr>
                <w:sz w:val="28"/>
                <w:szCs w:val="28"/>
                <w:vertAlign w:val="superscript"/>
              </w:rPr>
              <w:t>2</w:t>
            </w:r>
          </w:p>
        </w:tc>
        <w:tc>
          <w:tcPr>
            <w:tcW w:w="3681" w:type="dxa"/>
            <w:shd w:val="clear" w:color="auto" w:fill="auto"/>
          </w:tcPr>
          <w:p w:rsidR="00D60E78" w:rsidRPr="00550643" w:rsidRDefault="00D60E78" w:rsidP="00720ECC">
            <w:pPr>
              <w:contextualSpacing/>
              <w:jc w:val="both"/>
              <w:rPr>
                <w:sz w:val="28"/>
                <w:szCs w:val="28"/>
                <w:vertAlign w:val="superscript"/>
              </w:rPr>
            </w:pPr>
            <w:r w:rsidRPr="00550643">
              <w:rPr>
                <w:sz w:val="28"/>
                <w:szCs w:val="28"/>
              </w:rPr>
              <w:t>6.2.Описание содержания существующих обязанностей и ограничений</w:t>
            </w:r>
          </w:p>
        </w:tc>
        <w:tc>
          <w:tcPr>
            <w:tcW w:w="3796" w:type="dxa"/>
            <w:shd w:val="clear" w:color="auto" w:fill="auto"/>
          </w:tcPr>
          <w:p w:rsidR="00D60E78" w:rsidRPr="00550643" w:rsidRDefault="00D60E78" w:rsidP="00720ECC">
            <w:pPr>
              <w:contextualSpacing/>
              <w:jc w:val="both"/>
              <w:rPr>
                <w:sz w:val="28"/>
                <w:szCs w:val="28"/>
              </w:rPr>
            </w:pPr>
            <w:r w:rsidRPr="00550643">
              <w:rPr>
                <w:sz w:val="28"/>
                <w:szCs w:val="28"/>
              </w:rPr>
              <w:t>6.3.Описание и оценка видов расходов</w:t>
            </w:r>
          </w:p>
        </w:tc>
      </w:tr>
      <w:tr w:rsidR="00366249" w:rsidRPr="00550643" w:rsidTr="00DA7132">
        <w:trPr>
          <w:trHeight w:val="3220"/>
        </w:trPr>
        <w:tc>
          <w:tcPr>
            <w:tcW w:w="2944" w:type="dxa"/>
            <w:shd w:val="clear" w:color="auto" w:fill="auto"/>
          </w:tcPr>
          <w:p w:rsidR="00366249" w:rsidRPr="00550643" w:rsidRDefault="00ED03F8" w:rsidP="00C41554">
            <w:pPr>
              <w:contextualSpacing/>
              <w:rPr>
                <w:sz w:val="28"/>
                <w:szCs w:val="28"/>
              </w:rPr>
            </w:pPr>
            <w:r w:rsidRPr="00550643">
              <w:rPr>
                <w:sz w:val="28"/>
                <w:szCs w:val="28"/>
              </w:rPr>
              <w:t>субъекты малого и среднего предпринимательства</w:t>
            </w:r>
          </w:p>
        </w:tc>
        <w:tc>
          <w:tcPr>
            <w:tcW w:w="3681" w:type="dxa"/>
            <w:shd w:val="clear" w:color="auto" w:fill="auto"/>
          </w:tcPr>
          <w:p w:rsidR="003976BC" w:rsidRPr="00550643" w:rsidRDefault="00ED03F8" w:rsidP="003976BC">
            <w:pPr>
              <w:contextualSpacing/>
              <w:jc w:val="center"/>
              <w:rPr>
                <w:sz w:val="28"/>
                <w:szCs w:val="28"/>
              </w:rPr>
            </w:pPr>
            <w:r w:rsidRPr="00550643">
              <w:rPr>
                <w:sz w:val="28"/>
                <w:szCs w:val="28"/>
              </w:rPr>
              <w:t>соблюдение порядка закупок у субъектов малого и среднего предпринимательства</w:t>
            </w:r>
          </w:p>
        </w:tc>
        <w:tc>
          <w:tcPr>
            <w:tcW w:w="3796" w:type="dxa"/>
            <w:shd w:val="clear" w:color="auto" w:fill="auto"/>
          </w:tcPr>
          <w:p w:rsidR="003821BE" w:rsidRPr="00550643" w:rsidRDefault="00ED03F8" w:rsidP="00912784">
            <w:pPr>
              <w:contextualSpacing/>
              <w:rPr>
                <w:i/>
                <w:sz w:val="28"/>
                <w:szCs w:val="28"/>
              </w:rPr>
            </w:pPr>
            <w:proofErr w:type="spellStart"/>
            <w:r w:rsidRPr="00550643">
              <w:rPr>
                <w:i/>
                <w:sz w:val="28"/>
                <w:szCs w:val="28"/>
              </w:rPr>
              <w:t>отсутсвуют</w:t>
            </w:r>
            <w:proofErr w:type="spellEnd"/>
          </w:p>
        </w:tc>
      </w:tr>
      <w:tr w:rsidR="00D60E78" w:rsidRPr="00550643" w:rsidTr="00366249">
        <w:tc>
          <w:tcPr>
            <w:tcW w:w="10421" w:type="dxa"/>
            <w:gridSpan w:val="3"/>
            <w:shd w:val="clear" w:color="auto" w:fill="auto"/>
          </w:tcPr>
          <w:p w:rsidR="00D60E78" w:rsidRPr="00550643" w:rsidRDefault="00D27E39" w:rsidP="00C41554">
            <w:pPr>
              <w:contextualSpacing/>
              <w:rPr>
                <w:sz w:val="28"/>
                <w:szCs w:val="28"/>
              </w:rPr>
            </w:pPr>
            <w:r w:rsidRPr="00550643">
              <w:rPr>
                <w:sz w:val="28"/>
                <w:szCs w:val="28"/>
              </w:rPr>
              <w:t>6.4.</w:t>
            </w:r>
            <w:r w:rsidR="00D60E78" w:rsidRPr="00550643">
              <w:rPr>
                <w:sz w:val="28"/>
                <w:szCs w:val="28"/>
              </w:rPr>
              <w:t>Источники данных:</w:t>
            </w:r>
          </w:p>
          <w:p w:rsidR="00D60E78" w:rsidRPr="00550643" w:rsidRDefault="00366249" w:rsidP="00C41554">
            <w:pPr>
              <w:contextualSpacing/>
              <w:jc w:val="center"/>
              <w:rPr>
                <w:i/>
                <w:sz w:val="28"/>
                <w:szCs w:val="28"/>
              </w:rPr>
            </w:pPr>
            <w:r w:rsidRPr="00550643">
              <w:rPr>
                <w:i/>
                <w:sz w:val="28"/>
                <w:szCs w:val="28"/>
              </w:rPr>
              <w:t>Отсутствуют</w:t>
            </w:r>
          </w:p>
        </w:tc>
      </w:tr>
    </w:tbl>
    <w:p w:rsidR="00D60E78" w:rsidRPr="00550643" w:rsidRDefault="00D60E78" w:rsidP="00D60E78">
      <w:pPr>
        <w:contextualSpacing/>
        <w:jc w:val="center"/>
        <w:rPr>
          <w:sz w:val="28"/>
          <w:szCs w:val="28"/>
        </w:rPr>
      </w:pPr>
    </w:p>
    <w:p w:rsidR="00D60E78" w:rsidRPr="00550643" w:rsidRDefault="00720ECC" w:rsidP="00720ECC">
      <w:pPr>
        <w:contextualSpacing/>
        <w:jc w:val="center"/>
        <w:rPr>
          <w:sz w:val="28"/>
          <w:szCs w:val="28"/>
        </w:rPr>
      </w:pPr>
      <w:r w:rsidRPr="00550643">
        <w:rPr>
          <w:sz w:val="28"/>
          <w:szCs w:val="28"/>
        </w:rPr>
        <w:t>7.</w:t>
      </w:r>
      <w:r w:rsidR="00D60E78" w:rsidRPr="00550643">
        <w:rPr>
          <w:sz w:val="28"/>
          <w:szCs w:val="28"/>
        </w:rPr>
        <w:t xml:space="preserve">Иные сведения, которые, по мнению органа, осуществляющего </w:t>
      </w:r>
      <w:r w:rsidR="00A56849" w:rsidRPr="00550643">
        <w:rPr>
          <w:sz w:val="28"/>
          <w:szCs w:val="28"/>
        </w:rPr>
        <w:t xml:space="preserve">оценку фактического воздействия </w:t>
      </w:r>
      <w:r w:rsidR="00D60E78" w:rsidRPr="00550643">
        <w:rPr>
          <w:sz w:val="28"/>
          <w:szCs w:val="28"/>
        </w:rPr>
        <w:t>муниципального нормативного правового акта, позволяют оценить эффективность действующего регулирования</w:t>
      </w:r>
    </w:p>
    <w:p w:rsidR="00D60E78" w:rsidRPr="00550643" w:rsidRDefault="00D60E78" w:rsidP="00D60E78">
      <w:pPr>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D60E78" w:rsidRPr="00550643" w:rsidTr="00720ECC">
        <w:tc>
          <w:tcPr>
            <w:tcW w:w="10314" w:type="dxa"/>
            <w:shd w:val="clear" w:color="auto" w:fill="auto"/>
          </w:tcPr>
          <w:p w:rsidR="00D60E78" w:rsidRPr="00550643" w:rsidRDefault="00720ECC" w:rsidP="00C41554">
            <w:pPr>
              <w:contextualSpacing/>
              <w:jc w:val="both"/>
              <w:rPr>
                <w:sz w:val="28"/>
                <w:szCs w:val="28"/>
              </w:rPr>
            </w:pPr>
            <w:r w:rsidRPr="00550643">
              <w:rPr>
                <w:sz w:val="28"/>
                <w:szCs w:val="28"/>
              </w:rPr>
              <w:t>7.1.</w:t>
            </w:r>
            <w:r w:rsidR="00D60E78" w:rsidRPr="00550643">
              <w:rPr>
                <w:sz w:val="28"/>
                <w:szCs w:val="28"/>
              </w:rPr>
              <w:t xml:space="preserve">Иные необходимые, по мнению органа, осуществляющего </w:t>
            </w:r>
            <w:r w:rsidR="00A56849" w:rsidRPr="00550643">
              <w:rPr>
                <w:sz w:val="28"/>
                <w:szCs w:val="28"/>
              </w:rPr>
              <w:t xml:space="preserve">оценку фактического воздействия </w:t>
            </w:r>
            <w:r w:rsidR="00D60E78" w:rsidRPr="00550643">
              <w:rPr>
                <w:sz w:val="28"/>
                <w:szCs w:val="28"/>
              </w:rPr>
              <w:t xml:space="preserve"> муниципальн</w:t>
            </w:r>
            <w:r w:rsidR="00A56849" w:rsidRPr="00550643">
              <w:rPr>
                <w:sz w:val="28"/>
                <w:szCs w:val="28"/>
              </w:rPr>
              <w:t>ого</w:t>
            </w:r>
            <w:r w:rsidR="00D60E78" w:rsidRPr="00550643">
              <w:rPr>
                <w:sz w:val="28"/>
                <w:szCs w:val="28"/>
              </w:rPr>
              <w:t xml:space="preserve"> нормативн</w:t>
            </w:r>
            <w:r w:rsidR="00A56849" w:rsidRPr="00550643">
              <w:rPr>
                <w:sz w:val="28"/>
                <w:szCs w:val="28"/>
              </w:rPr>
              <w:t>ого</w:t>
            </w:r>
            <w:r w:rsidR="00D60E78" w:rsidRPr="00550643">
              <w:rPr>
                <w:sz w:val="28"/>
                <w:szCs w:val="28"/>
              </w:rPr>
              <w:t xml:space="preserve"> правов</w:t>
            </w:r>
            <w:r w:rsidR="00A56849" w:rsidRPr="00550643">
              <w:rPr>
                <w:sz w:val="28"/>
                <w:szCs w:val="28"/>
              </w:rPr>
              <w:t>ого</w:t>
            </w:r>
            <w:r w:rsidR="00D60E78" w:rsidRPr="00550643">
              <w:rPr>
                <w:sz w:val="28"/>
                <w:szCs w:val="28"/>
              </w:rPr>
              <w:t xml:space="preserve"> акт</w:t>
            </w:r>
            <w:r w:rsidR="00A56849" w:rsidRPr="00550643">
              <w:rPr>
                <w:sz w:val="28"/>
                <w:szCs w:val="28"/>
              </w:rPr>
              <w:t>а</w:t>
            </w:r>
            <w:r w:rsidR="00D60E78" w:rsidRPr="00550643">
              <w:rPr>
                <w:sz w:val="28"/>
                <w:szCs w:val="28"/>
              </w:rPr>
              <w:t>, сведения:</w:t>
            </w:r>
          </w:p>
          <w:p w:rsidR="00A56849" w:rsidRPr="00550643" w:rsidRDefault="00A56849" w:rsidP="00A56849">
            <w:pPr>
              <w:contextualSpacing/>
              <w:jc w:val="center"/>
              <w:rPr>
                <w:i/>
                <w:sz w:val="28"/>
                <w:szCs w:val="28"/>
              </w:rPr>
            </w:pPr>
            <w:r w:rsidRPr="00550643">
              <w:rPr>
                <w:i/>
                <w:sz w:val="28"/>
                <w:szCs w:val="28"/>
              </w:rPr>
              <w:t xml:space="preserve">1) уменьшение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с 6,4 </w:t>
            </w:r>
            <w:r w:rsidRPr="00550643">
              <w:rPr>
                <w:i/>
                <w:sz w:val="28"/>
                <w:szCs w:val="28"/>
              </w:rPr>
              <w:lastRenderedPageBreak/>
              <w:t>до 2,8%;</w:t>
            </w:r>
          </w:p>
          <w:p w:rsidR="00A56849" w:rsidRPr="00550643" w:rsidRDefault="00A56849" w:rsidP="00A56849">
            <w:pPr>
              <w:contextualSpacing/>
              <w:jc w:val="center"/>
              <w:rPr>
                <w:i/>
                <w:sz w:val="28"/>
                <w:szCs w:val="28"/>
              </w:rPr>
            </w:pPr>
            <w:r w:rsidRPr="00550643">
              <w:rPr>
                <w:i/>
                <w:sz w:val="28"/>
                <w:szCs w:val="28"/>
              </w:rPr>
              <w:t>2) увеличение доли площади жилищного фонда, обеспеченного всеми видами благоустройства, в общей площади жилищного фонда города, с 74,5 до 76,9%;</w:t>
            </w:r>
          </w:p>
          <w:p w:rsidR="00A56849" w:rsidRPr="00550643" w:rsidRDefault="00A56849" w:rsidP="00A56849">
            <w:pPr>
              <w:contextualSpacing/>
              <w:jc w:val="center"/>
              <w:rPr>
                <w:i/>
                <w:sz w:val="28"/>
                <w:szCs w:val="28"/>
              </w:rPr>
            </w:pPr>
            <w:r w:rsidRPr="00550643">
              <w:rPr>
                <w:i/>
                <w:sz w:val="28"/>
                <w:szCs w:val="28"/>
              </w:rPr>
              <w:t>3) сохранение количества отремонтированных жилых помещений муниципального жилого фонда в размере 100 единиц в год;</w:t>
            </w:r>
          </w:p>
          <w:p w:rsidR="00A56849" w:rsidRPr="00550643" w:rsidRDefault="00A56849" w:rsidP="00A56849">
            <w:pPr>
              <w:contextualSpacing/>
              <w:jc w:val="center"/>
              <w:rPr>
                <w:i/>
                <w:sz w:val="28"/>
                <w:szCs w:val="28"/>
              </w:rPr>
            </w:pPr>
            <w:r w:rsidRPr="00550643">
              <w:rPr>
                <w:i/>
                <w:sz w:val="28"/>
                <w:szCs w:val="28"/>
              </w:rPr>
              <w:t>4) уменьшение количества многоквартирных домов, подлежащих комплексному (выборочному) капитальному ремонту, с 250 до 214 единиц;</w:t>
            </w:r>
          </w:p>
          <w:p w:rsidR="00A56849" w:rsidRPr="00550643" w:rsidRDefault="00A56849" w:rsidP="00A56849">
            <w:pPr>
              <w:contextualSpacing/>
              <w:jc w:val="center"/>
              <w:rPr>
                <w:i/>
                <w:sz w:val="28"/>
                <w:szCs w:val="28"/>
              </w:rPr>
            </w:pPr>
            <w:r w:rsidRPr="00550643">
              <w:rPr>
                <w:i/>
                <w:sz w:val="28"/>
                <w:szCs w:val="28"/>
              </w:rPr>
              <w:t>5) уменьшение доли аварийного муниципального жилищного фонда, в общем объеме муниципального жилищного фонда города, с 4,3 до 3,1%;</w:t>
            </w:r>
          </w:p>
          <w:p w:rsidR="00A56849" w:rsidRPr="00550643" w:rsidRDefault="00A56849" w:rsidP="00A56849">
            <w:pPr>
              <w:contextualSpacing/>
              <w:jc w:val="center"/>
              <w:rPr>
                <w:i/>
                <w:sz w:val="28"/>
                <w:szCs w:val="28"/>
              </w:rPr>
            </w:pPr>
            <w:r w:rsidRPr="00550643">
              <w:rPr>
                <w:i/>
                <w:sz w:val="28"/>
                <w:szCs w:val="28"/>
              </w:rPr>
              <w:t>6) снижение потребности населения в баллонном газе с 200 до 164 тыс. кг;</w:t>
            </w:r>
          </w:p>
          <w:p w:rsidR="00A56849" w:rsidRPr="00550643" w:rsidRDefault="00A56849" w:rsidP="00A56849">
            <w:pPr>
              <w:contextualSpacing/>
              <w:jc w:val="center"/>
              <w:rPr>
                <w:i/>
                <w:sz w:val="28"/>
                <w:szCs w:val="28"/>
              </w:rPr>
            </w:pPr>
            <w:r w:rsidRPr="00550643">
              <w:rPr>
                <w:i/>
                <w:sz w:val="28"/>
                <w:szCs w:val="28"/>
              </w:rPr>
              <w:t>7) увеличение протяженности линий освещения на автомобильных дорогах и искусственных сооружениях с 378 до 420 км;</w:t>
            </w:r>
          </w:p>
          <w:p w:rsidR="00A56849" w:rsidRPr="00550643" w:rsidRDefault="00A56849" w:rsidP="00A56849">
            <w:pPr>
              <w:contextualSpacing/>
              <w:jc w:val="center"/>
              <w:rPr>
                <w:i/>
                <w:sz w:val="28"/>
                <w:szCs w:val="28"/>
              </w:rPr>
            </w:pPr>
            <w:r w:rsidRPr="00550643">
              <w:rPr>
                <w:i/>
                <w:sz w:val="28"/>
                <w:szCs w:val="28"/>
              </w:rPr>
              <w:t>8) увеличение протяженности отремонтированных автомобильных дорог общего пользования местного значения с 3,8 км до 78,2 км;</w:t>
            </w:r>
          </w:p>
          <w:p w:rsidR="00A56849" w:rsidRPr="00550643" w:rsidRDefault="00A56849" w:rsidP="00A56849">
            <w:pPr>
              <w:contextualSpacing/>
              <w:jc w:val="center"/>
              <w:rPr>
                <w:i/>
                <w:sz w:val="28"/>
                <w:szCs w:val="28"/>
              </w:rPr>
            </w:pPr>
            <w:r w:rsidRPr="00550643">
              <w:rPr>
                <w:i/>
                <w:sz w:val="28"/>
                <w:szCs w:val="28"/>
              </w:rPr>
              <w:t>9) увеличение протяженности дорог местного значения 1 категории (магистральные дороги регулируемого движения) с 40,58 до 41,18 км;</w:t>
            </w:r>
          </w:p>
          <w:p w:rsidR="00A56849" w:rsidRPr="00550643" w:rsidRDefault="00A56849" w:rsidP="00A56849">
            <w:pPr>
              <w:contextualSpacing/>
              <w:jc w:val="center"/>
              <w:rPr>
                <w:i/>
                <w:sz w:val="28"/>
                <w:szCs w:val="28"/>
              </w:rPr>
            </w:pPr>
            <w:r w:rsidRPr="00550643">
              <w:rPr>
                <w:i/>
                <w:sz w:val="28"/>
                <w:szCs w:val="28"/>
              </w:rPr>
              <w:t>10) увеличение протяженности дорог местного значения 2 категории (магистральные улицы общегородского значения регулируемого движения) с 38,89 до 40,00 км;</w:t>
            </w:r>
          </w:p>
          <w:p w:rsidR="00A56849" w:rsidRPr="00550643" w:rsidRDefault="00A56849" w:rsidP="00A56849">
            <w:pPr>
              <w:contextualSpacing/>
              <w:jc w:val="center"/>
              <w:rPr>
                <w:i/>
                <w:sz w:val="28"/>
                <w:szCs w:val="28"/>
              </w:rPr>
            </w:pPr>
            <w:r w:rsidRPr="00550643">
              <w:rPr>
                <w:i/>
                <w:sz w:val="28"/>
                <w:szCs w:val="28"/>
              </w:rPr>
              <w:t>11) увеличение доли восстановленных газонов в соответствии с критериями оценки качества содержания зеленого хозяйства с 15 до 65%;</w:t>
            </w:r>
          </w:p>
          <w:p w:rsidR="00A56849" w:rsidRPr="00550643" w:rsidRDefault="00A56849" w:rsidP="00A56849">
            <w:pPr>
              <w:contextualSpacing/>
              <w:jc w:val="center"/>
              <w:rPr>
                <w:i/>
                <w:sz w:val="28"/>
                <w:szCs w:val="28"/>
              </w:rPr>
            </w:pPr>
            <w:r w:rsidRPr="00550643">
              <w:rPr>
                <w:i/>
                <w:sz w:val="28"/>
                <w:szCs w:val="28"/>
              </w:rPr>
              <w:t>12) увеличение количества благоустроенных дворовых территорий с 967 до 1032 единиц;</w:t>
            </w:r>
          </w:p>
          <w:p w:rsidR="00A56849" w:rsidRPr="00550643" w:rsidRDefault="00A56849" w:rsidP="00A56849">
            <w:pPr>
              <w:contextualSpacing/>
              <w:jc w:val="center"/>
              <w:rPr>
                <w:i/>
                <w:sz w:val="28"/>
                <w:szCs w:val="28"/>
              </w:rPr>
            </w:pPr>
            <w:r w:rsidRPr="00550643">
              <w:rPr>
                <w:i/>
                <w:sz w:val="28"/>
                <w:szCs w:val="28"/>
              </w:rPr>
              <w:t>13) увеличение доли благоустроенных дворовых территорий, от общего количества дворовых территорий, с 93,6 до 100%;</w:t>
            </w:r>
          </w:p>
          <w:p w:rsidR="00A56849" w:rsidRPr="00550643" w:rsidRDefault="00A56849" w:rsidP="00A56849">
            <w:pPr>
              <w:contextualSpacing/>
              <w:jc w:val="center"/>
              <w:rPr>
                <w:i/>
                <w:sz w:val="28"/>
                <w:szCs w:val="28"/>
              </w:rPr>
            </w:pPr>
            <w:r w:rsidRPr="00550643">
              <w:rPr>
                <w:i/>
                <w:sz w:val="28"/>
                <w:szCs w:val="28"/>
              </w:rPr>
              <w:t>14) увеличение количества благоустроенных общественных пространств с 44 до 66 единиц;</w:t>
            </w:r>
          </w:p>
          <w:p w:rsidR="00A56849" w:rsidRPr="00550643" w:rsidRDefault="00A56849" w:rsidP="00A56849">
            <w:pPr>
              <w:contextualSpacing/>
              <w:jc w:val="center"/>
              <w:rPr>
                <w:i/>
                <w:sz w:val="28"/>
                <w:szCs w:val="28"/>
              </w:rPr>
            </w:pPr>
            <w:r w:rsidRPr="00550643">
              <w:rPr>
                <w:i/>
                <w:sz w:val="28"/>
                <w:szCs w:val="28"/>
              </w:rPr>
              <w:t>15) увеличение доли площади благоустроенных общественных пространств к общей площади общественных пространств с 80,8 до 100%;</w:t>
            </w:r>
          </w:p>
          <w:p w:rsidR="00A56849" w:rsidRPr="00550643" w:rsidRDefault="00A56849" w:rsidP="00A56849">
            <w:pPr>
              <w:contextualSpacing/>
              <w:jc w:val="center"/>
              <w:rPr>
                <w:i/>
                <w:sz w:val="28"/>
                <w:szCs w:val="28"/>
              </w:rPr>
            </w:pPr>
            <w:r w:rsidRPr="00550643">
              <w:rPr>
                <w:i/>
                <w:sz w:val="28"/>
                <w:szCs w:val="28"/>
              </w:rPr>
              <w:t>16) увеличение доли финансового участия заинтересованных лиц в выполнении работ по благоустройству дворовых территорий по минимальному перечню работ с 0 до 10%;</w:t>
            </w:r>
          </w:p>
          <w:p w:rsidR="00A56849" w:rsidRPr="00550643" w:rsidRDefault="00A56849" w:rsidP="00A56849">
            <w:pPr>
              <w:contextualSpacing/>
              <w:jc w:val="center"/>
              <w:rPr>
                <w:i/>
                <w:sz w:val="28"/>
                <w:szCs w:val="28"/>
              </w:rPr>
            </w:pPr>
            <w:r w:rsidRPr="00550643">
              <w:rPr>
                <w:i/>
                <w:sz w:val="28"/>
                <w:szCs w:val="28"/>
              </w:rPr>
              <w:t>17) увеличение доли финансового участия заинтересованных лиц в выполнении работ по благоустройству дворовых территорий по дополнительному перечню работ с 0 до 20%;</w:t>
            </w:r>
          </w:p>
          <w:p w:rsidR="00A56849" w:rsidRPr="00550643" w:rsidRDefault="00A56849" w:rsidP="00A56849">
            <w:pPr>
              <w:contextualSpacing/>
              <w:jc w:val="center"/>
              <w:rPr>
                <w:i/>
                <w:sz w:val="28"/>
                <w:szCs w:val="28"/>
              </w:rPr>
            </w:pPr>
            <w:r w:rsidRPr="00550643">
              <w:rPr>
                <w:i/>
                <w:sz w:val="28"/>
                <w:szCs w:val="28"/>
              </w:rPr>
              <w:t>18)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Ханты-Мансийска, с 0 до 14%;</w:t>
            </w:r>
          </w:p>
          <w:p w:rsidR="00D60E78" w:rsidRPr="00550643" w:rsidRDefault="00A56849" w:rsidP="00A56849">
            <w:pPr>
              <w:contextualSpacing/>
              <w:jc w:val="center"/>
              <w:rPr>
                <w:i/>
                <w:sz w:val="28"/>
                <w:szCs w:val="28"/>
              </w:rPr>
            </w:pPr>
            <w:r w:rsidRPr="00550643">
              <w:rPr>
                <w:i/>
                <w:sz w:val="28"/>
                <w:szCs w:val="28"/>
              </w:rPr>
              <w:t>19) количество объектов жилищного хозяйства, подлежащих обработке в соответствии с требованиями санитарно-эпидемиологического законодательства</w:t>
            </w:r>
          </w:p>
        </w:tc>
      </w:tr>
    </w:tbl>
    <w:p w:rsidR="00D60E78" w:rsidRPr="00550643" w:rsidRDefault="00D60E78" w:rsidP="00D60E78">
      <w:pPr>
        <w:contextualSpacing/>
        <w:rPr>
          <w:sz w:val="28"/>
          <w:szCs w:val="28"/>
        </w:rPr>
      </w:pPr>
    </w:p>
    <w:p w:rsidR="00D60E78" w:rsidRPr="00550643" w:rsidRDefault="00D60E78" w:rsidP="00D60E78">
      <w:pPr>
        <w:contextualSpacing/>
        <w:rPr>
          <w:sz w:val="28"/>
          <w:szCs w:val="28"/>
        </w:rPr>
      </w:pPr>
    </w:p>
    <w:p w:rsidR="00ED03F8" w:rsidRPr="00550643" w:rsidRDefault="00ED03F8" w:rsidP="00D60E78">
      <w:pPr>
        <w:contextualSpacing/>
        <w:rPr>
          <w:sz w:val="28"/>
          <w:szCs w:val="28"/>
        </w:rPr>
      </w:pPr>
      <w:r w:rsidRPr="00550643">
        <w:rPr>
          <w:sz w:val="28"/>
          <w:szCs w:val="28"/>
        </w:rPr>
        <w:t>Директор департамента городского хозяйства</w:t>
      </w:r>
    </w:p>
    <w:p w:rsidR="00D60E78" w:rsidRPr="00550643" w:rsidRDefault="0056658B" w:rsidP="00ED03F8">
      <w:pPr>
        <w:contextualSpacing/>
        <w:rPr>
          <w:sz w:val="28"/>
          <w:szCs w:val="28"/>
        </w:rPr>
      </w:pPr>
      <w:r w:rsidRPr="00550643">
        <w:rPr>
          <w:sz w:val="28"/>
          <w:szCs w:val="28"/>
        </w:rPr>
        <w:lastRenderedPageBreak/>
        <w:t>Администрации</w:t>
      </w:r>
      <w:r w:rsidR="00ED03F8" w:rsidRPr="00550643">
        <w:rPr>
          <w:sz w:val="28"/>
          <w:szCs w:val="28"/>
        </w:rPr>
        <w:t xml:space="preserve"> </w:t>
      </w:r>
      <w:r w:rsidRPr="00550643">
        <w:rPr>
          <w:sz w:val="28"/>
          <w:szCs w:val="28"/>
        </w:rPr>
        <w:t xml:space="preserve"> города Ханты-Мансийска</w:t>
      </w:r>
      <w:r w:rsidR="00720ECC" w:rsidRPr="00550643">
        <w:rPr>
          <w:sz w:val="28"/>
          <w:szCs w:val="28"/>
        </w:rPr>
        <w:t xml:space="preserve">                  </w:t>
      </w:r>
      <w:r w:rsidR="00D60E78" w:rsidRPr="00550643">
        <w:rPr>
          <w:sz w:val="28"/>
          <w:szCs w:val="28"/>
        </w:rPr>
        <w:t>_</w:t>
      </w:r>
      <w:r w:rsidR="00CC280E" w:rsidRPr="00550643">
        <w:rPr>
          <w:sz w:val="28"/>
          <w:szCs w:val="28"/>
        </w:rPr>
        <w:t xml:space="preserve">_____________   </w:t>
      </w:r>
      <w:proofErr w:type="spellStart"/>
      <w:r w:rsidR="00ED03F8" w:rsidRPr="00550643">
        <w:rPr>
          <w:sz w:val="28"/>
          <w:szCs w:val="28"/>
        </w:rPr>
        <w:t>С.А.Волчков</w:t>
      </w:r>
      <w:proofErr w:type="spellEnd"/>
    </w:p>
    <w:p w:rsidR="00D60E78" w:rsidRPr="00ED03F8" w:rsidRDefault="00D60E78" w:rsidP="00D60E78">
      <w:pPr>
        <w:contextualSpacing/>
        <w:rPr>
          <w:sz w:val="26"/>
          <w:szCs w:val="26"/>
          <w:vertAlign w:val="subscript"/>
        </w:rPr>
      </w:pPr>
      <w:r w:rsidRPr="00550643">
        <w:rPr>
          <w:sz w:val="28"/>
          <w:szCs w:val="28"/>
          <w:vertAlign w:val="subscript"/>
        </w:rPr>
        <w:t xml:space="preserve">                                                                                                         </w:t>
      </w:r>
      <w:r w:rsidR="00720ECC" w:rsidRPr="00550643">
        <w:rPr>
          <w:sz w:val="28"/>
          <w:szCs w:val="28"/>
          <w:vertAlign w:val="subscript"/>
        </w:rPr>
        <w:t xml:space="preserve">          </w:t>
      </w:r>
      <w:r w:rsidR="00720ECC" w:rsidRPr="00ED03F8">
        <w:rPr>
          <w:sz w:val="26"/>
          <w:szCs w:val="26"/>
          <w:vertAlign w:val="subscript"/>
        </w:rPr>
        <w:t xml:space="preserve">                      </w:t>
      </w:r>
      <w:r w:rsidRPr="00ED03F8">
        <w:rPr>
          <w:sz w:val="26"/>
          <w:szCs w:val="26"/>
          <w:vertAlign w:val="subscript"/>
        </w:rPr>
        <w:t xml:space="preserve">  подпись                 </w:t>
      </w:r>
      <w:r w:rsidR="00720ECC" w:rsidRPr="00ED03F8">
        <w:rPr>
          <w:sz w:val="26"/>
          <w:szCs w:val="26"/>
          <w:vertAlign w:val="subscript"/>
        </w:rPr>
        <w:t xml:space="preserve">    </w:t>
      </w:r>
      <w:r w:rsidRPr="00ED03F8">
        <w:rPr>
          <w:sz w:val="26"/>
          <w:szCs w:val="26"/>
          <w:vertAlign w:val="subscript"/>
        </w:rPr>
        <w:t xml:space="preserve"> инициалы, фамилия</w:t>
      </w:r>
    </w:p>
    <w:sectPr w:rsidR="00D60E78" w:rsidRPr="00ED03F8" w:rsidSect="003C25EF">
      <w:headerReference w:type="default" r:id="rId9"/>
      <w:pgSz w:w="11906" w:h="16838" w:code="9"/>
      <w:pgMar w:top="130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C7" w:rsidRDefault="00032EC7" w:rsidP="003C25EF">
      <w:r>
        <w:separator/>
      </w:r>
    </w:p>
  </w:endnote>
  <w:endnote w:type="continuationSeparator" w:id="0">
    <w:p w:rsidR="00032EC7" w:rsidRDefault="00032EC7" w:rsidP="003C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C7" w:rsidRDefault="00032EC7" w:rsidP="003C25EF">
      <w:r>
        <w:separator/>
      </w:r>
    </w:p>
  </w:footnote>
  <w:footnote w:type="continuationSeparator" w:id="0">
    <w:p w:rsidR="00032EC7" w:rsidRDefault="00032EC7" w:rsidP="003C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EF" w:rsidRDefault="003C25EF">
    <w:pPr>
      <w:pStyle w:val="a6"/>
      <w:jc w:val="center"/>
    </w:pPr>
    <w:r>
      <w:fldChar w:fldCharType="begin"/>
    </w:r>
    <w:r>
      <w:instrText>PAGE   \* MERGEFORMAT</w:instrText>
    </w:r>
    <w:r>
      <w:fldChar w:fldCharType="separate"/>
    </w:r>
    <w:r w:rsidR="002404DA">
      <w:rPr>
        <w:noProof/>
      </w:rPr>
      <w:t>7</w:t>
    </w:r>
    <w:r>
      <w:fldChar w:fldCharType="end"/>
    </w:r>
  </w:p>
  <w:p w:rsidR="003C25EF" w:rsidRDefault="003C25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280"/>
    <w:rsid w:val="00014A10"/>
    <w:rsid w:val="00032EC7"/>
    <w:rsid w:val="00037B36"/>
    <w:rsid w:val="000556B0"/>
    <w:rsid w:val="000716CC"/>
    <w:rsid w:val="00091DEC"/>
    <w:rsid w:val="000A7848"/>
    <w:rsid w:val="000B281D"/>
    <w:rsid w:val="000B425D"/>
    <w:rsid w:val="000B6349"/>
    <w:rsid w:val="000D574F"/>
    <w:rsid w:val="000F5B62"/>
    <w:rsid w:val="00103A18"/>
    <w:rsid w:val="00103D1C"/>
    <w:rsid w:val="00111C72"/>
    <w:rsid w:val="00123FA3"/>
    <w:rsid w:val="0015320A"/>
    <w:rsid w:val="0015670C"/>
    <w:rsid w:val="00181437"/>
    <w:rsid w:val="001957BA"/>
    <w:rsid w:val="001A3AAF"/>
    <w:rsid w:val="001B0985"/>
    <w:rsid w:val="001F79D6"/>
    <w:rsid w:val="00206B9A"/>
    <w:rsid w:val="00210FB7"/>
    <w:rsid w:val="002404DA"/>
    <w:rsid w:val="002A773A"/>
    <w:rsid w:val="002A7BCC"/>
    <w:rsid w:val="002B3F0C"/>
    <w:rsid w:val="002D66A0"/>
    <w:rsid w:val="002E1EF6"/>
    <w:rsid w:val="002E1F12"/>
    <w:rsid w:val="00311B4D"/>
    <w:rsid w:val="00324ACA"/>
    <w:rsid w:val="00335797"/>
    <w:rsid w:val="00344D41"/>
    <w:rsid w:val="00362F09"/>
    <w:rsid w:val="00366249"/>
    <w:rsid w:val="003716A7"/>
    <w:rsid w:val="003821BE"/>
    <w:rsid w:val="00392172"/>
    <w:rsid w:val="003976BC"/>
    <w:rsid w:val="003A7B09"/>
    <w:rsid w:val="003B19AF"/>
    <w:rsid w:val="003C25EF"/>
    <w:rsid w:val="003C48B2"/>
    <w:rsid w:val="003E42EE"/>
    <w:rsid w:val="003F7E62"/>
    <w:rsid w:val="004118FC"/>
    <w:rsid w:val="00450C73"/>
    <w:rsid w:val="004B27C2"/>
    <w:rsid w:val="004B3BE7"/>
    <w:rsid w:val="004C1DA2"/>
    <w:rsid w:val="004E3103"/>
    <w:rsid w:val="005156E9"/>
    <w:rsid w:val="00516EBC"/>
    <w:rsid w:val="0053592E"/>
    <w:rsid w:val="00550643"/>
    <w:rsid w:val="005656AE"/>
    <w:rsid w:val="0056658B"/>
    <w:rsid w:val="00583406"/>
    <w:rsid w:val="0059595F"/>
    <w:rsid w:val="005A48DA"/>
    <w:rsid w:val="005D7BDD"/>
    <w:rsid w:val="005F460B"/>
    <w:rsid w:val="00605E15"/>
    <w:rsid w:val="00687C8B"/>
    <w:rsid w:val="006D1076"/>
    <w:rsid w:val="006F6CFE"/>
    <w:rsid w:val="00704FEE"/>
    <w:rsid w:val="00720ECC"/>
    <w:rsid w:val="00730169"/>
    <w:rsid w:val="0075697B"/>
    <w:rsid w:val="00767D8B"/>
    <w:rsid w:val="00785418"/>
    <w:rsid w:val="007A3739"/>
    <w:rsid w:val="007B0942"/>
    <w:rsid w:val="007C032B"/>
    <w:rsid w:val="007F52FA"/>
    <w:rsid w:val="00802CF4"/>
    <w:rsid w:val="00824631"/>
    <w:rsid w:val="00860129"/>
    <w:rsid w:val="00877B1B"/>
    <w:rsid w:val="008A1C4C"/>
    <w:rsid w:val="008A611B"/>
    <w:rsid w:val="008B6112"/>
    <w:rsid w:val="008E35A8"/>
    <w:rsid w:val="008F60A2"/>
    <w:rsid w:val="00912784"/>
    <w:rsid w:val="00921A73"/>
    <w:rsid w:val="00927BB0"/>
    <w:rsid w:val="00956184"/>
    <w:rsid w:val="009575C6"/>
    <w:rsid w:val="00967D16"/>
    <w:rsid w:val="00970068"/>
    <w:rsid w:val="009735B2"/>
    <w:rsid w:val="009B1CEE"/>
    <w:rsid w:val="009B3478"/>
    <w:rsid w:val="009F552A"/>
    <w:rsid w:val="00A10DEB"/>
    <w:rsid w:val="00A113EF"/>
    <w:rsid w:val="00A12D4C"/>
    <w:rsid w:val="00A17A42"/>
    <w:rsid w:val="00A24563"/>
    <w:rsid w:val="00A56849"/>
    <w:rsid w:val="00A810A1"/>
    <w:rsid w:val="00A81255"/>
    <w:rsid w:val="00A94A3E"/>
    <w:rsid w:val="00AA0BCF"/>
    <w:rsid w:val="00AC3268"/>
    <w:rsid w:val="00AD6EFA"/>
    <w:rsid w:val="00AD79B8"/>
    <w:rsid w:val="00AE7EED"/>
    <w:rsid w:val="00B02F1E"/>
    <w:rsid w:val="00B155C8"/>
    <w:rsid w:val="00B301B4"/>
    <w:rsid w:val="00B47D65"/>
    <w:rsid w:val="00B635F3"/>
    <w:rsid w:val="00B76665"/>
    <w:rsid w:val="00B80F88"/>
    <w:rsid w:val="00BA3B26"/>
    <w:rsid w:val="00BA44D2"/>
    <w:rsid w:val="00BB3E75"/>
    <w:rsid w:val="00BC69FD"/>
    <w:rsid w:val="00BD7A0A"/>
    <w:rsid w:val="00BE6B5C"/>
    <w:rsid w:val="00C17511"/>
    <w:rsid w:val="00C20280"/>
    <w:rsid w:val="00C41554"/>
    <w:rsid w:val="00C52F8D"/>
    <w:rsid w:val="00C81F44"/>
    <w:rsid w:val="00CB1670"/>
    <w:rsid w:val="00CC280E"/>
    <w:rsid w:val="00CD074F"/>
    <w:rsid w:val="00CD2D40"/>
    <w:rsid w:val="00CE0C29"/>
    <w:rsid w:val="00CE6A12"/>
    <w:rsid w:val="00CF06B4"/>
    <w:rsid w:val="00CF156A"/>
    <w:rsid w:val="00CF74B2"/>
    <w:rsid w:val="00D06CF6"/>
    <w:rsid w:val="00D26668"/>
    <w:rsid w:val="00D27E39"/>
    <w:rsid w:val="00D43A4C"/>
    <w:rsid w:val="00D60A15"/>
    <w:rsid w:val="00D60E78"/>
    <w:rsid w:val="00D72370"/>
    <w:rsid w:val="00D845F6"/>
    <w:rsid w:val="00DA22A4"/>
    <w:rsid w:val="00DA7132"/>
    <w:rsid w:val="00DC694A"/>
    <w:rsid w:val="00E463AC"/>
    <w:rsid w:val="00E60396"/>
    <w:rsid w:val="00EA6E11"/>
    <w:rsid w:val="00ED03F8"/>
    <w:rsid w:val="00ED2F1E"/>
    <w:rsid w:val="00ED3122"/>
    <w:rsid w:val="00F0105E"/>
    <w:rsid w:val="00F427DC"/>
    <w:rsid w:val="00F54733"/>
    <w:rsid w:val="00F55BFE"/>
    <w:rsid w:val="00F925C7"/>
    <w:rsid w:val="00F933CF"/>
    <w:rsid w:val="00F94A25"/>
    <w:rsid w:val="00FB3366"/>
    <w:rsid w:val="00FB417E"/>
    <w:rsid w:val="00FF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F0C"/>
  </w:style>
  <w:style w:type="paragraph" w:styleId="1">
    <w:name w:val="heading 1"/>
    <w:basedOn w:val="a"/>
    <w:next w:val="a"/>
    <w:link w:val="10"/>
    <w:qFormat/>
    <w:rsid w:val="00123FA3"/>
    <w:pPr>
      <w:keepNext/>
      <w:spacing w:before="240" w:after="60"/>
      <w:outlineLvl w:val="0"/>
    </w:pPr>
    <w:rPr>
      <w:rFonts w:ascii="Cambria" w:hAnsi="Cambria"/>
      <w:b/>
      <w:bCs/>
      <w:kern w:val="32"/>
      <w:sz w:val="32"/>
      <w:szCs w:val="32"/>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970068"/>
    <w:pPr>
      <w:keepNext/>
      <w:spacing w:before="240" w:after="60"/>
      <w:outlineLvl w:val="1"/>
    </w:pPr>
    <w:rPr>
      <w:rFonts w:ascii="Arial" w:hAnsi="Arial"/>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rsid w:val="00970068"/>
    <w:rPr>
      <w:rFonts w:ascii="Arial" w:hAnsi="Arial"/>
      <w:b/>
      <w:i/>
      <w:sz w:val="28"/>
    </w:rPr>
  </w:style>
  <w:style w:type="paragraph" w:styleId="a3">
    <w:name w:val="List Paragraph"/>
    <w:basedOn w:val="a"/>
    <w:uiPriority w:val="34"/>
    <w:qFormat/>
    <w:rsid w:val="00970068"/>
    <w:pPr>
      <w:widowControl w:val="0"/>
      <w:autoSpaceDE w:val="0"/>
      <w:autoSpaceDN w:val="0"/>
      <w:adjustRightInd w:val="0"/>
      <w:ind w:left="720"/>
      <w:contextualSpacing/>
    </w:pPr>
    <w:rPr>
      <w:rFonts w:ascii="Arial" w:hAnsi="Arial" w:cs="Arial"/>
      <w:sz w:val="24"/>
      <w:szCs w:val="24"/>
    </w:rPr>
  </w:style>
  <w:style w:type="character" w:styleId="a4">
    <w:name w:val="Hyperlink"/>
    <w:uiPriority w:val="99"/>
    <w:unhideWhenUsed/>
    <w:rsid w:val="00970068"/>
    <w:rPr>
      <w:color w:val="0000FF"/>
      <w:u w:val="single"/>
    </w:rPr>
  </w:style>
  <w:style w:type="character" w:customStyle="1" w:styleId="FontStyle13">
    <w:name w:val="Font Style13"/>
    <w:rsid w:val="008E35A8"/>
    <w:rPr>
      <w:rFonts w:ascii="Times New Roman" w:hAnsi="Times New Roman"/>
      <w:sz w:val="18"/>
    </w:rPr>
  </w:style>
  <w:style w:type="table" w:styleId="a5">
    <w:name w:val="Table Grid"/>
    <w:basedOn w:val="a1"/>
    <w:rsid w:val="008F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C25EF"/>
    <w:pPr>
      <w:tabs>
        <w:tab w:val="center" w:pos="4677"/>
        <w:tab w:val="right" w:pos="9355"/>
      </w:tabs>
    </w:pPr>
  </w:style>
  <w:style w:type="character" w:customStyle="1" w:styleId="a7">
    <w:name w:val="Верхний колонтитул Знак"/>
    <w:basedOn w:val="a0"/>
    <w:link w:val="a6"/>
    <w:uiPriority w:val="99"/>
    <w:rsid w:val="003C25EF"/>
  </w:style>
  <w:style w:type="paragraph" w:styleId="a8">
    <w:name w:val="footer"/>
    <w:basedOn w:val="a"/>
    <w:link w:val="a9"/>
    <w:rsid w:val="003C25EF"/>
    <w:pPr>
      <w:tabs>
        <w:tab w:val="center" w:pos="4677"/>
        <w:tab w:val="right" w:pos="9355"/>
      </w:tabs>
    </w:pPr>
  </w:style>
  <w:style w:type="character" w:customStyle="1" w:styleId="a9">
    <w:name w:val="Нижний колонтитул Знак"/>
    <w:basedOn w:val="a0"/>
    <w:link w:val="a8"/>
    <w:rsid w:val="003C25EF"/>
  </w:style>
  <w:style w:type="paragraph" w:styleId="aa">
    <w:name w:val="Balloon Text"/>
    <w:basedOn w:val="a"/>
    <w:link w:val="ab"/>
    <w:rsid w:val="003C25EF"/>
    <w:rPr>
      <w:rFonts w:ascii="Tahoma" w:hAnsi="Tahoma"/>
      <w:sz w:val="16"/>
      <w:szCs w:val="16"/>
      <w:lang w:val="x-none" w:eastAsia="x-none"/>
    </w:rPr>
  </w:style>
  <w:style w:type="character" w:customStyle="1" w:styleId="ab">
    <w:name w:val="Текст выноски Знак"/>
    <w:link w:val="aa"/>
    <w:rsid w:val="003C25EF"/>
    <w:rPr>
      <w:rFonts w:ascii="Tahoma" w:hAnsi="Tahoma" w:cs="Tahoma"/>
      <w:sz w:val="16"/>
      <w:szCs w:val="16"/>
    </w:rPr>
  </w:style>
  <w:style w:type="paragraph" w:customStyle="1" w:styleId="ConsPlusTitle">
    <w:name w:val="ConsPlusTitle"/>
    <w:rsid w:val="00CD074F"/>
    <w:pPr>
      <w:widowControl w:val="0"/>
      <w:autoSpaceDE w:val="0"/>
      <w:autoSpaceDN w:val="0"/>
    </w:pPr>
    <w:rPr>
      <w:rFonts w:ascii="Calibri" w:hAnsi="Calibri" w:cs="Calibri"/>
      <w:b/>
      <w:sz w:val="22"/>
    </w:rPr>
  </w:style>
  <w:style w:type="character" w:customStyle="1" w:styleId="10">
    <w:name w:val="Заголовок 1 Знак"/>
    <w:link w:val="1"/>
    <w:rsid w:val="00123FA3"/>
    <w:rPr>
      <w:rFonts w:ascii="Cambria" w:eastAsia="Times New Roman" w:hAnsi="Cambria" w:cs="Times New Roman"/>
      <w:b/>
      <w:bCs/>
      <w:kern w:val="32"/>
      <w:sz w:val="32"/>
      <w:szCs w:val="32"/>
    </w:rPr>
  </w:style>
  <w:style w:type="character" w:styleId="ac">
    <w:name w:val="Strong"/>
    <w:uiPriority w:val="22"/>
    <w:qFormat/>
    <w:rsid w:val="00F93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3169">
      <w:bodyDiv w:val="1"/>
      <w:marLeft w:val="0"/>
      <w:marRight w:val="0"/>
      <w:marTop w:val="0"/>
      <w:marBottom w:val="0"/>
      <w:divBdr>
        <w:top w:val="none" w:sz="0" w:space="0" w:color="auto"/>
        <w:left w:val="none" w:sz="0" w:space="0" w:color="auto"/>
        <w:bottom w:val="none" w:sz="0" w:space="0" w:color="auto"/>
        <w:right w:val="none" w:sz="0" w:space="0" w:color="auto"/>
      </w:divBdr>
    </w:div>
    <w:div w:id="584997582">
      <w:bodyDiv w:val="1"/>
      <w:marLeft w:val="0"/>
      <w:marRight w:val="0"/>
      <w:marTop w:val="0"/>
      <w:marBottom w:val="0"/>
      <w:divBdr>
        <w:top w:val="none" w:sz="0" w:space="0" w:color="auto"/>
        <w:left w:val="none" w:sz="0" w:space="0" w:color="auto"/>
        <w:bottom w:val="none" w:sz="0" w:space="0" w:color="auto"/>
        <w:right w:val="none" w:sz="0" w:space="0" w:color="auto"/>
      </w:divBdr>
    </w:div>
    <w:div w:id="744450195">
      <w:bodyDiv w:val="1"/>
      <w:marLeft w:val="0"/>
      <w:marRight w:val="0"/>
      <w:marTop w:val="0"/>
      <w:marBottom w:val="0"/>
      <w:divBdr>
        <w:top w:val="none" w:sz="0" w:space="0" w:color="auto"/>
        <w:left w:val="none" w:sz="0" w:space="0" w:color="auto"/>
        <w:bottom w:val="none" w:sz="0" w:space="0" w:color="auto"/>
        <w:right w:val="none" w:sz="0" w:space="0" w:color="auto"/>
      </w:divBdr>
    </w:div>
    <w:div w:id="2004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senevaIA\AppData\Roaming\Microsoft\&#1064;&#1072;&#1073;&#1083;&#1086;&#1085;&#1099;\&#1055;&#1086;&#1089;&#109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348A-131A-4202-9F40-4C0B16B5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Пост.15</Template>
  <TotalTime>1175</TotalTime>
  <Pages>7</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г.Ханты-Мансийск</Company>
  <LinksUpToDate>false</LinksUpToDate>
  <CharactersWithSpaces>12240</CharactersWithSpaces>
  <SharedDoc>false</SharedDoc>
  <HLinks>
    <vt:vector size="12" baseType="variant">
      <vt:variant>
        <vt:i4>6946871</vt:i4>
      </vt:variant>
      <vt:variant>
        <vt:i4>3</vt:i4>
      </vt:variant>
      <vt:variant>
        <vt:i4>0</vt:i4>
      </vt:variant>
      <vt:variant>
        <vt:i4>5</vt:i4>
      </vt:variant>
      <vt:variant>
        <vt:lpwstr/>
      </vt:variant>
      <vt:variant>
        <vt:lpwstr>Par259</vt:lpwstr>
      </vt:variant>
      <vt:variant>
        <vt:i4>6946871</vt:i4>
      </vt:variant>
      <vt:variant>
        <vt:i4>0</vt:i4>
      </vt:variant>
      <vt:variant>
        <vt:i4>0</vt:i4>
      </vt:variant>
      <vt:variant>
        <vt:i4>5</vt:i4>
      </vt:variant>
      <vt:variant>
        <vt:lpwstr/>
      </vt:variant>
      <vt:variant>
        <vt:lpwstr>Par259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Ирина Анатольевна</dc:creator>
  <cp:lastModifiedBy>Путина Светлана Николаевна</cp:lastModifiedBy>
  <cp:revision>10</cp:revision>
  <cp:lastPrinted>2017-04-12T09:10:00Z</cp:lastPrinted>
  <dcterms:created xsi:type="dcterms:W3CDTF">2019-02-14T11:10:00Z</dcterms:created>
  <dcterms:modified xsi:type="dcterms:W3CDTF">2022-10-24T10:34:00Z</dcterms:modified>
</cp:coreProperties>
</file>