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705C7E" w:rsidRDefault="005E6A14" w:rsidP="00DA6FA2">
      <w:pPr>
        <w:pStyle w:val="1"/>
      </w:pPr>
      <w:bookmarkStart w:id="0" w:name="_Toc40779038"/>
      <w:bookmarkStart w:id="1" w:name="_Toc3795507"/>
      <w:bookmarkStart w:id="2" w:name="_Toc98506068"/>
      <w:bookmarkStart w:id="3" w:name="_Toc508869948"/>
      <w:bookmarkStart w:id="4" w:name="_Toc509924552"/>
      <w:bookmarkStart w:id="5" w:name="_Toc3795539"/>
      <w:bookmarkStart w:id="6" w:name="_Toc4056101"/>
      <w:r w:rsidRPr="00705C7E">
        <w:t>Муниципальная программа «Доступная среда</w:t>
      </w:r>
      <w:bookmarkStart w:id="7" w:name="_Toc40779039"/>
      <w:bookmarkEnd w:id="0"/>
      <w:r w:rsidRPr="00705C7E">
        <w:t xml:space="preserve"> в городе </w:t>
      </w:r>
      <w:r w:rsidR="00C314A3">
        <w:t xml:space="preserve">       </w:t>
      </w:r>
      <w:bookmarkStart w:id="8" w:name="_GoBack"/>
      <w:bookmarkEnd w:id="8"/>
      <w:r w:rsidRPr="00705C7E">
        <w:t>Ханты-Мансийске»</w:t>
      </w:r>
      <w:bookmarkEnd w:id="1"/>
      <w:bookmarkEnd w:id="2"/>
      <w:bookmarkEnd w:id="7"/>
    </w:p>
    <w:p w:rsidR="005E6A14" w:rsidRPr="0019711E" w:rsidRDefault="005E6A14" w:rsidP="005E6A14">
      <w:pPr>
        <w:rPr>
          <w:highlight w:val="yellow"/>
        </w:rPr>
      </w:pPr>
    </w:p>
    <w:p w:rsidR="005E6A14" w:rsidRPr="00752179" w:rsidRDefault="005E6A14" w:rsidP="005E6A14">
      <w:pPr>
        <w:spacing w:after="0"/>
        <w:ind w:right="142" w:firstLine="709"/>
        <w:jc w:val="both"/>
        <w:rPr>
          <w:sz w:val="28"/>
          <w:szCs w:val="28"/>
        </w:rPr>
      </w:pPr>
      <w:bookmarkStart w:id="9" w:name="_Toc3795508"/>
      <w:r w:rsidRPr="00B93D3C">
        <w:rPr>
          <w:sz w:val="28"/>
          <w:szCs w:val="28"/>
        </w:rPr>
        <w:t>Муниципальная программа утверждена постановлением Администрации города Ханты-Мансийска от 17.10.2013 № 1323 «Об утверждении муниципальной программы «Доступная среда в городе Ханты-Мансийске».</w:t>
      </w:r>
      <w:bookmarkEnd w:id="9"/>
    </w:p>
    <w:p w:rsidR="005E6A14" w:rsidRPr="00B27A24" w:rsidRDefault="005E6A14" w:rsidP="005E6A14">
      <w:pPr>
        <w:spacing w:after="0"/>
        <w:ind w:right="142" w:firstLine="709"/>
        <w:jc w:val="both"/>
        <w:rPr>
          <w:sz w:val="28"/>
          <w:szCs w:val="28"/>
        </w:rPr>
      </w:pPr>
      <w:r w:rsidRPr="00B27A24">
        <w:rPr>
          <w:sz w:val="28"/>
          <w:szCs w:val="28"/>
        </w:rPr>
        <w:t>Разработчиком муниципальной программы являются муниципальное казенное учреждение «Служба социальной поддержки населения», Департамент городского хозяйства Администрации города Ханты-Мансийска.</w:t>
      </w:r>
    </w:p>
    <w:p w:rsidR="005E6A14" w:rsidRPr="00E207FD" w:rsidRDefault="005E6A14" w:rsidP="005E6A14">
      <w:pPr>
        <w:spacing w:after="0"/>
        <w:ind w:right="141" w:firstLine="709"/>
        <w:jc w:val="both"/>
        <w:rPr>
          <w:sz w:val="28"/>
          <w:szCs w:val="28"/>
        </w:rPr>
      </w:pPr>
      <w:r w:rsidRPr="00E207FD">
        <w:rPr>
          <w:sz w:val="28"/>
          <w:szCs w:val="28"/>
        </w:rPr>
        <w:t>Координатором муниципальной программы является Департамент городского хозяйства Администрации города Ханты-Мансийска.</w:t>
      </w:r>
    </w:p>
    <w:p w:rsidR="005E6A14" w:rsidRPr="00450467" w:rsidRDefault="005E6A14" w:rsidP="005E6A14">
      <w:pPr>
        <w:autoSpaceDE w:val="0"/>
        <w:autoSpaceDN w:val="0"/>
        <w:adjustRightInd w:val="0"/>
        <w:spacing w:after="0"/>
        <w:ind w:right="141" w:firstLine="708"/>
        <w:jc w:val="both"/>
        <w:rPr>
          <w:sz w:val="28"/>
          <w:szCs w:val="28"/>
        </w:rPr>
      </w:pPr>
      <w:r w:rsidRPr="00E207FD">
        <w:rPr>
          <w:sz w:val="28"/>
          <w:szCs w:val="28"/>
        </w:rPr>
        <w:t>Цель</w:t>
      </w:r>
      <w:r w:rsidRPr="00E207FD">
        <w:rPr>
          <w:rFonts w:eastAsia="Times New Roman"/>
          <w:sz w:val="28"/>
          <w:szCs w:val="28"/>
        </w:rPr>
        <w:t xml:space="preserve">ю муниципальной программы является </w:t>
      </w:r>
      <w:r w:rsidRPr="00E207FD">
        <w:rPr>
          <w:sz w:val="28"/>
          <w:szCs w:val="28"/>
        </w:rPr>
        <w:t>формирование условий устойчивого развития доступной среды для маломобильных групп населения в приоритетных сферах жизнедеятельности, обеспечение беспрепятственного доступа к объектам социальной инфраструктуры.</w:t>
      </w:r>
    </w:p>
    <w:p w:rsidR="005E6A14" w:rsidRPr="00E207FD" w:rsidRDefault="005E6A14" w:rsidP="005E6A14">
      <w:pPr>
        <w:spacing w:after="0"/>
        <w:ind w:right="424" w:firstLine="709"/>
        <w:jc w:val="both"/>
        <w:rPr>
          <w:sz w:val="28"/>
          <w:szCs w:val="28"/>
        </w:rPr>
      </w:pPr>
      <w:r w:rsidRPr="00E207FD">
        <w:rPr>
          <w:rFonts w:eastAsia="Times New Roman"/>
          <w:sz w:val="28"/>
          <w:szCs w:val="28"/>
        </w:rPr>
        <w:t xml:space="preserve"> </w:t>
      </w:r>
      <w:r w:rsidRPr="00E207FD">
        <w:rPr>
          <w:sz w:val="28"/>
          <w:szCs w:val="28"/>
        </w:rPr>
        <w:t>Задачи муниципальной программы:</w:t>
      </w:r>
    </w:p>
    <w:p w:rsidR="005E6A14" w:rsidRPr="00E207FD" w:rsidRDefault="005E6A14" w:rsidP="005E6A14">
      <w:pPr>
        <w:autoSpaceDE w:val="0"/>
        <w:autoSpaceDN w:val="0"/>
        <w:adjustRightInd w:val="0"/>
        <w:spacing w:after="0"/>
        <w:ind w:right="141" w:firstLine="708"/>
        <w:jc w:val="both"/>
        <w:rPr>
          <w:sz w:val="28"/>
          <w:szCs w:val="28"/>
        </w:rPr>
      </w:pPr>
      <w:r w:rsidRPr="00E207FD">
        <w:rPr>
          <w:rFonts w:eastAsia="Times New Roman"/>
          <w:sz w:val="28"/>
          <w:szCs w:val="28"/>
        </w:rPr>
        <w:t>1.</w:t>
      </w:r>
      <w:r w:rsidRPr="00E207FD">
        <w:rPr>
          <w:sz w:val="28"/>
          <w:szCs w:val="28"/>
        </w:rPr>
        <w:t xml:space="preserve"> Создание условий беспрепятственного доступа для маломобильных групп населения к объектам социальной инфраструктуры города Ханты-Мансийска и внутри зданий.</w:t>
      </w:r>
    </w:p>
    <w:p w:rsidR="005E6A14" w:rsidRPr="00E207FD" w:rsidRDefault="005E6A14" w:rsidP="005E6A14">
      <w:pPr>
        <w:tabs>
          <w:tab w:val="left" w:pos="851"/>
          <w:tab w:val="left" w:pos="993"/>
        </w:tabs>
        <w:autoSpaceDE w:val="0"/>
        <w:autoSpaceDN w:val="0"/>
        <w:adjustRightInd w:val="0"/>
        <w:spacing w:after="0"/>
        <w:ind w:right="142" w:firstLine="708"/>
        <w:jc w:val="both"/>
        <w:rPr>
          <w:sz w:val="28"/>
          <w:szCs w:val="28"/>
        </w:rPr>
      </w:pPr>
      <w:r w:rsidRPr="00E207FD">
        <w:rPr>
          <w:rFonts w:eastAsia="Times New Roman"/>
          <w:sz w:val="28"/>
          <w:szCs w:val="28"/>
        </w:rPr>
        <w:t>2.</w:t>
      </w:r>
      <w:r w:rsidRPr="00E207FD">
        <w:rPr>
          <w:sz w:val="28"/>
          <w:szCs w:val="28"/>
        </w:rPr>
        <w:t>Обеспечение дорожно-транспортной доступности для маломобильных групп населения на территории города Ханты-Мансийска.</w:t>
      </w:r>
    </w:p>
    <w:p w:rsidR="005E6A14" w:rsidRPr="001C39D3" w:rsidRDefault="005E6A14" w:rsidP="005E6A14">
      <w:pPr>
        <w:pStyle w:val="ConsPlusTitle"/>
        <w:spacing w:line="276" w:lineRule="auto"/>
        <w:ind w:right="142" w:firstLine="709"/>
        <w:jc w:val="both"/>
        <w:rPr>
          <w:rFonts w:ascii="Times New Roman" w:hAnsi="Times New Roman" w:cs="Times New Roman"/>
          <w:b w:val="0"/>
          <w:bCs w:val="0"/>
          <w:sz w:val="28"/>
          <w:szCs w:val="28"/>
        </w:rPr>
      </w:pPr>
      <w:r w:rsidRPr="00997F4A">
        <w:rPr>
          <w:rFonts w:ascii="Times New Roman" w:hAnsi="Times New Roman" w:cs="Times New Roman"/>
          <w:b w:val="0"/>
          <w:bCs w:val="0"/>
          <w:sz w:val="28"/>
          <w:szCs w:val="28"/>
        </w:rPr>
        <w:t>На финансирование муниципальной программы в 2021 году предусмотрены средства бюджета города Ханты-Мансийска в объеме 921,6 тыс</w:t>
      </w:r>
      <w:r w:rsidRPr="001C39D3">
        <w:rPr>
          <w:rFonts w:ascii="Times New Roman" w:hAnsi="Times New Roman" w:cs="Times New Roman"/>
          <w:b w:val="0"/>
          <w:bCs w:val="0"/>
          <w:sz w:val="28"/>
          <w:szCs w:val="28"/>
        </w:rPr>
        <w:t>. рублей.</w:t>
      </w:r>
    </w:p>
    <w:p w:rsidR="005E6A14" w:rsidRPr="001C39D3" w:rsidRDefault="005E6A14" w:rsidP="005E6A14">
      <w:pPr>
        <w:pStyle w:val="ConsPlusTitle"/>
        <w:spacing w:line="276" w:lineRule="auto"/>
        <w:ind w:right="142" w:firstLine="709"/>
        <w:jc w:val="both"/>
        <w:rPr>
          <w:b w:val="0"/>
          <w:bCs w:val="0"/>
          <w:sz w:val="28"/>
          <w:szCs w:val="28"/>
        </w:rPr>
      </w:pPr>
      <w:r w:rsidRPr="001C39D3">
        <w:rPr>
          <w:rFonts w:ascii="Times New Roman" w:hAnsi="Times New Roman" w:cs="Times New Roman"/>
          <w:b w:val="0"/>
          <w:bCs w:val="0"/>
          <w:sz w:val="28"/>
          <w:szCs w:val="28"/>
        </w:rPr>
        <w:t xml:space="preserve">Исполнение </w:t>
      </w:r>
      <w:r w:rsidRPr="001C39D3">
        <w:rPr>
          <w:rFonts w:ascii="Times New Roman" w:hAnsi="Times New Roman" w:cs="Times New Roman"/>
          <w:b w:val="0"/>
          <w:sz w:val="28"/>
          <w:szCs w:val="28"/>
        </w:rPr>
        <w:t>муниципальной программы</w:t>
      </w:r>
      <w:r w:rsidRPr="001C39D3">
        <w:rPr>
          <w:rFonts w:ascii="Times New Roman" w:hAnsi="Times New Roman" w:cs="Times New Roman"/>
          <w:b w:val="0"/>
          <w:bCs w:val="0"/>
          <w:sz w:val="28"/>
          <w:szCs w:val="28"/>
        </w:rPr>
        <w:t xml:space="preserve"> на отчетную дату составляет 921,6 тыс. рублей или 100% от годового объема финансирования. </w:t>
      </w:r>
    </w:p>
    <w:p w:rsidR="005E6A14" w:rsidRPr="001C39D3" w:rsidRDefault="005E6A14" w:rsidP="005E6A14">
      <w:pPr>
        <w:pStyle w:val="ae"/>
        <w:tabs>
          <w:tab w:val="left" w:pos="0"/>
        </w:tabs>
        <w:suppressAutoHyphens/>
        <w:spacing w:before="0" w:beforeAutospacing="0" w:after="0" w:afterAutospacing="0" w:line="276" w:lineRule="auto"/>
        <w:ind w:right="424" w:firstLine="709"/>
        <w:rPr>
          <w:b/>
          <w:bCs/>
          <w:sz w:val="28"/>
          <w:szCs w:val="28"/>
        </w:rPr>
      </w:pPr>
    </w:p>
    <w:p w:rsidR="005E6A14" w:rsidRPr="001C39D3" w:rsidRDefault="005E6A14" w:rsidP="005E6A14">
      <w:pPr>
        <w:pStyle w:val="ae"/>
        <w:tabs>
          <w:tab w:val="left" w:pos="0"/>
        </w:tabs>
        <w:suppressAutoHyphens/>
        <w:spacing w:before="0" w:beforeAutospacing="0" w:after="0" w:afterAutospacing="0" w:line="276" w:lineRule="auto"/>
        <w:ind w:right="424" w:firstLine="709"/>
      </w:pPr>
      <w:r w:rsidRPr="001C39D3">
        <w:t>Рисунок 3.1.1.</w:t>
      </w:r>
    </w:p>
    <w:p w:rsidR="005E6A14" w:rsidRPr="00C11417" w:rsidRDefault="005E6A14" w:rsidP="005E6A14">
      <w:pPr>
        <w:pStyle w:val="ae"/>
        <w:jc w:val="center"/>
        <w:rPr>
          <w:b/>
          <w:sz w:val="28"/>
          <w:szCs w:val="28"/>
        </w:rPr>
      </w:pPr>
      <w:bookmarkStart w:id="10" w:name="_Toc3795511"/>
      <w:r w:rsidRPr="00C11417">
        <w:rPr>
          <w:b/>
          <w:sz w:val="28"/>
          <w:szCs w:val="28"/>
        </w:rPr>
        <w:t>Объемы ассигнований на реализацию муниципальной программы «Доступная среда в городе Ханты-Мансийске»</w:t>
      </w:r>
      <w:bookmarkStart w:id="11" w:name="_Toc3795512"/>
      <w:bookmarkEnd w:id="10"/>
      <w:r w:rsidRPr="00C11417">
        <w:rPr>
          <w:b/>
          <w:sz w:val="28"/>
          <w:szCs w:val="28"/>
        </w:rPr>
        <w:t>, тыс. рублей</w:t>
      </w:r>
      <w:bookmarkEnd w:id="11"/>
    </w:p>
    <w:p w:rsidR="005E6A14" w:rsidRDefault="005E6A14" w:rsidP="005E6A14">
      <w:pPr>
        <w:pStyle w:val="ae"/>
        <w:tabs>
          <w:tab w:val="left" w:pos="0"/>
        </w:tabs>
        <w:suppressAutoHyphens/>
        <w:spacing w:before="0" w:beforeAutospacing="0" w:after="0" w:afterAutospacing="0" w:line="276" w:lineRule="auto"/>
        <w:ind w:right="424"/>
        <w:jc w:val="both"/>
        <w:rPr>
          <w:sz w:val="28"/>
          <w:szCs w:val="28"/>
          <w:highlight w:val="yellow"/>
        </w:rPr>
      </w:pPr>
    </w:p>
    <w:p w:rsidR="005E6A14" w:rsidRPr="0019711E" w:rsidRDefault="005E6A14" w:rsidP="005E6A14">
      <w:pPr>
        <w:pStyle w:val="ae"/>
        <w:tabs>
          <w:tab w:val="left" w:pos="0"/>
        </w:tabs>
        <w:suppressAutoHyphens/>
        <w:spacing w:before="0" w:beforeAutospacing="0" w:after="0" w:afterAutospacing="0" w:line="276" w:lineRule="auto"/>
        <w:ind w:right="424"/>
        <w:jc w:val="both"/>
        <w:rPr>
          <w:sz w:val="28"/>
          <w:szCs w:val="28"/>
          <w:highlight w:val="yellow"/>
        </w:rPr>
      </w:pPr>
      <w:r>
        <w:rPr>
          <w:noProof/>
        </w:rPr>
        <w:drawing>
          <wp:inline distT="0" distB="0" distL="0" distR="0" wp14:anchorId="2D237E40" wp14:editId="45AF22B6">
            <wp:extent cx="5940425" cy="136271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A14" w:rsidRPr="007136AF" w:rsidRDefault="005E6A14" w:rsidP="005E6A14">
      <w:pPr>
        <w:pStyle w:val="ae"/>
        <w:tabs>
          <w:tab w:val="left" w:pos="0"/>
        </w:tabs>
        <w:suppressAutoHyphens/>
        <w:spacing w:before="0" w:beforeAutospacing="0" w:after="0" w:afterAutospacing="0" w:line="276" w:lineRule="auto"/>
        <w:ind w:right="424" w:firstLine="709"/>
        <w:jc w:val="both"/>
        <w:rPr>
          <w:sz w:val="28"/>
          <w:szCs w:val="28"/>
        </w:rPr>
      </w:pPr>
      <w:r w:rsidRPr="007136AF">
        <w:rPr>
          <w:sz w:val="28"/>
          <w:szCs w:val="28"/>
        </w:rPr>
        <w:t>Объемы бюджетных ассигнований распределены следующим образом:</w:t>
      </w:r>
    </w:p>
    <w:p w:rsidR="005E6A14" w:rsidRPr="0019711E" w:rsidRDefault="005E6A14" w:rsidP="005E6A14">
      <w:pPr>
        <w:pStyle w:val="ae"/>
        <w:tabs>
          <w:tab w:val="left" w:pos="0"/>
        </w:tabs>
        <w:suppressAutoHyphens/>
        <w:spacing w:before="0" w:beforeAutospacing="0" w:after="0" w:afterAutospacing="0" w:line="276" w:lineRule="auto"/>
        <w:ind w:right="424" w:firstLine="709"/>
        <w:rPr>
          <w:sz w:val="28"/>
          <w:szCs w:val="28"/>
          <w:highlight w:val="yellow"/>
        </w:rPr>
      </w:pPr>
    </w:p>
    <w:p w:rsidR="005E6A14" w:rsidRPr="00491B6A" w:rsidRDefault="005E6A14" w:rsidP="005E6A14">
      <w:pPr>
        <w:pStyle w:val="ae"/>
        <w:tabs>
          <w:tab w:val="left" w:pos="0"/>
        </w:tabs>
        <w:suppressAutoHyphens/>
        <w:spacing w:before="0" w:beforeAutospacing="0" w:after="0" w:afterAutospacing="0" w:line="276" w:lineRule="auto"/>
        <w:ind w:right="424" w:firstLine="709"/>
      </w:pPr>
      <w:r w:rsidRPr="00491B6A">
        <w:t>Таблица 3.1.1.</w:t>
      </w:r>
    </w:p>
    <w:p w:rsidR="005E6A14" w:rsidRPr="00491B6A" w:rsidRDefault="005E6A14" w:rsidP="005E6A14">
      <w:pPr>
        <w:jc w:val="center"/>
        <w:rPr>
          <w:b/>
          <w:sz w:val="28"/>
          <w:szCs w:val="28"/>
        </w:rPr>
      </w:pPr>
      <w:bookmarkStart w:id="12" w:name="_Toc3795513"/>
      <w:r w:rsidRPr="00491B6A">
        <w:rPr>
          <w:b/>
          <w:sz w:val="28"/>
          <w:szCs w:val="28"/>
        </w:rPr>
        <w:t>Объем бюджетных ассигнований за 2021 год по основному исполнителю и соисполнителям муниципальной программы «Доступная среда в городе Ханты-Мансийске»</w:t>
      </w:r>
      <w:bookmarkEnd w:id="12"/>
    </w:p>
    <w:p w:rsidR="005E6A14" w:rsidRPr="00491B6A" w:rsidRDefault="005E6A14" w:rsidP="005E6A14">
      <w:pPr>
        <w:pStyle w:val="ae"/>
        <w:tabs>
          <w:tab w:val="left" w:pos="459"/>
          <w:tab w:val="left" w:pos="9356"/>
        </w:tabs>
        <w:suppressAutoHyphens/>
        <w:spacing w:before="0" w:beforeAutospacing="0" w:after="0" w:afterAutospacing="0" w:line="276" w:lineRule="auto"/>
        <w:ind w:firstLine="709"/>
      </w:pPr>
      <w:r w:rsidRPr="00491B6A">
        <w:t xml:space="preserve">    (тыс. рублей)</w:t>
      </w:r>
    </w:p>
    <w:tbl>
      <w:tblPr>
        <w:tblW w:w="9780" w:type="dxa"/>
        <w:tblInd w:w="-176" w:type="dxa"/>
        <w:tblLayout w:type="fixed"/>
        <w:tblLook w:val="04A0" w:firstRow="1" w:lastRow="0" w:firstColumn="1" w:lastColumn="0" w:noHBand="0" w:noVBand="1"/>
      </w:tblPr>
      <w:tblGrid>
        <w:gridCol w:w="426"/>
        <w:gridCol w:w="4110"/>
        <w:gridCol w:w="1276"/>
        <w:gridCol w:w="1417"/>
        <w:gridCol w:w="1276"/>
        <w:gridCol w:w="1275"/>
      </w:tblGrid>
      <w:tr w:rsidR="005E6A14" w:rsidRPr="0019711E" w:rsidTr="005E6A14">
        <w:trPr>
          <w:trHeight w:val="300"/>
          <w:tblHeader/>
        </w:trPr>
        <w:tc>
          <w:tcPr>
            <w:tcW w:w="426" w:type="dxa"/>
            <w:vMerge w:val="restart"/>
            <w:tcBorders>
              <w:top w:val="single" w:sz="4" w:space="0" w:color="auto"/>
              <w:left w:val="single" w:sz="4" w:space="0" w:color="auto"/>
              <w:right w:val="single" w:sz="4" w:space="0" w:color="auto"/>
            </w:tcBorders>
            <w:vAlign w:val="center"/>
          </w:tcPr>
          <w:p w:rsidR="005E6A14" w:rsidRPr="00296D82" w:rsidRDefault="005E6A14" w:rsidP="005E6A14">
            <w:pPr>
              <w:spacing w:after="0" w:line="240" w:lineRule="auto"/>
              <w:jc w:val="center"/>
              <w:rPr>
                <w:sz w:val="20"/>
                <w:szCs w:val="20"/>
              </w:rPr>
            </w:pPr>
            <w:r w:rsidRPr="00296D82">
              <w:rPr>
                <w:sz w:val="20"/>
                <w:szCs w:val="20"/>
              </w:rPr>
              <w:t>№ п/п</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A14" w:rsidRPr="00296D82" w:rsidRDefault="005E6A14" w:rsidP="005E6A14">
            <w:pPr>
              <w:spacing w:after="0" w:line="240" w:lineRule="auto"/>
              <w:ind w:right="424"/>
              <w:jc w:val="center"/>
              <w:rPr>
                <w:sz w:val="20"/>
                <w:szCs w:val="20"/>
              </w:rPr>
            </w:pPr>
            <w:r w:rsidRPr="00296D82">
              <w:rPr>
                <w:rFonts w:eastAsia="Times New Roman"/>
                <w:color w:val="000000" w:themeColor="text1"/>
                <w:sz w:val="20"/>
                <w:szCs w:val="20"/>
              </w:rPr>
              <w:t>Наименование основного исполнителя, соисполнителя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E6A14" w:rsidRPr="00296D82" w:rsidRDefault="005E6A14" w:rsidP="005E6A14">
            <w:pPr>
              <w:ind w:right="34"/>
              <w:jc w:val="center"/>
              <w:rPr>
                <w:rFonts w:eastAsia="Times New Roman"/>
                <w:b/>
                <w:color w:val="000000" w:themeColor="text1"/>
                <w:sz w:val="20"/>
                <w:szCs w:val="20"/>
              </w:rPr>
            </w:pPr>
            <w:r w:rsidRPr="00296D82">
              <w:rPr>
                <w:rFonts w:eastAsia="Times New Roman"/>
                <w:color w:val="000000" w:themeColor="text1"/>
                <w:sz w:val="20"/>
                <w:szCs w:val="20"/>
              </w:rPr>
              <w:t>2020 год (отчет)</w:t>
            </w:r>
          </w:p>
        </w:tc>
        <w:tc>
          <w:tcPr>
            <w:tcW w:w="396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6A14" w:rsidRPr="00296D82" w:rsidRDefault="005E6A14" w:rsidP="005E6A14">
            <w:pPr>
              <w:spacing w:after="0" w:line="240" w:lineRule="auto"/>
              <w:ind w:right="424"/>
              <w:jc w:val="center"/>
              <w:rPr>
                <w:sz w:val="20"/>
                <w:szCs w:val="20"/>
              </w:rPr>
            </w:pPr>
            <w:r w:rsidRPr="00296D82">
              <w:rPr>
                <w:sz w:val="20"/>
                <w:szCs w:val="20"/>
              </w:rPr>
              <w:t xml:space="preserve">2021 год </w:t>
            </w:r>
          </w:p>
        </w:tc>
      </w:tr>
      <w:tr w:rsidR="005E6A14" w:rsidRPr="0019711E" w:rsidTr="005E6A14">
        <w:trPr>
          <w:trHeight w:val="421"/>
          <w:tblHeader/>
        </w:trPr>
        <w:tc>
          <w:tcPr>
            <w:tcW w:w="426" w:type="dxa"/>
            <w:vMerge/>
            <w:tcBorders>
              <w:left w:val="single" w:sz="4" w:space="0" w:color="auto"/>
              <w:bottom w:val="single" w:sz="4" w:space="0" w:color="auto"/>
              <w:right w:val="single" w:sz="4" w:space="0" w:color="auto"/>
            </w:tcBorders>
          </w:tcPr>
          <w:p w:rsidR="005E6A14" w:rsidRPr="00296D82" w:rsidRDefault="005E6A14" w:rsidP="005E6A14">
            <w:pPr>
              <w:spacing w:after="0" w:line="240" w:lineRule="auto"/>
              <w:ind w:right="424"/>
              <w:rPr>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E6A14" w:rsidRPr="00296D82" w:rsidRDefault="005E6A14" w:rsidP="005E6A14">
            <w:pPr>
              <w:spacing w:after="0" w:line="240" w:lineRule="auto"/>
              <w:ind w:right="424"/>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6A14" w:rsidRPr="00296D82" w:rsidRDefault="005E6A14" w:rsidP="005E6A14">
            <w:pPr>
              <w:spacing w:after="0" w:line="240" w:lineRule="auto"/>
              <w:ind w:right="424"/>
              <w:rPr>
                <w:sz w:val="20"/>
                <w:szCs w:val="20"/>
              </w:rPr>
            </w:pPr>
          </w:p>
        </w:tc>
        <w:tc>
          <w:tcPr>
            <w:tcW w:w="1417" w:type="dxa"/>
            <w:tcBorders>
              <w:top w:val="nil"/>
              <w:left w:val="nil"/>
              <w:bottom w:val="single" w:sz="4" w:space="0" w:color="auto"/>
              <w:right w:val="single" w:sz="4" w:space="0" w:color="auto"/>
            </w:tcBorders>
            <w:shd w:val="clear" w:color="auto" w:fill="auto"/>
            <w:hideMark/>
          </w:tcPr>
          <w:p w:rsidR="005E6A14" w:rsidRPr="00296D82" w:rsidRDefault="005E6A14" w:rsidP="005E6A14">
            <w:pPr>
              <w:jc w:val="center"/>
              <w:rPr>
                <w:rFonts w:eastAsia="Times New Roman"/>
                <w:color w:val="000000" w:themeColor="text1"/>
                <w:sz w:val="20"/>
                <w:szCs w:val="20"/>
              </w:rPr>
            </w:pPr>
            <w:r w:rsidRPr="00296D82">
              <w:rPr>
                <w:rFonts w:eastAsia="Times New Roman"/>
                <w:color w:val="000000" w:themeColor="text1"/>
                <w:sz w:val="20"/>
                <w:szCs w:val="20"/>
              </w:rPr>
              <w:t>Уточненный план</w:t>
            </w:r>
          </w:p>
        </w:tc>
        <w:tc>
          <w:tcPr>
            <w:tcW w:w="1276" w:type="dxa"/>
            <w:tcBorders>
              <w:top w:val="nil"/>
              <w:left w:val="nil"/>
              <w:bottom w:val="single" w:sz="4" w:space="0" w:color="auto"/>
              <w:right w:val="single" w:sz="4" w:space="0" w:color="auto"/>
            </w:tcBorders>
            <w:shd w:val="clear" w:color="auto" w:fill="auto"/>
            <w:hideMark/>
          </w:tcPr>
          <w:p w:rsidR="005E6A14" w:rsidRPr="00296D82" w:rsidRDefault="005E6A14" w:rsidP="005E6A14">
            <w:pPr>
              <w:jc w:val="center"/>
              <w:rPr>
                <w:rFonts w:eastAsia="Times New Roman"/>
                <w:color w:val="000000" w:themeColor="text1"/>
                <w:sz w:val="20"/>
                <w:szCs w:val="20"/>
              </w:rPr>
            </w:pPr>
            <w:r w:rsidRPr="00296D82">
              <w:rPr>
                <w:rFonts w:eastAsia="Times New Roman"/>
                <w:color w:val="000000" w:themeColor="text1"/>
                <w:sz w:val="20"/>
                <w:szCs w:val="20"/>
              </w:rPr>
              <w:t>Исполнение</w:t>
            </w:r>
          </w:p>
        </w:tc>
        <w:tc>
          <w:tcPr>
            <w:tcW w:w="1275" w:type="dxa"/>
            <w:tcBorders>
              <w:top w:val="nil"/>
              <w:left w:val="nil"/>
              <w:bottom w:val="single" w:sz="4" w:space="0" w:color="auto"/>
              <w:right w:val="single" w:sz="4" w:space="0" w:color="auto"/>
            </w:tcBorders>
            <w:shd w:val="clear" w:color="auto" w:fill="auto"/>
            <w:hideMark/>
          </w:tcPr>
          <w:p w:rsidR="005E6A14" w:rsidRPr="00296D82" w:rsidRDefault="005E6A14" w:rsidP="005E6A14">
            <w:pPr>
              <w:spacing w:after="0"/>
              <w:jc w:val="center"/>
              <w:rPr>
                <w:rFonts w:eastAsia="Times New Roman"/>
                <w:color w:val="000000" w:themeColor="text1"/>
                <w:sz w:val="20"/>
                <w:szCs w:val="20"/>
              </w:rPr>
            </w:pPr>
            <w:r w:rsidRPr="00296D82">
              <w:rPr>
                <w:rFonts w:eastAsia="Times New Roman"/>
                <w:color w:val="000000" w:themeColor="text1"/>
                <w:sz w:val="20"/>
                <w:szCs w:val="20"/>
              </w:rPr>
              <w:t>% исполнения</w:t>
            </w:r>
          </w:p>
        </w:tc>
      </w:tr>
      <w:tr w:rsidR="005E6A14" w:rsidRPr="0019711E" w:rsidTr="005E6A14">
        <w:trPr>
          <w:trHeight w:val="231"/>
        </w:trPr>
        <w:tc>
          <w:tcPr>
            <w:tcW w:w="426" w:type="dxa"/>
            <w:tcBorders>
              <w:top w:val="nil"/>
              <w:left w:val="single" w:sz="4" w:space="0" w:color="auto"/>
              <w:bottom w:val="single" w:sz="4" w:space="0" w:color="auto"/>
              <w:right w:val="single" w:sz="4" w:space="0" w:color="auto"/>
            </w:tcBorders>
          </w:tcPr>
          <w:p w:rsidR="005E6A14" w:rsidRPr="0019711E" w:rsidRDefault="005E6A14" w:rsidP="005E6A14">
            <w:pPr>
              <w:spacing w:after="0" w:line="240" w:lineRule="auto"/>
              <w:ind w:right="424"/>
              <w:rPr>
                <w:sz w:val="20"/>
                <w:szCs w:val="20"/>
                <w:highlight w:val="yellow"/>
              </w:rPr>
            </w:pPr>
          </w:p>
        </w:tc>
        <w:tc>
          <w:tcPr>
            <w:tcW w:w="4110" w:type="dxa"/>
            <w:tcBorders>
              <w:top w:val="nil"/>
              <w:left w:val="single" w:sz="4" w:space="0" w:color="auto"/>
              <w:bottom w:val="single" w:sz="4" w:space="0" w:color="auto"/>
              <w:right w:val="single" w:sz="4" w:space="0" w:color="auto"/>
            </w:tcBorders>
            <w:shd w:val="clear" w:color="auto" w:fill="auto"/>
            <w:hideMark/>
          </w:tcPr>
          <w:p w:rsidR="005E6A14" w:rsidRPr="0019711E" w:rsidRDefault="005E6A14" w:rsidP="005E6A14">
            <w:pPr>
              <w:spacing w:after="0" w:line="240" w:lineRule="auto"/>
              <w:ind w:right="424"/>
              <w:jc w:val="left"/>
              <w:rPr>
                <w:sz w:val="20"/>
                <w:szCs w:val="20"/>
                <w:highlight w:val="yellow"/>
              </w:rPr>
            </w:pPr>
            <w:r w:rsidRPr="00D0244F">
              <w:rPr>
                <w:sz w:val="20"/>
                <w:szCs w:val="20"/>
              </w:rPr>
              <w:t>Всего по муниципальной программе, в том числе:</w:t>
            </w:r>
          </w:p>
        </w:tc>
        <w:tc>
          <w:tcPr>
            <w:tcW w:w="1276" w:type="dxa"/>
            <w:tcBorders>
              <w:top w:val="nil"/>
              <w:left w:val="nil"/>
              <w:bottom w:val="single" w:sz="4" w:space="0" w:color="auto"/>
              <w:right w:val="single" w:sz="4" w:space="0" w:color="auto"/>
            </w:tcBorders>
            <w:shd w:val="clear" w:color="auto" w:fill="auto"/>
            <w:hideMark/>
          </w:tcPr>
          <w:p w:rsidR="005E6A14" w:rsidRPr="00510C0D" w:rsidRDefault="005E6A14" w:rsidP="005E6A14">
            <w:pPr>
              <w:spacing w:after="0" w:line="240" w:lineRule="auto"/>
              <w:ind w:right="146"/>
              <w:jc w:val="center"/>
              <w:rPr>
                <w:sz w:val="20"/>
                <w:szCs w:val="20"/>
              </w:rPr>
            </w:pPr>
            <w:r w:rsidRPr="00510C0D">
              <w:rPr>
                <w:sz w:val="20"/>
                <w:szCs w:val="20"/>
              </w:rPr>
              <w:t>1 750,0</w:t>
            </w:r>
          </w:p>
        </w:tc>
        <w:tc>
          <w:tcPr>
            <w:tcW w:w="1417" w:type="dxa"/>
            <w:tcBorders>
              <w:top w:val="nil"/>
              <w:left w:val="nil"/>
              <w:bottom w:val="single" w:sz="4" w:space="0" w:color="auto"/>
              <w:right w:val="single" w:sz="4" w:space="0" w:color="auto"/>
            </w:tcBorders>
            <w:shd w:val="clear" w:color="auto" w:fill="auto"/>
          </w:tcPr>
          <w:p w:rsidR="005E6A14" w:rsidRPr="00571019" w:rsidRDefault="005E6A14" w:rsidP="005E6A14">
            <w:pPr>
              <w:spacing w:after="0" w:line="240" w:lineRule="auto"/>
              <w:ind w:right="146"/>
              <w:jc w:val="center"/>
              <w:rPr>
                <w:sz w:val="20"/>
                <w:szCs w:val="20"/>
              </w:rPr>
            </w:pPr>
            <w:r w:rsidRPr="00571019">
              <w:rPr>
                <w:sz w:val="20"/>
                <w:szCs w:val="20"/>
              </w:rPr>
              <w:t>921,6</w:t>
            </w:r>
          </w:p>
        </w:tc>
        <w:tc>
          <w:tcPr>
            <w:tcW w:w="1276" w:type="dxa"/>
            <w:tcBorders>
              <w:top w:val="nil"/>
              <w:left w:val="nil"/>
              <w:bottom w:val="single" w:sz="4" w:space="0" w:color="auto"/>
              <w:right w:val="single" w:sz="4" w:space="0" w:color="auto"/>
            </w:tcBorders>
            <w:shd w:val="clear" w:color="auto" w:fill="auto"/>
          </w:tcPr>
          <w:p w:rsidR="005E6A14" w:rsidRPr="00571019" w:rsidRDefault="005E6A14" w:rsidP="005E6A14">
            <w:pPr>
              <w:spacing w:after="0" w:line="240" w:lineRule="auto"/>
              <w:ind w:right="146"/>
              <w:jc w:val="center"/>
              <w:rPr>
                <w:sz w:val="20"/>
                <w:szCs w:val="20"/>
              </w:rPr>
            </w:pPr>
            <w:r w:rsidRPr="00571019">
              <w:rPr>
                <w:sz w:val="20"/>
                <w:szCs w:val="20"/>
              </w:rPr>
              <w:t>921,6</w:t>
            </w:r>
          </w:p>
        </w:tc>
        <w:tc>
          <w:tcPr>
            <w:tcW w:w="1275" w:type="dxa"/>
            <w:tcBorders>
              <w:top w:val="nil"/>
              <w:left w:val="nil"/>
              <w:bottom w:val="single" w:sz="4" w:space="0" w:color="auto"/>
              <w:right w:val="single" w:sz="4" w:space="0" w:color="auto"/>
            </w:tcBorders>
            <w:shd w:val="clear" w:color="auto" w:fill="auto"/>
            <w:hideMark/>
          </w:tcPr>
          <w:p w:rsidR="005E6A14" w:rsidRPr="00571019" w:rsidRDefault="005E6A14" w:rsidP="005E6A14">
            <w:pPr>
              <w:spacing w:after="0" w:line="240" w:lineRule="auto"/>
              <w:ind w:right="146"/>
              <w:jc w:val="center"/>
              <w:rPr>
                <w:sz w:val="20"/>
                <w:szCs w:val="20"/>
              </w:rPr>
            </w:pPr>
            <w:r w:rsidRPr="00571019">
              <w:rPr>
                <w:sz w:val="20"/>
                <w:szCs w:val="20"/>
              </w:rPr>
              <w:t>100%</w:t>
            </w:r>
          </w:p>
        </w:tc>
      </w:tr>
      <w:tr w:rsidR="005E6A14" w:rsidRPr="0019711E" w:rsidTr="005E6A14">
        <w:trPr>
          <w:trHeight w:val="568"/>
        </w:trPr>
        <w:tc>
          <w:tcPr>
            <w:tcW w:w="426" w:type="dxa"/>
            <w:tcBorders>
              <w:top w:val="nil"/>
              <w:left w:val="single" w:sz="4" w:space="0" w:color="auto"/>
              <w:bottom w:val="single" w:sz="4" w:space="0" w:color="auto"/>
              <w:right w:val="single" w:sz="4" w:space="0" w:color="auto"/>
            </w:tcBorders>
          </w:tcPr>
          <w:p w:rsidR="005E6A14" w:rsidRPr="00571019" w:rsidRDefault="005E6A14" w:rsidP="005E6A14">
            <w:pPr>
              <w:spacing w:after="0" w:line="240" w:lineRule="auto"/>
              <w:ind w:right="424"/>
              <w:jc w:val="center"/>
              <w:rPr>
                <w:sz w:val="20"/>
                <w:szCs w:val="20"/>
              </w:rPr>
            </w:pPr>
            <w:r w:rsidRPr="00571019">
              <w:rPr>
                <w:sz w:val="20"/>
                <w:szCs w:val="20"/>
              </w:rPr>
              <w:t>1</w:t>
            </w:r>
          </w:p>
        </w:tc>
        <w:tc>
          <w:tcPr>
            <w:tcW w:w="4110" w:type="dxa"/>
            <w:tcBorders>
              <w:top w:val="nil"/>
              <w:left w:val="single" w:sz="4" w:space="0" w:color="auto"/>
              <w:bottom w:val="single" w:sz="4" w:space="0" w:color="auto"/>
              <w:right w:val="single" w:sz="4" w:space="0" w:color="auto"/>
            </w:tcBorders>
            <w:shd w:val="clear" w:color="auto" w:fill="auto"/>
            <w:hideMark/>
          </w:tcPr>
          <w:p w:rsidR="005E6A14" w:rsidRPr="00571019" w:rsidRDefault="005E6A14" w:rsidP="005E6A14">
            <w:pPr>
              <w:spacing w:after="0" w:line="240" w:lineRule="auto"/>
              <w:ind w:right="424"/>
              <w:jc w:val="left"/>
              <w:rPr>
                <w:bCs/>
                <w:sz w:val="20"/>
                <w:szCs w:val="20"/>
              </w:rPr>
            </w:pPr>
            <w:r w:rsidRPr="00571019">
              <w:rPr>
                <w:bCs/>
                <w:sz w:val="20"/>
                <w:szCs w:val="20"/>
              </w:rPr>
              <w:t>Муниципальное бюджетное учреждение «Культурно-досуговый центр «Октябрь»</w:t>
            </w:r>
          </w:p>
        </w:tc>
        <w:tc>
          <w:tcPr>
            <w:tcW w:w="1276" w:type="dxa"/>
            <w:tcBorders>
              <w:top w:val="nil"/>
              <w:left w:val="nil"/>
              <w:bottom w:val="single" w:sz="4" w:space="0" w:color="auto"/>
              <w:right w:val="single" w:sz="4" w:space="0" w:color="auto"/>
            </w:tcBorders>
            <w:shd w:val="clear" w:color="auto" w:fill="auto"/>
            <w:hideMark/>
          </w:tcPr>
          <w:p w:rsidR="005E6A14" w:rsidRPr="00571019" w:rsidRDefault="005E6A14" w:rsidP="005E6A14">
            <w:pPr>
              <w:ind w:left="-79"/>
              <w:jc w:val="center"/>
            </w:pPr>
            <w:r w:rsidRPr="00571019">
              <w:rPr>
                <w:sz w:val="20"/>
                <w:szCs w:val="20"/>
              </w:rPr>
              <w:t>214,7</w:t>
            </w:r>
          </w:p>
        </w:tc>
        <w:tc>
          <w:tcPr>
            <w:tcW w:w="1417" w:type="dxa"/>
            <w:tcBorders>
              <w:top w:val="nil"/>
              <w:left w:val="nil"/>
              <w:bottom w:val="single" w:sz="4" w:space="0" w:color="auto"/>
              <w:right w:val="single" w:sz="4" w:space="0" w:color="auto"/>
            </w:tcBorders>
            <w:shd w:val="clear" w:color="auto" w:fill="auto"/>
          </w:tcPr>
          <w:p w:rsidR="005E6A14" w:rsidRPr="00571019" w:rsidRDefault="005E6A14" w:rsidP="005E6A14">
            <w:pPr>
              <w:ind w:left="-108"/>
              <w:jc w:val="center"/>
            </w:pPr>
            <w:r w:rsidRPr="00571019">
              <w:rPr>
                <w:sz w:val="20"/>
                <w:szCs w:val="20"/>
              </w:rPr>
              <w:t>214,7</w:t>
            </w:r>
          </w:p>
        </w:tc>
        <w:tc>
          <w:tcPr>
            <w:tcW w:w="1276" w:type="dxa"/>
            <w:tcBorders>
              <w:top w:val="nil"/>
              <w:left w:val="nil"/>
              <w:bottom w:val="single" w:sz="4" w:space="0" w:color="auto"/>
              <w:right w:val="single" w:sz="4" w:space="0" w:color="auto"/>
            </w:tcBorders>
            <w:shd w:val="clear" w:color="auto" w:fill="auto"/>
          </w:tcPr>
          <w:p w:rsidR="005E6A14" w:rsidRPr="00571019" w:rsidRDefault="005E6A14" w:rsidP="005E6A14">
            <w:pPr>
              <w:ind w:left="-79"/>
              <w:jc w:val="center"/>
            </w:pPr>
            <w:r w:rsidRPr="00571019">
              <w:rPr>
                <w:sz w:val="20"/>
                <w:szCs w:val="20"/>
              </w:rPr>
              <w:t>214,7</w:t>
            </w:r>
          </w:p>
        </w:tc>
        <w:tc>
          <w:tcPr>
            <w:tcW w:w="1275" w:type="dxa"/>
            <w:tcBorders>
              <w:top w:val="nil"/>
              <w:left w:val="nil"/>
              <w:bottom w:val="single" w:sz="4" w:space="0" w:color="auto"/>
              <w:right w:val="single" w:sz="4" w:space="0" w:color="auto"/>
            </w:tcBorders>
            <w:shd w:val="clear" w:color="auto" w:fill="auto"/>
            <w:hideMark/>
          </w:tcPr>
          <w:p w:rsidR="005E6A14" w:rsidRPr="00571019" w:rsidRDefault="005E6A14" w:rsidP="005E6A14">
            <w:pPr>
              <w:spacing w:after="0" w:line="240" w:lineRule="auto"/>
              <w:ind w:right="146"/>
              <w:jc w:val="center"/>
              <w:rPr>
                <w:sz w:val="20"/>
                <w:szCs w:val="20"/>
              </w:rPr>
            </w:pPr>
            <w:r w:rsidRPr="00571019">
              <w:rPr>
                <w:sz w:val="20"/>
                <w:szCs w:val="20"/>
              </w:rPr>
              <w:t>100%</w:t>
            </w:r>
          </w:p>
        </w:tc>
      </w:tr>
      <w:tr w:rsidR="005E6A14" w:rsidRPr="0019711E" w:rsidTr="005E6A14">
        <w:trPr>
          <w:trHeight w:val="680"/>
        </w:trPr>
        <w:tc>
          <w:tcPr>
            <w:tcW w:w="426" w:type="dxa"/>
            <w:tcBorders>
              <w:top w:val="nil"/>
              <w:left w:val="single" w:sz="4" w:space="0" w:color="auto"/>
              <w:bottom w:val="single" w:sz="4" w:space="0" w:color="auto"/>
              <w:right w:val="single" w:sz="4" w:space="0" w:color="auto"/>
            </w:tcBorders>
          </w:tcPr>
          <w:p w:rsidR="005E6A14" w:rsidRPr="00571019" w:rsidRDefault="005E6A14" w:rsidP="005E6A14">
            <w:pPr>
              <w:spacing w:after="0" w:line="240" w:lineRule="auto"/>
              <w:ind w:right="424"/>
              <w:jc w:val="center"/>
              <w:rPr>
                <w:bCs/>
                <w:sz w:val="20"/>
                <w:szCs w:val="20"/>
              </w:rPr>
            </w:pPr>
            <w:r w:rsidRPr="00571019">
              <w:rPr>
                <w:bCs/>
                <w:sz w:val="20"/>
                <w:szCs w:val="20"/>
              </w:rPr>
              <w:t>2</w:t>
            </w:r>
          </w:p>
        </w:tc>
        <w:tc>
          <w:tcPr>
            <w:tcW w:w="4110" w:type="dxa"/>
            <w:tcBorders>
              <w:top w:val="nil"/>
              <w:left w:val="single" w:sz="4" w:space="0" w:color="auto"/>
              <w:bottom w:val="single" w:sz="4" w:space="0" w:color="auto"/>
              <w:right w:val="single" w:sz="4" w:space="0" w:color="auto"/>
            </w:tcBorders>
            <w:shd w:val="clear" w:color="auto" w:fill="auto"/>
            <w:hideMark/>
          </w:tcPr>
          <w:p w:rsidR="005E6A14" w:rsidRPr="00571019" w:rsidRDefault="005E6A14" w:rsidP="005E6A14">
            <w:pPr>
              <w:spacing w:after="0" w:line="240" w:lineRule="auto"/>
              <w:ind w:right="424"/>
              <w:jc w:val="left"/>
              <w:rPr>
                <w:bCs/>
                <w:sz w:val="20"/>
                <w:szCs w:val="20"/>
              </w:rPr>
            </w:pPr>
            <w:r w:rsidRPr="00571019">
              <w:rPr>
                <w:bCs/>
                <w:sz w:val="20"/>
                <w:szCs w:val="20"/>
              </w:rPr>
              <w:t xml:space="preserve">Муниципальное бюджетное учреждение «Городская централизованная библиотечная система» </w:t>
            </w:r>
          </w:p>
        </w:tc>
        <w:tc>
          <w:tcPr>
            <w:tcW w:w="1276" w:type="dxa"/>
            <w:tcBorders>
              <w:top w:val="nil"/>
              <w:left w:val="nil"/>
              <w:bottom w:val="single" w:sz="4" w:space="0" w:color="auto"/>
              <w:right w:val="single" w:sz="4" w:space="0" w:color="auto"/>
            </w:tcBorders>
            <w:shd w:val="clear" w:color="auto" w:fill="auto"/>
            <w:hideMark/>
          </w:tcPr>
          <w:p w:rsidR="005E6A14" w:rsidRPr="00571019" w:rsidRDefault="005E6A14" w:rsidP="005E6A14">
            <w:pPr>
              <w:spacing w:after="0" w:line="240" w:lineRule="auto"/>
              <w:ind w:right="146"/>
              <w:jc w:val="center"/>
              <w:rPr>
                <w:bCs/>
                <w:sz w:val="20"/>
                <w:szCs w:val="20"/>
              </w:rPr>
            </w:pPr>
            <w:r w:rsidRPr="00571019">
              <w:rPr>
                <w:bCs/>
                <w:sz w:val="20"/>
                <w:szCs w:val="20"/>
              </w:rPr>
              <w:t>738,8</w:t>
            </w:r>
          </w:p>
        </w:tc>
        <w:tc>
          <w:tcPr>
            <w:tcW w:w="1417" w:type="dxa"/>
            <w:tcBorders>
              <w:top w:val="nil"/>
              <w:left w:val="nil"/>
              <w:bottom w:val="single" w:sz="4" w:space="0" w:color="auto"/>
              <w:right w:val="single" w:sz="4" w:space="0" w:color="auto"/>
            </w:tcBorders>
            <w:shd w:val="clear" w:color="auto" w:fill="auto"/>
          </w:tcPr>
          <w:p w:rsidR="005E6A14" w:rsidRPr="00571019" w:rsidRDefault="005E6A14" w:rsidP="005E6A14">
            <w:pPr>
              <w:spacing w:after="0" w:line="240" w:lineRule="auto"/>
              <w:ind w:right="146"/>
              <w:jc w:val="center"/>
              <w:rPr>
                <w:bCs/>
                <w:sz w:val="20"/>
                <w:szCs w:val="20"/>
              </w:rPr>
            </w:pPr>
            <w:r w:rsidRPr="00571019">
              <w:rPr>
                <w:bCs/>
                <w:sz w:val="20"/>
                <w:szCs w:val="20"/>
              </w:rPr>
              <w:t>0,0</w:t>
            </w:r>
          </w:p>
        </w:tc>
        <w:tc>
          <w:tcPr>
            <w:tcW w:w="1276" w:type="dxa"/>
            <w:tcBorders>
              <w:top w:val="nil"/>
              <w:left w:val="nil"/>
              <w:bottom w:val="single" w:sz="4" w:space="0" w:color="auto"/>
              <w:right w:val="single" w:sz="4" w:space="0" w:color="auto"/>
            </w:tcBorders>
            <w:shd w:val="clear" w:color="auto" w:fill="auto"/>
          </w:tcPr>
          <w:p w:rsidR="005E6A14" w:rsidRPr="00571019" w:rsidRDefault="005E6A14" w:rsidP="005E6A14">
            <w:pPr>
              <w:spacing w:after="0" w:line="240" w:lineRule="auto"/>
              <w:ind w:right="146"/>
              <w:jc w:val="center"/>
              <w:rPr>
                <w:bCs/>
                <w:sz w:val="20"/>
                <w:szCs w:val="20"/>
              </w:rPr>
            </w:pPr>
            <w:r w:rsidRPr="00571019">
              <w:rPr>
                <w:bCs/>
                <w:sz w:val="20"/>
                <w:szCs w:val="20"/>
              </w:rPr>
              <w:t>0,0</w:t>
            </w:r>
          </w:p>
        </w:tc>
        <w:tc>
          <w:tcPr>
            <w:tcW w:w="1275" w:type="dxa"/>
            <w:tcBorders>
              <w:top w:val="nil"/>
              <w:left w:val="nil"/>
              <w:bottom w:val="single" w:sz="4" w:space="0" w:color="auto"/>
              <w:right w:val="single" w:sz="4" w:space="0" w:color="auto"/>
            </w:tcBorders>
            <w:shd w:val="clear" w:color="auto" w:fill="auto"/>
            <w:hideMark/>
          </w:tcPr>
          <w:p w:rsidR="005E6A14" w:rsidRPr="00571019" w:rsidRDefault="005E6A14" w:rsidP="005E6A14">
            <w:pPr>
              <w:spacing w:after="0" w:line="240" w:lineRule="auto"/>
              <w:ind w:right="146"/>
              <w:jc w:val="center"/>
              <w:rPr>
                <w:bCs/>
                <w:sz w:val="20"/>
                <w:szCs w:val="20"/>
              </w:rPr>
            </w:pPr>
            <w:r w:rsidRPr="00571019">
              <w:rPr>
                <w:bCs/>
                <w:sz w:val="20"/>
                <w:szCs w:val="20"/>
              </w:rPr>
              <w:t>0%</w:t>
            </w:r>
          </w:p>
        </w:tc>
      </w:tr>
      <w:tr w:rsidR="005E6A14" w:rsidRPr="0019711E" w:rsidTr="005E6A14">
        <w:trPr>
          <w:trHeight w:val="693"/>
        </w:trPr>
        <w:tc>
          <w:tcPr>
            <w:tcW w:w="426" w:type="dxa"/>
            <w:tcBorders>
              <w:top w:val="nil"/>
              <w:left w:val="single" w:sz="4" w:space="0" w:color="auto"/>
              <w:bottom w:val="single" w:sz="4" w:space="0" w:color="auto"/>
              <w:right w:val="single" w:sz="4" w:space="0" w:color="auto"/>
            </w:tcBorders>
          </w:tcPr>
          <w:p w:rsidR="005E6A14" w:rsidRPr="00571019" w:rsidRDefault="005E6A14" w:rsidP="005E6A14">
            <w:pPr>
              <w:spacing w:after="0" w:line="240" w:lineRule="auto"/>
              <w:ind w:right="424"/>
              <w:jc w:val="center"/>
              <w:rPr>
                <w:bCs/>
                <w:sz w:val="20"/>
                <w:szCs w:val="20"/>
              </w:rPr>
            </w:pPr>
            <w:r w:rsidRPr="00571019">
              <w:rPr>
                <w:bCs/>
                <w:sz w:val="20"/>
                <w:szCs w:val="20"/>
              </w:rPr>
              <w:t>3</w:t>
            </w:r>
          </w:p>
        </w:tc>
        <w:tc>
          <w:tcPr>
            <w:tcW w:w="4110" w:type="dxa"/>
            <w:tcBorders>
              <w:top w:val="nil"/>
              <w:left w:val="single" w:sz="4" w:space="0" w:color="auto"/>
              <w:bottom w:val="single" w:sz="4" w:space="0" w:color="auto"/>
              <w:right w:val="single" w:sz="4" w:space="0" w:color="auto"/>
            </w:tcBorders>
            <w:shd w:val="clear" w:color="auto" w:fill="auto"/>
            <w:hideMark/>
          </w:tcPr>
          <w:p w:rsidR="005E6A14" w:rsidRPr="00571019" w:rsidRDefault="005E6A14" w:rsidP="005E6A14">
            <w:pPr>
              <w:spacing w:after="0" w:line="240" w:lineRule="auto"/>
              <w:ind w:right="424"/>
              <w:jc w:val="left"/>
              <w:rPr>
                <w:sz w:val="20"/>
                <w:szCs w:val="20"/>
              </w:rPr>
            </w:pPr>
            <w:r w:rsidRPr="00571019">
              <w:rPr>
                <w:sz w:val="20"/>
                <w:szCs w:val="20"/>
              </w:rPr>
              <w:t>Муниципальное бюджетное учреждение «Спортивный комплекс «Дружба»</w:t>
            </w:r>
          </w:p>
        </w:tc>
        <w:tc>
          <w:tcPr>
            <w:tcW w:w="1276" w:type="dxa"/>
            <w:tcBorders>
              <w:top w:val="nil"/>
              <w:left w:val="nil"/>
              <w:bottom w:val="single" w:sz="4" w:space="0" w:color="auto"/>
              <w:right w:val="single" w:sz="4" w:space="0" w:color="auto"/>
            </w:tcBorders>
            <w:shd w:val="clear" w:color="auto" w:fill="auto"/>
            <w:hideMark/>
          </w:tcPr>
          <w:p w:rsidR="005E6A14" w:rsidRPr="00571019" w:rsidRDefault="005E6A14" w:rsidP="005E6A14">
            <w:pPr>
              <w:spacing w:after="0" w:line="240" w:lineRule="auto"/>
              <w:ind w:right="146"/>
              <w:jc w:val="center"/>
              <w:rPr>
                <w:sz w:val="20"/>
                <w:szCs w:val="20"/>
              </w:rPr>
            </w:pPr>
            <w:r w:rsidRPr="00571019">
              <w:rPr>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571019" w:rsidRDefault="005E6A14" w:rsidP="005E6A14">
            <w:pPr>
              <w:spacing w:after="0" w:line="240" w:lineRule="auto"/>
              <w:ind w:right="5"/>
              <w:jc w:val="center"/>
              <w:rPr>
                <w:sz w:val="20"/>
                <w:szCs w:val="20"/>
              </w:rPr>
            </w:pPr>
            <w:r w:rsidRPr="00571019">
              <w:rPr>
                <w:sz w:val="20"/>
                <w:szCs w:val="20"/>
              </w:rPr>
              <w:t>235,1</w:t>
            </w:r>
          </w:p>
        </w:tc>
        <w:tc>
          <w:tcPr>
            <w:tcW w:w="1276" w:type="dxa"/>
            <w:tcBorders>
              <w:top w:val="nil"/>
              <w:left w:val="nil"/>
              <w:bottom w:val="single" w:sz="4" w:space="0" w:color="auto"/>
              <w:right w:val="single" w:sz="4" w:space="0" w:color="auto"/>
            </w:tcBorders>
            <w:shd w:val="clear" w:color="auto" w:fill="auto"/>
          </w:tcPr>
          <w:p w:rsidR="005E6A14" w:rsidRPr="00571019" w:rsidRDefault="005E6A14" w:rsidP="005E6A14">
            <w:pPr>
              <w:spacing w:after="0" w:line="240" w:lineRule="auto"/>
              <w:ind w:right="146"/>
              <w:jc w:val="center"/>
              <w:rPr>
                <w:sz w:val="20"/>
                <w:szCs w:val="20"/>
              </w:rPr>
            </w:pPr>
            <w:r w:rsidRPr="00571019">
              <w:rPr>
                <w:sz w:val="20"/>
                <w:szCs w:val="20"/>
              </w:rPr>
              <w:t>235,1</w:t>
            </w:r>
          </w:p>
        </w:tc>
        <w:tc>
          <w:tcPr>
            <w:tcW w:w="1275" w:type="dxa"/>
            <w:tcBorders>
              <w:top w:val="nil"/>
              <w:left w:val="nil"/>
              <w:bottom w:val="single" w:sz="4" w:space="0" w:color="auto"/>
              <w:right w:val="single" w:sz="4" w:space="0" w:color="auto"/>
            </w:tcBorders>
            <w:shd w:val="clear" w:color="auto" w:fill="auto"/>
            <w:hideMark/>
          </w:tcPr>
          <w:p w:rsidR="005E6A14" w:rsidRPr="00571019" w:rsidRDefault="005E6A14" w:rsidP="005E6A14">
            <w:pPr>
              <w:spacing w:after="0" w:line="240" w:lineRule="auto"/>
              <w:ind w:right="146"/>
              <w:jc w:val="center"/>
              <w:rPr>
                <w:sz w:val="20"/>
                <w:szCs w:val="20"/>
              </w:rPr>
            </w:pPr>
            <w:r w:rsidRPr="00571019">
              <w:rPr>
                <w:sz w:val="20"/>
                <w:szCs w:val="20"/>
              </w:rPr>
              <w:t>100%</w:t>
            </w:r>
          </w:p>
        </w:tc>
      </w:tr>
      <w:tr w:rsidR="005E6A14" w:rsidRPr="0019711E" w:rsidTr="005E6A14">
        <w:trPr>
          <w:trHeight w:val="689"/>
        </w:trPr>
        <w:tc>
          <w:tcPr>
            <w:tcW w:w="426" w:type="dxa"/>
            <w:tcBorders>
              <w:top w:val="nil"/>
              <w:left w:val="single" w:sz="4" w:space="0" w:color="auto"/>
              <w:bottom w:val="single" w:sz="4" w:space="0" w:color="auto"/>
              <w:right w:val="single" w:sz="4" w:space="0" w:color="auto"/>
            </w:tcBorders>
          </w:tcPr>
          <w:p w:rsidR="005E6A14" w:rsidRPr="00571019" w:rsidRDefault="005E6A14" w:rsidP="005E6A14">
            <w:pPr>
              <w:spacing w:after="0" w:line="240" w:lineRule="auto"/>
              <w:ind w:right="424"/>
              <w:jc w:val="center"/>
              <w:rPr>
                <w:bCs/>
                <w:sz w:val="20"/>
                <w:szCs w:val="20"/>
              </w:rPr>
            </w:pPr>
            <w:r w:rsidRPr="00571019">
              <w:rPr>
                <w:bCs/>
                <w:sz w:val="20"/>
                <w:szCs w:val="20"/>
              </w:rPr>
              <w:t>4</w:t>
            </w:r>
          </w:p>
        </w:tc>
        <w:tc>
          <w:tcPr>
            <w:tcW w:w="4110" w:type="dxa"/>
            <w:tcBorders>
              <w:top w:val="nil"/>
              <w:left w:val="single" w:sz="4" w:space="0" w:color="auto"/>
              <w:bottom w:val="single" w:sz="4" w:space="0" w:color="auto"/>
              <w:right w:val="single" w:sz="4" w:space="0" w:color="auto"/>
            </w:tcBorders>
            <w:shd w:val="clear" w:color="auto" w:fill="auto"/>
            <w:hideMark/>
          </w:tcPr>
          <w:p w:rsidR="005E6A14" w:rsidRPr="00571019" w:rsidRDefault="005E6A14" w:rsidP="005E6A14">
            <w:pPr>
              <w:spacing w:after="0" w:line="240" w:lineRule="auto"/>
              <w:ind w:right="424"/>
              <w:jc w:val="left"/>
              <w:rPr>
                <w:sz w:val="20"/>
                <w:szCs w:val="20"/>
              </w:rPr>
            </w:pPr>
            <w:r w:rsidRPr="00571019">
              <w:rPr>
                <w:sz w:val="20"/>
                <w:szCs w:val="20"/>
              </w:rPr>
              <w:t xml:space="preserve">Муниципальное казенное учреждение «Служба муниципального заказа в жилищно-коммунальном хозяйстве» </w:t>
            </w:r>
          </w:p>
        </w:tc>
        <w:tc>
          <w:tcPr>
            <w:tcW w:w="1276" w:type="dxa"/>
            <w:tcBorders>
              <w:top w:val="nil"/>
              <w:left w:val="nil"/>
              <w:bottom w:val="single" w:sz="4" w:space="0" w:color="auto"/>
              <w:right w:val="single" w:sz="4" w:space="0" w:color="auto"/>
            </w:tcBorders>
            <w:shd w:val="clear" w:color="auto" w:fill="auto"/>
            <w:hideMark/>
          </w:tcPr>
          <w:p w:rsidR="005E6A14" w:rsidRPr="00571019" w:rsidRDefault="005E6A14" w:rsidP="005E6A14">
            <w:pPr>
              <w:spacing w:after="0" w:line="240" w:lineRule="auto"/>
              <w:ind w:right="146"/>
              <w:jc w:val="center"/>
              <w:rPr>
                <w:sz w:val="20"/>
                <w:szCs w:val="20"/>
              </w:rPr>
            </w:pPr>
            <w:r w:rsidRPr="00571019">
              <w:rPr>
                <w:sz w:val="20"/>
                <w:szCs w:val="20"/>
              </w:rPr>
              <w:t>796,5</w:t>
            </w:r>
          </w:p>
        </w:tc>
        <w:tc>
          <w:tcPr>
            <w:tcW w:w="1417" w:type="dxa"/>
            <w:tcBorders>
              <w:top w:val="nil"/>
              <w:left w:val="nil"/>
              <w:bottom w:val="single" w:sz="4" w:space="0" w:color="auto"/>
              <w:right w:val="single" w:sz="4" w:space="0" w:color="auto"/>
            </w:tcBorders>
            <w:shd w:val="clear" w:color="auto" w:fill="auto"/>
          </w:tcPr>
          <w:p w:rsidR="005E6A14" w:rsidRPr="00571019" w:rsidRDefault="005E6A14" w:rsidP="005E6A14">
            <w:pPr>
              <w:spacing w:after="0" w:line="240" w:lineRule="auto"/>
              <w:ind w:right="146"/>
              <w:jc w:val="center"/>
              <w:rPr>
                <w:sz w:val="20"/>
                <w:szCs w:val="20"/>
              </w:rPr>
            </w:pPr>
            <w:r w:rsidRPr="00571019">
              <w:rPr>
                <w:sz w:val="20"/>
                <w:szCs w:val="20"/>
              </w:rPr>
              <w:t xml:space="preserve">  471,8</w:t>
            </w:r>
          </w:p>
        </w:tc>
        <w:tc>
          <w:tcPr>
            <w:tcW w:w="1276" w:type="dxa"/>
            <w:tcBorders>
              <w:top w:val="nil"/>
              <w:left w:val="nil"/>
              <w:bottom w:val="single" w:sz="4" w:space="0" w:color="auto"/>
              <w:right w:val="single" w:sz="4" w:space="0" w:color="auto"/>
            </w:tcBorders>
            <w:shd w:val="clear" w:color="auto" w:fill="auto"/>
          </w:tcPr>
          <w:p w:rsidR="005E6A14" w:rsidRPr="00571019" w:rsidRDefault="005E6A14" w:rsidP="005E6A14">
            <w:pPr>
              <w:spacing w:after="0" w:line="240" w:lineRule="auto"/>
              <w:ind w:right="146"/>
              <w:jc w:val="center"/>
              <w:rPr>
                <w:sz w:val="20"/>
                <w:szCs w:val="20"/>
              </w:rPr>
            </w:pPr>
            <w:r w:rsidRPr="00571019">
              <w:rPr>
                <w:sz w:val="20"/>
                <w:szCs w:val="20"/>
              </w:rPr>
              <w:t xml:space="preserve"> 471,8</w:t>
            </w:r>
          </w:p>
        </w:tc>
        <w:tc>
          <w:tcPr>
            <w:tcW w:w="1275" w:type="dxa"/>
            <w:tcBorders>
              <w:top w:val="nil"/>
              <w:left w:val="nil"/>
              <w:bottom w:val="single" w:sz="4" w:space="0" w:color="auto"/>
              <w:right w:val="single" w:sz="4" w:space="0" w:color="auto"/>
            </w:tcBorders>
            <w:shd w:val="clear" w:color="auto" w:fill="auto"/>
            <w:hideMark/>
          </w:tcPr>
          <w:p w:rsidR="005E6A14" w:rsidRPr="00571019" w:rsidRDefault="005E6A14" w:rsidP="005E6A14">
            <w:pPr>
              <w:spacing w:after="0" w:line="240" w:lineRule="auto"/>
              <w:ind w:right="146"/>
              <w:jc w:val="center"/>
              <w:rPr>
                <w:sz w:val="20"/>
                <w:szCs w:val="20"/>
              </w:rPr>
            </w:pPr>
            <w:r w:rsidRPr="00571019">
              <w:rPr>
                <w:sz w:val="20"/>
                <w:szCs w:val="20"/>
              </w:rPr>
              <w:t>100%</w:t>
            </w:r>
          </w:p>
        </w:tc>
      </w:tr>
    </w:tbl>
    <w:p w:rsidR="005E6A14" w:rsidRPr="0019711E" w:rsidRDefault="005E6A14" w:rsidP="005E6A14">
      <w:pPr>
        <w:pStyle w:val="ConsPlusTitle"/>
        <w:spacing w:line="276" w:lineRule="auto"/>
        <w:ind w:right="424"/>
        <w:jc w:val="both"/>
        <w:rPr>
          <w:rFonts w:ascii="Times New Roman" w:hAnsi="Times New Roman" w:cs="Times New Roman"/>
          <w:b w:val="0"/>
          <w:bCs w:val="0"/>
          <w:sz w:val="28"/>
          <w:szCs w:val="28"/>
          <w:highlight w:val="yellow"/>
        </w:rPr>
      </w:pPr>
    </w:p>
    <w:p w:rsidR="005E6A14" w:rsidRPr="00951A98" w:rsidRDefault="005E6A14" w:rsidP="005E6A14">
      <w:pPr>
        <w:pStyle w:val="ae"/>
        <w:tabs>
          <w:tab w:val="left" w:pos="0"/>
        </w:tabs>
        <w:suppressAutoHyphens/>
        <w:spacing w:before="0" w:beforeAutospacing="0" w:after="0" w:afterAutospacing="0" w:line="276" w:lineRule="auto"/>
        <w:ind w:right="424" w:firstLine="709"/>
      </w:pPr>
      <w:r w:rsidRPr="00951A98">
        <w:t>Рисунок 3.1.2.</w:t>
      </w:r>
    </w:p>
    <w:p w:rsidR="005E6A14" w:rsidRDefault="005E6A14" w:rsidP="005E6A14">
      <w:pPr>
        <w:jc w:val="center"/>
        <w:rPr>
          <w:b/>
          <w:sz w:val="28"/>
          <w:szCs w:val="28"/>
        </w:rPr>
      </w:pPr>
      <w:r w:rsidRPr="00951A98">
        <w:rPr>
          <w:b/>
          <w:sz w:val="28"/>
          <w:szCs w:val="28"/>
        </w:rPr>
        <w:t>Структура расходов муниципальной программы «Доступная среда в городе Ханты-Мансийске», тыс. рублей</w:t>
      </w:r>
    </w:p>
    <w:p w:rsidR="00D96B35" w:rsidRDefault="00D96B35" w:rsidP="005E6A14">
      <w:pPr>
        <w:jc w:val="center"/>
        <w:rPr>
          <w:b/>
          <w:sz w:val="28"/>
          <w:szCs w:val="28"/>
        </w:rPr>
      </w:pPr>
    </w:p>
    <w:p w:rsidR="005E6A14" w:rsidRPr="00951A98" w:rsidRDefault="00D96B35" w:rsidP="00D96B35">
      <w:pPr>
        <w:jc w:val="center"/>
        <w:rPr>
          <w:b/>
          <w:sz w:val="28"/>
          <w:szCs w:val="28"/>
        </w:rPr>
      </w:pPr>
      <w:r>
        <w:rPr>
          <w:noProof/>
        </w:rPr>
        <w:drawing>
          <wp:inline distT="0" distB="0" distL="0" distR="0" wp14:anchorId="6AD37934" wp14:editId="4DDDBEF8">
            <wp:extent cx="5940425" cy="2628900"/>
            <wp:effectExtent l="0" t="0" r="3175" b="0"/>
            <wp:docPr id="451" name="Диаграмма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A14" w:rsidRPr="00C3297C" w:rsidRDefault="005E6A14" w:rsidP="005E6A14">
      <w:pPr>
        <w:pStyle w:val="ae"/>
        <w:tabs>
          <w:tab w:val="left" w:pos="459"/>
        </w:tabs>
        <w:suppressAutoHyphens/>
        <w:spacing w:before="0" w:beforeAutospacing="0" w:after="0" w:afterAutospacing="0" w:line="276" w:lineRule="auto"/>
        <w:ind w:right="424"/>
        <w:jc w:val="both"/>
      </w:pPr>
    </w:p>
    <w:p w:rsidR="005E6A14" w:rsidRPr="00C3297C" w:rsidRDefault="005E6A14" w:rsidP="005E6A14">
      <w:pPr>
        <w:pStyle w:val="ae"/>
        <w:tabs>
          <w:tab w:val="left" w:pos="459"/>
        </w:tabs>
        <w:suppressAutoHyphens/>
        <w:spacing w:before="0" w:beforeAutospacing="0" w:after="0" w:afterAutospacing="0" w:line="276" w:lineRule="auto"/>
        <w:ind w:right="424" w:firstLine="709"/>
      </w:pPr>
      <w:r w:rsidRPr="00C3297C">
        <w:t>Таблица 3.1.2.</w:t>
      </w:r>
    </w:p>
    <w:p w:rsidR="005E6A14" w:rsidRPr="00C3297C" w:rsidRDefault="005E6A14" w:rsidP="005E6A14">
      <w:pPr>
        <w:pStyle w:val="ae"/>
        <w:tabs>
          <w:tab w:val="left" w:pos="459"/>
        </w:tabs>
        <w:suppressAutoHyphens/>
        <w:spacing w:before="0" w:beforeAutospacing="0" w:after="0" w:afterAutospacing="0" w:line="276" w:lineRule="auto"/>
        <w:ind w:right="424" w:firstLine="709"/>
      </w:pPr>
    </w:p>
    <w:p w:rsidR="005E6A14" w:rsidRPr="00C3297C" w:rsidRDefault="005E6A14" w:rsidP="005E6A14">
      <w:pPr>
        <w:jc w:val="center"/>
        <w:rPr>
          <w:b/>
          <w:sz w:val="28"/>
          <w:szCs w:val="28"/>
        </w:rPr>
      </w:pPr>
      <w:bookmarkStart w:id="13" w:name="_Toc3795515"/>
      <w:r w:rsidRPr="00C3297C">
        <w:rPr>
          <w:b/>
          <w:sz w:val="28"/>
          <w:szCs w:val="28"/>
        </w:rPr>
        <w:lastRenderedPageBreak/>
        <w:t>Структура расходов муниципальной программы «Доступная среда в городе Ханты-Мансийске»</w:t>
      </w:r>
      <w:bookmarkEnd w:id="13"/>
    </w:p>
    <w:p w:rsidR="005E6A14" w:rsidRPr="00C3297C" w:rsidRDefault="005E6A14" w:rsidP="005E6A14">
      <w:pPr>
        <w:pStyle w:val="ae"/>
        <w:tabs>
          <w:tab w:val="left" w:pos="459"/>
        </w:tabs>
        <w:suppressAutoHyphens/>
        <w:spacing w:before="0" w:beforeAutospacing="0" w:after="0" w:afterAutospacing="0" w:line="276" w:lineRule="auto"/>
        <w:ind w:right="424" w:firstLine="709"/>
      </w:pPr>
      <w:r w:rsidRPr="00C3297C">
        <w:t xml:space="preserve"> (тыс. рублей)</w:t>
      </w: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1442"/>
        <w:gridCol w:w="1450"/>
        <w:gridCol w:w="1255"/>
        <w:gridCol w:w="1221"/>
      </w:tblGrid>
      <w:tr w:rsidR="005E6A14" w:rsidRPr="0019711E" w:rsidTr="005E6A14">
        <w:trPr>
          <w:trHeight w:val="300"/>
          <w:tblHeader/>
        </w:trPr>
        <w:tc>
          <w:tcPr>
            <w:tcW w:w="4379" w:type="dxa"/>
            <w:vMerge w:val="restart"/>
            <w:hideMark/>
          </w:tcPr>
          <w:p w:rsidR="005E6A14" w:rsidRPr="00093C17" w:rsidRDefault="005E6A14" w:rsidP="005E6A14">
            <w:pPr>
              <w:spacing w:after="0" w:line="240" w:lineRule="auto"/>
              <w:ind w:right="424"/>
              <w:jc w:val="center"/>
              <w:rPr>
                <w:sz w:val="20"/>
                <w:szCs w:val="20"/>
              </w:rPr>
            </w:pPr>
            <w:r w:rsidRPr="00093C17">
              <w:rPr>
                <w:sz w:val="20"/>
                <w:szCs w:val="20"/>
              </w:rPr>
              <w:t>Наименование муниципальной программы, подпрограммы муниципальной программы, мероприятия муниципальной программы</w:t>
            </w:r>
          </w:p>
        </w:tc>
        <w:tc>
          <w:tcPr>
            <w:tcW w:w="1442" w:type="dxa"/>
            <w:vMerge w:val="restart"/>
            <w:noWrap/>
            <w:hideMark/>
          </w:tcPr>
          <w:p w:rsidR="005E6A14" w:rsidRPr="00093C17" w:rsidRDefault="005E6A14" w:rsidP="005E6A14">
            <w:pPr>
              <w:spacing w:after="0" w:line="240" w:lineRule="auto"/>
              <w:ind w:right="424"/>
              <w:jc w:val="center"/>
              <w:rPr>
                <w:sz w:val="20"/>
                <w:szCs w:val="20"/>
              </w:rPr>
            </w:pPr>
          </w:p>
          <w:p w:rsidR="005E6A14" w:rsidRPr="00093C17" w:rsidRDefault="005E6A14" w:rsidP="005E6A14">
            <w:pPr>
              <w:spacing w:after="0" w:line="240" w:lineRule="auto"/>
              <w:ind w:right="424"/>
              <w:jc w:val="center"/>
              <w:rPr>
                <w:sz w:val="20"/>
                <w:szCs w:val="20"/>
              </w:rPr>
            </w:pPr>
            <w:r w:rsidRPr="00093C17">
              <w:rPr>
                <w:sz w:val="20"/>
                <w:szCs w:val="20"/>
              </w:rPr>
              <w:t>2020 год (отчет)</w:t>
            </w:r>
          </w:p>
        </w:tc>
        <w:tc>
          <w:tcPr>
            <w:tcW w:w="3926" w:type="dxa"/>
            <w:gridSpan w:val="3"/>
            <w:noWrap/>
            <w:hideMark/>
          </w:tcPr>
          <w:p w:rsidR="005E6A14" w:rsidRPr="00093C17" w:rsidRDefault="005E6A14" w:rsidP="005E6A14">
            <w:pPr>
              <w:spacing w:after="0" w:line="240" w:lineRule="auto"/>
              <w:ind w:right="424"/>
              <w:jc w:val="center"/>
              <w:rPr>
                <w:sz w:val="20"/>
                <w:szCs w:val="20"/>
              </w:rPr>
            </w:pPr>
            <w:r w:rsidRPr="00093C17">
              <w:rPr>
                <w:sz w:val="20"/>
                <w:szCs w:val="20"/>
              </w:rPr>
              <w:t xml:space="preserve">2021 год </w:t>
            </w:r>
          </w:p>
        </w:tc>
      </w:tr>
      <w:tr w:rsidR="005E6A14" w:rsidRPr="0019711E" w:rsidTr="005E6A14">
        <w:trPr>
          <w:trHeight w:val="900"/>
          <w:tblHeader/>
        </w:trPr>
        <w:tc>
          <w:tcPr>
            <w:tcW w:w="4379" w:type="dxa"/>
            <w:vMerge/>
            <w:hideMark/>
          </w:tcPr>
          <w:p w:rsidR="005E6A14" w:rsidRPr="00093C17" w:rsidRDefault="005E6A14" w:rsidP="005E6A14">
            <w:pPr>
              <w:spacing w:after="0" w:line="240" w:lineRule="auto"/>
              <w:ind w:right="424"/>
              <w:rPr>
                <w:sz w:val="20"/>
                <w:szCs w:val="20"/>
              </w:rPr>
            </w:pPr>
          </w:p>
        </w:tc>
        <w:tc>
          <w:tcPr>
            <w:tcW w:w="1442" w:type="dxa"/>
            <w:vMerge/>
            <w:hideMark/>
          </w:tcPr>
          <w:p w:rsidR="005E6A14" w:rsidRPr="00093C17" w:rsidRDefault="005E6A14" w:rsidP="005E6A14">
            <w:pPr>
              <w:spacing w:after="0" w:line="240" w:lineRule="auto"/>
              <w:ind w:right="424"/>
              <w:rPr>
                <w:sz w:val="20"/>
                <w:szCs w:val="20"/>
              </w:rPr>
            </w:pPr>
          </w:p>
        </w:tc>
        <w:tc>
          <w:tcPr>
            <w:tcW w:w="1450" w:type="dxa"/>
            <w:hideMark/>
          </w:tcPr>
          <w:p w:rsidR="005E6A14" w:rsidRPr="00093C17" w:rsidRDefault="005E6A14" w:rsidP="005E6A14">
            <w:pPr>
              <w:jc w:val="center"/>
              <w:rPr>
                <w:rFonts w:eastAsia="Times New Roman"/>
                <w:color w:val="000000" w:themeColor="text1"/>
                <w:sz w:val="20"/>
                <w:szCs w:val="20"/>
              </w:rPr>
            </w:pPr>
            <w:r w:rsidRPr="00093C17">
              <w:rPr>
                <w:rFonts w:eastAsia="Times New Roman"/>
                <w:color w:val="000000" w:themeColor="text1"/>
                <w:sz w:val="20"/>
                <w:szCs w:val="20"/>
              </w:rPr>
              <w:t>Уточненный план</w:t>
            </w:r>
          </w:p>
        </w:tc>
        <w:tc>
          <w:tcPr>
            <w:tcW w:w="1255" w:type="dxa"/>
            <w:hideMark/>
          </w:tcPr>
          <w:p w:rsidR="005E6A14" w:rsidRPr="00093C17" w:rsidRDefault="005E6A14" w:rsidP="005E6A14">
            <w:pPr>
              <w:jc w:val="center"/>
              <w:rPr>
                <w:rFonts w:eastAsia="Times New Roman"/>
                <w:color w:val="000000" w:themeColor="text1"/>
                <w:sz w:val="20"/>
                <w:szCs w:val="20"/>
              </w:rPr>
            </w:pPr>
            <w:r w:rsidRPr="00093C17">
              <w:rPr>
                <w:rFonts w:eastAsia="Times New Roman"/>
                <w:color w:val="000000" w:themeColor="text1"/>
                <w:sz w:val="20"/>
                <w:szCs w:val="20"/>
              </w:rPr>
              <w:t>Исполнение</w:t>
            </w:r>
          </w:p>
        </w:tc>
        <w:tc>
          <w:tcPr>
            <w:tcW w:w="1221" w:type="dxa"/>
            <w:hideMark/>
          </w:tcPr>
          <w:p w:rsidR="005E6A14" w:rsidRPr="00093C17" w:rsidRDefault="005E6A14" w:rsidP="005E6A14">
            <w:pPr>
              <w:spacing w:after="0"/>
              <w:jc w:val="center"/>
              <w:rPr>
                <w:rFonts w:eastAsia="Times New Roman"/>
                <w:color w:val="000000" w:themeColor="text1"/>
                <w:sz w:val="20"/>
                <w:szCs w:val="20"/>
              </w:rPr>
            </w:pPr>
            <w:r w:rsidRPr="00093C17">
              <w:rPr>
                <w:rFonts w:eastAsia="Times New Roman"/>
                <w:color w:val="000000" w:themeColor="text1"/>
                <w:sz w:val="20"/>
                <w:szCs w:val="20"/>
              </w:rPr>
              <w:t>% исполнения</w:t>
            </w:r>
          </w:p>
        </w:tc>
      </w:tr>
      <w:tr w:rsidR="005E6A14" w:rsidRPr="0019711E" w:rsidTr="005E6A14">
        <w:trPr>
          <w:trHeight w:val="300"/>
        </w:trPr>
        <w:tc>
          <w:tcPr>
            <w:tcW w:w="4379" w:type="dxa"/>
            <w:hideMark/>
          </w:tcPr>
          <w:p w:rsidR="005E6A14" w:rsidRPr="00093C17" w:rsidRDefault="005E6A14" w:rsidP="005E6A14">
            <w:pPr>
              <w:spacing w:after="0" w:line="240" w:lineRule="auto"/>
              <w:ind w:right="424"/>
              <w:jc w:val="left"/>
              <w:rPr>
                <w:bCs/>
                <w:sz w:val="20"/>
                <w:szCs w:val="20"/>
              </w:rPr>
            </w:pPr>
            <w:r w:rsidRPr="00093C17">
              <w:rPr>
                <w:bCs/>
                <w:sz w:val="20"/>
                <w:szCs w:val="20"/>
              </w:rPr>
              <w:t>Всего по муниципальной программе, в том числе:</w:t>
            </w:r>
          </w:p>
        </w:tc>
        <w:tc>
          <w:tcPr>
            <w:tcW w:w="1442" w:type="dxa"/>
            <w:hideMark/>
          </w:tcPr>
          <w:p w:rsidR="005E6A14" w:rsidRPr="00093C17" w:rsidRDefault="005E6A14" w:rsidP="005E6A14">
            <w:pPr>
              <w:spacing w:after="0" w:line="240" w:lineRule="auto"/>
              <w:ind w:right="26"/>
              <w:jc w:val="center"/>
              <w:rPr>
                <w:sz w:val="20"/>
                <w:szCs w:val="20"/>
              </w:rPr>
            </w:pPr>
            <w:r w:rsidRPr="00093C17">
              <w:rPr>
                <w:sz w:val="20"/>
                <w:szCs w:val="20"/>
              </w:rPr>
              <w:t>1 750,0</w:t>
            </w:r>
          </w:p>
        </w:tc>
        <w:tc>
          <w:tcPr>
            <w:tcW w:w="1450" w:type="dxa"/>
          </w:tcPr>
          <w:p w:rsidR="005E6A14" w:rsidRPr="0093091A" w:rsidRDefault="005E6A14" w:rsidP="005E6A14">
            <w:pPr>
              <w:spacing w:after="0" w:line="240" w:lineRule="auto"/>
              <w:ind w:right="46"/>
              <w:jc w:val="center"/>
              <w:rPr>
                <w:sz w:val="20"/>
                <w:szCs w:val="20"/>
              </w:rPr>
            </w:pPr>
            <w:r w:rsidRPr="0093091A">
              <w:rPr>
                <w:sz w:val="20"/>
                <w:szCs w:val="20"/>
              </w:rPr>
              <w:t>921,6</w:t>
            </w:r>
          </w:p>
        </w:tc>
        <w:tc>
          <w:tcPr>
            <w:tcW w:w="1255" w:type="dxa"/>
          </w:tcPr>
          <w:p w:rsidR="005E6A14" w:rsidRPr="0093091A" w:rsidRDefault="005E6A14" w:rsidP="005E6A14">
            <w:pPr>
              <w:spacing w:after="0" w:line="240" w:lineRule="auto"/>
              <w:ind w:right="26"/>
              <w:jc w:val="center"/>
              <w:rPr>
                <w:sz w:val="20"/>
                <w:szCs w:val="20"/>
              </w:rPr>
            </w:pPr>
            <w:r w:rsidRPr="0093091A">
              <w:rPr>
                <w:sz w:val="20"/>
                <w:szCs w:val="20"/>
              </w:rPr>
              <w:t>921,6</w:t>
            </w:r>
          </w:p>
        </w:tc>
        <w:tc>
          <w:tcPr>
            <w:tcW w:w="1221" w:type="dxa"/>
            <w:hideMark/>
          </w:tcPr>
          <w:p w:rsidR="005E6A14" w:rsidRPr="00093C17" w:rsidRDefault="005E6A14" w:rsidP="005E6A14">
            <w:pPr>
              <w:spacing w:after="0" w:line="240" w:lineRule="auto"/>
              <w:ind w:right="113"/>
              <w:jc w:val="center"/>
              <w:rPr>
                <w:sz w:val="20"/>
                <w:szCs w:val="20"/>
              </w:rPr>
            </w:pPr>
            <w:r w:rsidRPr="00093C17">
              <w:rPr>
                <w:sz w:val="20"/>
                <w:szCs w:val="20"/>
              </w:rPr>
              <w:t>100%</w:t>
            </w:r>
          </w:p>
        </w:tc>
      </w:tr>
      <w:tr w:rsidR="005E6A14" w:rsidRPr="0019711E" w:rsidTr="005E6A14">
        <w:trPr>
          <w:trHeight w:val="300"/>
        </w:trPr>
        <w:tc>
          <w:tcPr>
            <w:tcW w:w="4379" w:type="dxa"/>
            <w:hideMark/>
          </w:tcPr>
          <w:p w:rsidR="005E6A14" w:rsidRPr="00E5210C" w:rsidRDefault="005E6A14" w:rsidP="005E6A14">
            <w:pPr>
              <w:spacing w:after="0" w:line="240" w:lineRule="auto"/>
              <w:ind w:right="424"/>
              <w:jc w:val="left"/>
              <w:rPr>
                <w:sz w:val="20"/>
                <w:szCs w:val="20"/>
              </w:rPr>
            </w:pPr>
            <w:r w:rsidRPr="00E5210C">
              <w:rPr>
                <w:sz w:val="20"/>
                <w:szCs w:val="20"/>
              </w:rPr>
              <w:t xml:space="preserve">- федеральный бюджет </w:t>
            </w:r>
          </w:p>
        </w:tc>
        <w:tc>
          <w:tcPr>
            <w:tcW w:w="1442" w:type="dxa"/>
            <w:hideMark/>
          </w:tcPr>
          <w:p w:rsidR="005E6A14" w:rsidRPr="00E5210C" w:rsidRDefault="005E6A14" w:rsidP="005E6A14">
            <w:pPr>
              <w:spacing w:after="0" w:line="240" w:lineRule="auto"/>
              <w:ind w:right="167"/>
              <w:jc w:val="center"/>
              <w:rPr>
                <w:sz w:val="20"/>
                <w:szCs w:val="20"/>
              </w:rPr>
            </w:pPr>
            <w:r w:rsidRPr="00E5210C">
              <w:rPr>
                <w:sz w:val="20"/>
                <w:szCs w:val="20"/>
              </w:rPr>
              <w:t>0,0</w:t>
            </w:r>
          </w:p>
        </w:tc>
        <w:tc>
          <w:tcPr>
            <w:tcW w:w="1450" w:type="dxa"/>
          </w:tcPr>
          <w:p w:rsidR="005E6A14" w:rsidRPr="00E5210C" w:rsidRDefault="005E6A14" w:rsidP="005E6A14">
            <w:pPr>
              <w:spacing w:after="0" w:line="240" w:lineRule="auto"/>
              <w:ind w:right="46"/>
              <w:jc w:val="center"/>
              <w:rPr>
                <w:sz w:val="20"/>
                <w:szCs w:val="20"/>
              </w:rPr>
            </w:pPr>
            <w:r w:rsidRPr="00E5210C">
              <w:rPr>
                <w:sz w:val="20"/>
                <w:szCs w:val="20"/>
              </w:rPr>
              <w:t>0,0</w:t>
            </w:r>
          </w:p>
        </w:tc>
        <w:tc>
          <w:tcPr>
            <w:tcW w:w="1255" w:type="dxa"/>
          </w:tcPr>
          <w:p w:rsidR="005E6A14" w:rsidRPr="00E5210C" w:rsidRDefault="005E6A14" w:rsidP="005E6A14">
            <w:pPr>
              <w:spacing w:after="0" w:line="240" w:lineRule="auto"/>
              <w:ind w:right="167"/>
              <w:jc w:val="center"/>
              <w:rPr>
                <w:sz w:val="20"/>
                <w:szCs w:val="20"/>
              </w:rPr>
            </w:pPr>
            <w:r w:rsidRPr="00E5210C">
              <w:rPr>
                <w:sz w:val="20"/>
                <w:szCs w:val="20"/>
              </w:rPr>
              <w:t>0,0</w:t>
            </w:r>
          </w:p>
        </w:tc>
        <w:tc>
          <w:tcPr>
            <w:tcW w:w="1221" w:type="dxa"/>
            <w:hideMark/>
          </w:tcPr>
          <w:p w:rsidR="005E6A14" w:rsidRPr="00E5210C" w:rsidRDefault="005E6A14" w:rsidP="005E6A14">
            <w:pPr>
              <w:spacing w:after="0" w:line="240" w:lineRule="auto"/>
              <w:ind w:right="113"/>
              <w:jc w:val="center"/>
              <w:rPr>
                <w:sz w:val="20"/>
                <w:szCs w:val="20"/>
              </w:rPr>
            </w:pPr>
            <w:r w:rsidRPr="00E5210C">
              <w:rPr>
                <w:sz w:val="20"/>
                <w:szCs w:val="20"/>
              </w:rPr>
              <w:t>0%</w:t>
            </w:r>
          </w:p>
        </w:tc>
      </w:tr>
      <w:tr w:rsidR="005E6A14" w:rsidRPr="0019711E" w:rsidTr="005E6A14">
        <w:trPr>
          <w:trHeight w:val="300"/>
        </w:trPr>
        <w:tc>
          <w:tcPr>
            <w:tcW w:w="4379" w:type="dxa"/>
            <w:hideMark/>
          </w:tcPr>
          <w:p w:rsidR="005E6A14" w:rsidRPr="009C4FF1" w:rsidRDefault="005E6A14" w:rsidP="005E6A14">
            <w:pPr>
              <w:spacing w:after="0" w:line="240" w:lineRule="auto"/>
              <w:ind w:right="424"/>
              <w:jc w:val="left"/>
              <w:rPr>
                <w:sz w:val="20"/>
                <w:szCs w:val="20"/>
              </w:rPr>
            </w:pPr>
            <w:r w:rsidRPr="009C4FF1">
              <w:rPr>
                <w:sz w:val="20"/>
                <w:szCs w:val="20"/>
              </w:rPr>
              <w:t xml:space="preserve">- бюджет автономного округа </w:t>
            </w:r>
          </w:p>
        </w:tc>
        <w:tc>
          <w:tcPr>
            <w:tcW w:w="1442" w:type="dxa"/>
            <w:hideMark/>
          </w:tcPr>
          <w:p w:rsidR="005E6A14" w:rsidRPr="009C4FF1" w:rsidRDefault="005E6A14" w:rsidP="005E6A14">
            <w:pPr>
              <w:spacing w:after="0" w:line="240" w:lineRule="auto"/>
              <w:ind w:right="167"/>
              <w:jc w:val="center"/>
              <w:rPr>
                <w:sz w:val="20"/>
                <w:szCs w:val="20"/>
              </w:rPr>
            </w:pPr>
            <w:r w:rsidRPr="009C4FF1">
              <w:rPr>
                <w:sz w:val="20"/>
                <w:szCs w:val="20"/>
              </w:rPr>
              <w:t>0,0</w:t>
            </w:r>
          </w:p>
        </w:tc>
        <w:tc>
          <w:tcPr>
            <w:tcW w:w="1450" w:type="dxa"/>
          </w:tcPr>
          <w:p w:rsidR="005E6A14" w:rsidRPr="00E5210C" w:rsidRDefault="005E6A14" w:rsidP="005E6A14">
            <w:pPr>
              <w:spacing w:after="0" w:line="240" w:lineRule="auto"/>
              <w:ind w:right="46"/>
              <w:jc w:val="center"/>
              <w:rPr>
                <w:sz w:val="20"/>
                <w:szCs w:val="20"/>
              </w:rPr>
            </w:pPr>
            <w:r w:rsidRPr="00E5210C">
              <w:rPr>
                <w:sz w:val="20"/>
                <w:szCs w:val="20"/>
              </w:rPr>
              <w:t>0,0</w:t>
            </w:r>
          </w:p>
        </w:tc>
        <w:tc>
          <w:tcPr>
            <w:tcW w:w="1255" w:type="dxa"/>
          </w:tcPr>
          <w:p w:rsidR="005E6A14" w:rsidRPr="00E5210C" w:rsidRDefault="005E6A14" w:rsidP="005E6A14">
            <w:pPr>
              <w:spacing w:after="0" w:line="240" w:lineRule="auto"/>
              <w:ind w:right="167"/>
              <w:jc w:val="center"/>
              <w:rPr>
                <w:sz w:val="20"/>
                <w:szCs w:val="20"/>
              </w:rPr>
            </w:pPr>
            <w:r w:rsidRPr="00E5210C">
              <w:rPr>
                <w:sz w:val="20"/>
                <w:szCs w:val="20"/>
              </w:rPr>
              <w:t>0,0</w:t>
            </w:r>
          </w:p>
        </w:tc>
        <w:tc>
          <w:tcPr>
            <w:tcW w:w="1221" w:type="dxa"/>
            <w:hideMark/>
          </w:tcPr>
          <w:p w:rsidR="005E6A14" w:rsidRPr="00E5210C" w:rsidRDefault="005E6A14" w:rsidP="005E6A14">
            <w:pPr>
              <w:spacing w:after="0" w:line="240" w:lineRule="auto"/>
              <w:ind w:right="113"/>
              <w:jc w:val="center"/>
              <w:rPr>
                <w:sz w:val="20"/>
                <w:szCs w:val="20"/>
              </w:rPr>
            </w:pPr>
            <w:r w:rsidRPr="00E5210C">
              <w:rPr>
                <w:sz w:val="20"/>
                <w:szCs w:val="20"/>
              </w:rPr>
              <w:t>0%</w:t>
            </w:r>
          </w:p>
        </w:tc>
      </w:tr>
      <w:tr w:rsidR="005E6A14" w:rsidRPr="0019711E" w:rsidTr="005E6A14">
        <w:trPr>
          <w:trHeight w:val="300"/>
        </w:trPr>
        <w:tc>
          <w:tcPr>
            <w:tcW w:w="4379" w:type="dxa"/>
            <w:hideMark/>
          </w:tcPr>
          <w:p w:rsidR="005E6A14" w:rsidRPr="009C4FF1" w:rsidRDefault="005E6A14" w:rsidP="005E6A14">
            <w:pPr>
              <w:spacing w:after="0" w:line="240" w:lineRule="auto"/>
              <w:ind w:right="424"/>
              <w:jc w:val="left"/>
              <w:rPr>
                <w:sz w:val="20"/>
                <w:szCs w:val="20"/>
              </w:rPr>
            </w:pPr>
            <w:r w:rsidRPr="009C4FF1">
              <w:rPr>
                <w:sz w:val="20"/>
                <w:szCs w:val="20"/>
              </w:rPr>
              <w:t>- бюджет города</w:t>
            </w:r>
          </w:p>
        </w:tc>
        <w:tc>
          <w:tcPr>
            <w:tcW w:w="1442" w:type="dxa"/>
            <w:hideMark/>
          </w:tcPr>
          <w:p w:rsidR="005E6A14" w:rsidRPr="009C4FF1" w:rsidRDefault="005E6A14" w:rsidP="005E6A14">
            <w:pPr>
              <w:spacing w:after="0" w:line="240" w:lineRule="auto"/>
              <w:ind w:right="167"/>
              <w:jc w:val="center"/>
              <w:rPr>
                <w:sz w:val="20"/>
                <w:szCs w:val="20"/>
              </w:rPr>
            </w:pPr>
            <w:r w:rsidRPr="009C4FF1">
              <w:rPr>
                <w:sz w:val="20"/>
                <w:szCs w:val="20"/>
              </w:rPr>
              <w:t xml:space="preserve"> 1 750,0</w:t>
            </w:r>
          </w:p>
        </w:tc>
        <w:tc>
          <w:tcPr>
            <w:tcW w:w="1450" w:type="dxa"/>
          </w:tcPr>
          <w:p w:rsidR="005E6A14" w:rsidRPr="00E41D3C" w:rsidRDefault="005E6A14" w:rsidP="005E6A14">
            <w:pPr>
              <w:spacing w:after="0" w:line="240" w:lineRule="auto"/>
              <w:ind w:right="46"/>
              <w:jc w:val="center"/>
              <w:rPr>
                <w:sz w:val="20"/>
                <w:szCs w:val="20"/>
              </w:rPr>
            </w:pPr>
            <w:r w:rsidRPr="00E41D3C">
              <w:rPr>
                <w:sz w:val="20"/>
                <w:szCs w:val="20"/>
              </w:rPr>
              <w:t>921,6</w:t>
            </w:r>
          </w:p>
        </w:tc>
        <w:tc>
          <w:tcPr>
            <w:tcW w:w="1255" w:type="dxa"/>
          </w:tcPr>
          <w:p w:rsidR="005E6A14" w:rsidRPr="00E41D3C" w:rsidRDefault="005E6A14" w:rsidP="005E6A14">
            <w:pPr>
              <w:spacing w:after="0" w:line="240" w:lineRule="auto"/>
              <w:ind w:right="167"/>
              <w:jc w:val="center"/>
              <w:rPr>
                <w:sz w:val="20"/>
                <w:szCs w:val="20"/>
              </w:rPr>
            </w:pPr>
            <w:r w:rsidRPr="00E41D3C">
              <w:rPr>
                <w:sz w:val="20"/>
                <w:szCs w:val="20"/>
              </w:rPr>
              <w:t xml:space="preserve">   921,6</w:t>
            </w:r>
          </w:p>
        </w:tc>
        <w:tc>
          <w:tcPr>
            <w:tcW w:w="1221" w:type="dxa"/>
            <w:hideMark/>
          </w:tcPr>
          <w:p w:rsidR="005E6A14" w:rsidRPr="00E41D3C" w:rsidRDefault="005E6A14" w:rsidP="005E6A14">
            <w:pPr>
              <w:spacing w:after="0" w:line="240" w:lineRule="auto"/>
              <w:ind w:right="113"/>
              <w:jc w:val="center"/>
              <w:rPr>
                <w:sz w:val="20"/>
                <w:szCs w:val="20"/>
              </w:rPr>
            </w:pPr>
            <w:r w:rsidRPr="00E41D3C">
              <w:rPr>
                <w:sz w:val="20"/>
                <w:szCs w:val="20"/>
              </w:rPr>
              <w:t>100%</w:t>
            </w:r>
          </w:p>
        </w:tc>
      </w:tr>
      <w:tr w:rsidR="005E6A14" w:rsidRPr="0019711E" w:rsidTr="005E6A14">
        <w:trPr>
          <w:trHeight w:val="300"/>
        </w:trPr>
        <w:tc>
          <w:tcPr>
            <w:tcW w:w="4379" w:type="dxa"/>
            <w:hideMark/>
          </w:tcPr>
          <w:p w:rsidR="005E6A14" w:rsidRPr="009C4FF1" w:rsidRDefault="005E6A14" w:rsidP="005E6A14">
            <w:pPr>
              <w:spacing w:after="0" w:line="240" w:lineRule="auto"/>
              <w:ind w:right="424"/>
              <w:jc w:val="left"/>
              <w:rPr>
                <w:sz w:val="20"/>
                <w:szCs w:val="20"/>
              </w:rPr>
            </w:pPr>
            <w:r w:rsidRPr="009C4FF1">
              <w:rPr>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 всего, в том числе:</w:t>
            </w:r>
          </w:p>
        </w:tc>
        <w:tc>
          <w:tcPr>
            <w:tcW w:w="1442" w:type="dxa"/>
            <w:hideMark/>
          </w:tcPr>
          <w:p w:rsidR="005E6A14" w:rsidRPr="009C4FF1" w:rsidRDefault="005E6A14" w:rsidP="005E6A14">
            <w:pPr>
              <w:spacing w:after="0" w:line="240" w:lineRule="auto"/>
              <w:ind w:right="167"/>
              <w:jc w:val="center"/>
              <w:rPr>
                <w:sz w:val="20"/>
                <w:szCs w:val="20"/>
              </w:rPr>
            </w:pPr>
            <w:r w:rsidRPr="009C4FF1">
              <w:rPr>
                <w:sz w:val="20"/>
                <w:szCs w:val="20"/>
              </w:rPr>
              <w:t>953,5</w:t>
            </w:r>
          </w:p>
        </w:tc>
        <w:tc>
          <w:tcPr>
            <w:tcW w:w="1450" w:type="dxa"/>
          </w:tcPr>
          <w:p w:rsidR="005E6A14" w:rsidRPr="00C30C6B" w:rsidRDefault="005E6A14" w:rsidP="005E6A14">
            <w:pPr>
              <w:spacing w:after="0" w:line="240" w:lineRule="auto"/>
              <w:ind w:right="46"/>
              <w:jc w:val="center"/>
              <w:rPr>
                <w:sz w:val="20"/>
                <w:szCs w:val="20"/>
              </w:rPr>
            </w:pPr>
            <w:r w:rsidRPr="00C30C6B">
              <w:rPr>
                <w:sz w:val="20"/>
                <w:szCs w:val="20"/>
              </w:rPr>
              <w:t>449,8</w:t>
            </w:r>
          </w:p>
        </w:tc>
        <w:tc>
          <w:tcPr>
            <w:tcW w:w="1255" w:type="dxa"/>
          </w:tcPr>
          <w:p w:rsidR="005E6A14" w:rsidRPr="00C30C6B" w:rsidRDefault="005E6A14" w:rsidP="005E6A14">
            <w:pPr>
              <w:spacing w:after="0" w:line="240" w:lineRule="auto"/>
              <w:ind w:right="167"/>
              <w:jc w:val="center"/>
              <w:rPr>
                <w:sz w:val="20"/>
                <w:szCs w:val="20"/>
              </w:rPr>
            </w:pPr>
            <w:r w:rsidRPr="00C30C6B">
              <w:rPr>
                <w:sz w:val="20"/>
                <w:szCs w:val="20"/>
              </w:rPr>
              <w:t xml:space="preserve">  449,8</w:t>
            </w:r>
          </w:p>
        </w:tc>
        <w:tc>
          <w:tcPr>
            <w:tcW w:w="1221" w:type="dxa"/>
            <w:hideMark/>
          </w:tcPr>
          <w:p w:rsidR="005E6A14" w:rsidRPr="00C30C6B" w:rsidRDefault="005E6A14" w:rsidP="005E6A14">
            <w:pPr>
              <w:spacing w:after="0" w:line="240" w:lineRule="auto"/>
              <w:ind w:right="113"/>
              <w:jc w:val="center"/>
              <w:rPr>
                <w:sz w:val="20"/>
                <w:szCs w:val="20"/>
              </w:rPr>
            </w:pPr>
            <w:r w:rsidRPr="00C30C6B">
              <w:rPr>
                <w:sz w:val="20"/>
                <w:szCs w:val="20"/>
              </w:rPr>
              <w:t>100%</w:t>
            </w:r>
          </w:p>
        </w:tc>
      </w:tr>
      <w:tr w:rsidR="005E6A14" w:rsidRPr="0019711E" w:rsidTr="005E6A14">
        <w:trPr>
          <w:trHeight w:val="300"/>
        </w:trPr>
        <w:tc>
          <w:tcPr>
            <w:tcW w:w="4379" w:type="dxa"/>
            <w:hideMark/>
          </w:tcPr>
          <w:p w:rsidR="005E6A14" w:rsidRPr="009C4FF1" w:rsidRDefault="005E6A14" w:rsidP="005E6A14">
            <w:pPr>
              <w:spacing w:after="0" w:line="240" w:lineRule="auto"/>
              <w:ind w:right="424"/>
              <w:jc w:val="left"/>
              <w:rPr>
                <w:sz w:val="20"/>
                <w:szCs w:val="20"/>
              </w:rPr>
            </w:pPr>
            <w:r w:rsidRPr="009C4FF1">
              <w:rPr>
                <w:sz w:val="20"/>
                <w:szCs w:val="20"/>
              </w:rPr>
              <w:t xml:space="preserve">- федеральный бюджет </w:t>
            </w:r>
          </w:p>
        </w:tc>
        <w:tc>
          <w:tcPr>
            <w:tcW w:w="1442" w:type="dxa"/>
            <w:hideMark/>
          </w:tcPr>
          <w:p w:rsidR="005E6A14" w:rsidRPr="009C4FF1" w:rsidRDefault="005E6A14" w:rsidP="005E6A14">
            <w:pPr>
              <w:spacing w:after="0" w:line="240" w:lineRule="auto"/>
              <w:ind w:right="26"/>
              <w:jc w:val="center"/>
              <w:rPr>
                <w:sz w:val="20"/>
                <w:szCs w:val="20"/>
              </w:rPr>
            </w:pPr>
            <w:r w:rsidRPr="009C4FF1">
              <w:rPr>
                <w:sz w:val="20"/>
                <w:szCs w:val="20"/>
              </w:rPr>
              <w:t>0,0</w:t>
            </w:r>
          </w:p>
        </w:tc>
        <w:tc>
          <w:tcPr>
            <w:tcW w:w="1450" w:type="dxa"/>
          </w:tcPr>
          <w:p w:rsidR="005E6A14" w:rsidRPr="00C30C6B" w:rsidRDefault="005E6A14" w:rsidP="005E6A14">
            <w:pPr>
              <w:spacing w:after="0" w:line="240" w:lineRule="auto"/>
              <w:ind w:right="46"/>
              <w:jc w:val="center"/>
              <w:rPr>
                <w:sz w:val="20"/>
                <w:szCs w:val="20"/>
              </w:rPr>
            </w:pPr>
            <w:r w:rsidRPr="00C30C6B">
              <w:rPr>
                <w:sz w:val="20"/>
                <w:szCs w:val="20"/>
              </w:rPr>
              <w:t>0,0</w:t>
            </w:r>
          </w:p>
        </w:tc>
        <w:tc>
          <w:tcPr>
            <w:tcW w:w="1255" w:type="dxa"/>
          </w:tcPr>
          <w:p w:rsidR="005E6A14" w:rsidRPr="00C30C6B" w:rsidRDefault="005E6A14" w:rsidP="005E6A14">
            <w:pPr>
              <w:spacing w:after="0" w:line="240" w:lineRule="auto"/>
              <w:ind w:right="167"/>
              <w:jc w:val="center"/>
              <w:rPr>
                <w:sz w:val="20"/>
                <w:szCs w:val="20"/>
              </w:rPr>
            </w:pPr>
            <w:r w:rsidRPr="00C30C6B">
              <w:rPr>
                <w:sz w:val="20"/>
                <w:szCs w:val="20"/>
              </w:rPr>
              <w:t>0,0</w:t>
            </w:r>
          </w:p>
        </w:tc>
        <w:tc>
          <w:tcPr>
            <w:tcW w:w="1221" w:type="dxa"/>
            <w:hideMark/>
          </w:tcPr>
          <w:p w:rsidR="005E6A14" w:rsidRPr="00C30C6B" w:rsidRDefault="005E6A14" w:rsidP="005E6A14">
            <w:pPr>
              <w:spacing w:after="0" w:line="240" w:lineRule="auto"/>
              <w:ind w:right="113"/>
              <w:jc w:val="both"/>
              <w:rPr>
                <w:sz w:val="20"/>
                <w:szCs w:val="20"/>
              </w:rPr>
            </w:pPr>
            <w:r w:rsidRPr="00C30C6B">
              <w:rPr>
                <w:sz w:val="20"/>
                <w:szCs w:val="20"/>
              </w:rPr>
              <w:t xml:space="preserve">     0%</w:t>
            </w:r>
          </w:p>
        </w:tc>
      </w:tr>
      <w:tr w:rsidR="005E6A14" w:rsidRPr="0019711E" w:rsidTr="005E6A14">
        <w:trPr>
          <w:trHeight w:val="300"/>
        </w:trPr>
        <w:tc>
          <w:tcPr>
            <w:tcW w:w="4379" w:type="dxa"/>
            <w:hideMark/>
          </w:tcPr>
          <w:p w:rsidR="005E6A14" w:rsidRPr="009C4FF1" w:rsidRDefault="005E6A14" w:rsidP="005E6A14">
            <w:pPr>
              <w:spacing w:after="0" w:line="240" w:lineRule="auto"/>
              <w:ind w:right="424"/>
              <w:jc w:val="left"/>
              <w:rPr>
                <w:sz w:val="20"/>
                <w:szCs w:val="20"/>
              </w:rPr>
            </w:pPr>
            <w:r w:rsidRPr="009C4FF1">
              <w:rPr>
                <w:sz w:val="20"/>
                <w:szCs w:val="20"/>
              </w:rPr>
              <w:t xml:space="preserve">- бюджет автономного округа </w:t>
            </w:r>
          </w:p>
        </w:tc>
        <w:tc>
          <w:tcPr>
            <w:tcW w:w="1442" w:type="dxa"/>
            <w:hideMark/>
          </w:tcPr>
          <w:p w:rsidR="005E6A14" w:rsidRPr="009C4FF1" w:rsidRDefault="005E6A14" w:rsidP="005E6A14">
            <w:pPr>
              <w:spacing w:after="0" w:line="240" w:lineRule="auto"/>
              <w:ind w:right="26"/>
              <w:jc w:val="center"/>
              <w:rPr>
                <w:sz w:val="20"/>
                <w:szCs w:val="20"/>
              </w:rPr>
            </w:pPr>
            <w:r w:rsidRPr="009C4FF1">
              <w:rPr>
                <w:sz w:val="20"/>
                <w:szCs w:val="20"/>
              </w:rPr>
              <w:t>0,0</w:t>
            </w:r>
          </w:p>
        </w:tc>
        <w:tc>
          <w:tcPr>
            <w:tcW w:w="1450" w:type="dxa"/>
          </w:tcPr>
          <w:p w:rsidR="005E6A14" w:rsidRPr="00C30C6B" w:rsidRDefault="005E6A14" w:rsidP="005E6A14">
            <w:pPr>
              <w:spacing w:after="0" w:line="240" w:lineRule="auto"/>
              <w:ind w:right="46"/>
              <w:jc w:val="center"/>
              <w:rPr>
                <w:sz w:val="20"/>
                <w:szCs w:val="20"/>
              </w:rPr>
            </w:pPr>
            <w:r w:rsidRPr="00C30C6B">
              <w:rPr>
                <w:sz w:val="20"/>
                <w:szCs w:val="20"/>
              </w:rPr>
              <w:t>0,0</w:t>
            </w:r>
          </w:p>
        </w:tc>
        <w:tc>
          <w:tcPr>
            <w:tcW w:w="1255" w:type="dxa"/>
          </w:tcPr>
          <w:p w:rsidR="005E6A14" w:rsidRPr="00C30C6B" w:rsidRDefault="005E6A14" w:rsidP="005E6A14">
            <w:pPr>
              <w:spacing w:after="0" w:line="240" w:lineRule="auto"/>
              <w:ind w:right="167"/>
              <w:jc w:val="center"/>
              <w:rPr>
                <w:sz w:val="20"/>
                <w:szCs w:val="20"/>
              </w:rPr>
            </w:pPr>
            <w:r w:rsidRPr="00C30C6B">
              <w:rPr>
                <w:sz w:val="20"/>
                <w:szCs w:val="20"/>
              </w:rPr>
              <w:t>0,0</w:t>
            </w:r>
          </w:p>
        </w:tc>
        <w:tc>
          <w:tcPr>
            <w:tcW w:w="1221" w:type="dxa"/>
            <w:hideMark/>
          </w:tcPr>
          <w:p w:rsidR="005E6A14" w:rsidRPr="00C30C6B" w:rsidRDefault="005E6A14" w:rsidP="005E6A14">
            <w:pPr>
              <w:spacing w:after="0" w:line="240" w:lineRule="auto"/>
              <w:ind w:right="254"/>
              <w:jc w:val="center"/>
              <w:rPr>
                <w:sz w:val="20"/>
                <w:szCs w:val="20"/>
              </w:rPr>
            </w:pPr>
            <w:r w:rsidRPr="00C30C6B">
              <w:rPr>
                <w:sz w:val="20"/>
                <w:szCs w:val="20"/>
              </w:rPr>
              <w:t>0%</w:t>
            </w:r>
          </w:p>
        </w:tc>
      </w:tr>
      <w:tr w:rsidR="005E6A14" w:rsidRPr="0019711E" w:rsidTr="005E6A14">
        <w:trPr>
          <w:trHeight w:val="300"/>
        </w:trPr>
        <w:tc>
          <w:tcPr>
            <w:tcW w:w="4379" w:type="dxa"/>
            <w:hideMark/>
          </w:tcPr>
          <w:p w:rsidR="005E6A14" w:rsidRPr="009C4FF1" w:rsidRDefault="005E6A14" w:rsidP="005E6A14">
            <w:pPr>
              <w:spacing w:after="0" w:line="240" w:lineRule="auto"/>
              <w:ind w:right="424"/>
              <w:jc w:val="left"/>
              <w:rPr>
                <w:sz w:val="20"/>
                <w:szCs w:val="20"/>
              </w:rPr>
            </w:pPr>
            <w:r w:rsidRPr="009C4FF1">
              <w:rPr>
                <w:sz w:val="20"/>
                <w:szCs w:val="20"/>
              </w:rPr>
              <w:t>- бюджет города</w:t>
            </w:r>
          </w:p>
        </w:tc>
        <w:tc>
          <w:tcPr>
            <w:tcW w:w="1442" w:type="dxa"/>
            <w:hideMark/>
          </w:tcPr>
          <w:p w:rsidR="005E6A14" w:rsidRPr="009C4FF1" w:rsidRDefault="005E6A14" w:rsidP="005E6A14">
            <w:pPr>
              <w:spacing w:after="0" w:line="240" w:lineRule="auto"/>
              <w:ind w:right="26"/>
              <w:jc w:val="center"/>
              <w:rPr>
                <w:sz w:val="20"/>
                <w:szCs w:val="20"/>
              </w:rPr>
            </w:pPr>
            <w:r w:rsidRPr="009C4FF1">
              <w:rPr>
                <w:sz w:val="20"/>
                <w:szCs w:val="20"/>
              </w:rPr>
              <w:t>953,5</w:t>
            </w:r>
          </w:p>
        </w:tc>
        <w:tc>
          <w:tcPr>
            <w:tcW w:w="1450" w:type="dxa"/>
          </w:tcPr>
          <w:p w:rsidR="005E6A14" w:rsidRPr="00C30C6B" w:rsidRDefault="005E6A14" w:rsidP="005E6A14">
            <w:pPr>
              <w:spacing w:after="0" w:line="240" w:lineRule="auto"/>
              <w:jc w:val="center"/>
              <w:rPr>
                <w:sz w:val="20"/>
                <w:szCs w:val="20"/>
              </w:rPr>
            </w:pPr>
            <w:r w:rsidRPr="00C30C6B">
              <w:rPr>
                <w:sz w:val="20"/>
                <w:szCs w:val="20"/>
              </w:rPr>
              <w:t>449,8</w:t>
            </w:r>
          </w:p>
        </w:tc>
        <w:tc>
          <w:tcPr>
            <w:tcW w:w="1255" w:type="dxa"/>
          </w:tcPr>
          <w:p w:rsidR="005E6A14" w:rsidRPr="00C30C6B" w:rsidRDefault="005E6A14" w:rsidP="005E6A14">
            <w:pPr>
              <w:spacing w:after="0" w:line="240" w:lineRule="auto"/>
              <w:ind w:right="26"/>
              <w:jc w:val="center"/>
              <w:rPr>
                <w:sz w:val="20"/>
                <w:szCs w:val="20"/>
              </w:rPr>
            </w:pPr>
            <w:r w:rsidRPr="00C30C6B">
              <w:rPr>
                <w:sz w:val="20"/>
                <w:szCs w:val="20"/>
              </w:rPr>
              <w:t>449,8</w:t>
            </w:r>
          </w:p>
        </w:tc>
        <w:tc>
          <w:tcPr>
            <w:tcW w:w="1221" w:type="dxa"/>
            <w:hideMark/>
          </w:tcPr>
          <w:p w:rsidR="005E6A14" w:rsidRPr="00C30C6B" w:rsidRDefault="005E6A14" w:rsidP="005E6A14">
            <w:pPr>
              <w:spacing w:after="0" w:line="240" w:lineRule="auto"/>
              <w:ind w:right="254"/>
              <w:jc w:val="center"/>
              <w:rPr>
                <w:sz w:val="20"/>
                <w:szCs w:val="20"/>
              </w:rPr>
            </w:pPr>
            <w:r w:rsidRPr="00C30C6B">
              <w:rPr>
                <w:sz w:val="20"/>
                <w:szCs w:val="20"/>
              </w:rPr>
              <w:t>100%</w:t>
            </w:r>
          </w:p>
        </w:tc>
      </w:tr>
      <w:tr w:rsidR="005E6A14" w:rsidRPr="0019711E" w:rsidTr="005E6A14">
        <w:trPr>
          <w:trHeight w:val="300"/>
        </w:trPr>
        <w:tc>
          <w:tcPr>
            <w:tcW w:w="4379" w:type="dxa"/>
            <w:tcBorders>
              <w:top w:val="single" w:sz="4" w:space="0" w:color="auto"/>
              <w:left w:val="single" w:sz="4" w:space="0" w:color="auto"/>
              <w:bottom w:val="single" w:sz="4" w:space="0" w:color="auto"/>
              <w:right w:val="single" w:sz="4" w:space="0" w:color="auto"/>
            </w:tcBorders>
            <w:hideMark/>
          </w:tcPr>
          <w:p w:rsidR="005E6A14" w:rsidRPr="009C4FF1" w:rsidRDefault="005E6A14" w:rsidP="005E6A14">
            <w:pPr>
              <w:spacing w:after="0" w:line="240" w:lineRule="auto"/>
              <w:ind w:right="424"/>
              <w:jc w:val="left"/>
              <w:rPr>
                <w:sz w:val="20"/>
                <w:szCs w:val="20"/>
              </w:rPr>
            </w:pPr>
            <w:r w:rsidRPr="009C4FF1">
              <w:rPr>
                <w:sz w:val="20"/>
                <w:szCs w:val="20"/>
              </w:rPr>
              <w:t>Основное мероприятие «Обеспечение дорожно-транспортной доступности для маломобильных групп населения», всего, в том числе:</w:t>
            </w:r>
          </w:p>
        </w:tc>
        <w:tc>
          <w:tcPr>
            <w:tcW w:w="1442" w:type="dxa"/>
            <w:tcBorders>
              <w:top w:val="single" w:sz="4" w:space="0" w:color="auto"/>
              <w:left w:val="single" w:sz="4" w:space="0" w:color="auto"/>
              <w:bottom w:val="single" w:sz="4" w:space="0" w:color="auto"/>
              <w:right w:val="single" w:sz="4" w:space="0" w:color="auto"/>
            </w:tcBorders>
            <w:hideMark/>
          </w:tcPr>
          <w:p w:rsidR="005E6A14" w:rsidRPr="009C4FF1" w:rsidRDefault="005E6A14" w:rsidP="005E6A14">
            <w:pPr>
              <w:spacing w:after="0" w:line="240" w:lineRule="auto"/>
              <w:ind w:right="26"/>
              <w:jc w:val="center"/>
              <w:rPr>
                <w:sz w:val="20"/>
                <w:szCs w:val="20"/>
              </w:rPr>
            </w:pPr>
            <w:r w:rsidRPr="009C4FF1">
              <w:rPr>
                <w:sz w:val="20"/>
                <w:szCs w:val="20"/>
              </w:rPr>
              <w:t>796,5</w:t>
            </w:r>
          </w:p>
        </w:tc>
        <w:tc>
          <w:tcPr>
            <w:tcW w:w="1450" w:type="dxa"/>
            <w:tcBorders>
              <w:top w:val="single" w:sz="4" w:space="0" w:color="auto"/>
              <w:left w:val="single" w:sz="4" w:space="0" w:color="auto"/>
              <w:bottom w:val="single" w:sz="4" w:space="0" w:color="auto"/>
              <w:right w:val="single" w:sz="4" w:space="0" w:color="auto"/>
            </w:tcBorders>
          </w:tcPr>
          <w:p w:rsidR="005E6A14" w:rsidRPr="0029080A" w:rsidRDefault="005E6A14" w:rsidP="005E6A14">
            <w:pPr>
              <w:spacing w:after="0" w:line="240" w:lineRule="auto"/>
              <w:jc w:val="center"/>
              <w:rPr>
                <w:sz w:val="20"/>
                <w:szCs w:val="20"/>
              </w:rPr>
            </w:pPr>
            <w:r w:rsidRPr="0029080A">
              <w:rPr>
                <w:sz w:val="20"/>
                <w:szCs w:val="20"/>
              </w:rPr>
              <w:t>471,8</w:t>
            </w:r>
          </w:p>
        </w:tc>
        <w:tc>
          <w:tcPr>
            <w:tcW w:w="1255" w:type="dxa"/>
            <w:tcBorders>
              <w:top w:val="single" w:sz="4" w:space="0" w:color="auto"/>
              <w:left w:val="single" w:sz="4" w:space="0" w:color="auto"/>
              <w:bottom w:val="single" w:sz="4" w:space="0" w:color="auto"/>
              <w:right w:val="single" w:sz="4" w:space="0" w:color="auto"/>
            </w:tcBorders>
          </w:tcPr>
          <w:p w:rsidR="005E6A14" w:rsidRPr="0029080A" w:rsidRDefault="005E6A14" w:rsidP="005E6A14">
            <w:pPr>
              <w:spacing w:after="0" w:line="240" w:lineRule="auto"/>
              <w:ind w:right="26"/>
              <w:jc w:val="center"/>
              <w:rPr>
                <w:sz w:val="20"/>
                <w:szCs w:val="20"/>
              </w:rPr>
            </w:pPr>
            <w:r w:rsidRPr="0029080A">
              <w:rPr>
                <w:sz w:val="20"/>
                <w:szCs w:val="20"/>
              </w:rPr>
              <w:t>471,8</w:t>
            </w:r>
          </w:p>
        </w:tc>
        <w:tc>
          <w:tcPr>
            <w:tcW w:w="1221" w:type="dxa"/>
            <w:tcBorders>
              <w:top w:val="single" w:sz="4" w:space="0" w:color="auto"/>
              <w:left w:val="single" w:sz="4" w:space="0" w:color="auto"/>
              <w:bottom w:val="single" w:sz="4" w:space="0" w:color="auto"/>
              <w:right w:val="single" w:sz="4" w:space="0" w:color="auto"/>
            </w:tcBorders>
            <w:hideMark/>
          </w:tcPr>
          <w:p w:rsidR="005E6A14" w:rsidRPr="0029080A" w:rsidRDefault="005E6A14" w:rsidP="005E6A14">
            <w:pPr>
              <w:spacing w:after="0" w:line="240" w:lineRule="auto"/>
              <w:ind w:right="254"/>
              <w:jc w:val="center"/>
              <w:rPr>
                <w:sz w:val="20"/>
                <w:szCs w:val="20"/>
              </w:rPr>
            </w:pPr>
            <w:r w:rsidRPr="0029080A">
              <w:rPr>
                <w:sz w:val="20"/>
                <w:szCs w:val="20"/>
              </w:rPr>
              <w:t>100%</w:t>
            </w:r>
          </w:p>
        </w:tc>
      </w:tr>
      <w:tr w:rsidR="005E6A14" w:rsidRPr="0019711E" w:rsidTr="005E6A14">
        <w:trPr>
          <w:trHeight w:val="300"/>
        </w:trPr>
        <w:tc>
          <w:tcPr>
            <w:tcW w:w="4379" w:type="dxa"/>
            <w:tcBorders>
              <w:top w:val="single" w:sz="4" w:space="0" w:color="auto"/>
              <w:left w:val="single" w:sz="4" w:space="0" w:color="auto"/>
              <w:bottom w:val="single" w:sz="4" w:space="0" w:color="auto"/>
              <w:right w:val="single" w:sz="4" w:space="0" w:color="auto"/>
            </w:tcBorders>
            <w:hideMark/>
          </w:tcPr>
          <w:p w:rsidR="005E6A14" w:rsidRPr="009C4FF1" w:rsidRDefault="005E6A14" w:rsidP="005E6A14">
            <w:pPr>
              <w:spacing w:after="0" w:line="240" w:lineRule="auto"/>
              <w:ind w:right="424"/>
              <w:jc w:val="left"/>
              <w:rPr>
                <w:sz w:val="20"/>
                <w:szCs w:val="20"/>
              </w:rPr>
            </w:pPr>
            <w:r w:rsidRPr="009C4FF1">
              <w:rPr>
                <w:sz w:val="20"/>
                <w:szCs w:val="20"/>
              </w:rPr>
              <w:t xml:space="preserve">- федеральный бюджет </w:t>
            </w:r>
          </w:p>
        </w:tc>
        <w:tc>
          <w:tcPr>
            <w:tcW w:w="1442" w:type="dxa"/>
            <w:tcBorders>
              <w:top w:val="single" w:sz="4" w:space="0" w:color="auto"/>
              <w:left w:val="single" w:sz="4" w:space="0" w:color="auto"/>
              <w:bottom w:val="single" w:sz="4" w:space="0" w:color="auto"/>
              <w:right w:val="single" w:sz="4" w:space="0" w:color="auto"/>
            </w:tcBorders>
            <w:hideMark/>
          </w:tcPr>
          <w:p w:rsidR="005E6A14" w:rsidRPr="009C4FF1" w:rsidRDefault="005E6A14" w:rsidP="005E6A14">
            <w:pPr>
              <w:spacing w:after="0" w:line="240" w:lineRule="auto"/>
              <w:ind w:right="156"/>
              <w:jc w:val="center"/>
              <w:rPr>
                <w:sz w:val="20"/>
                <w:szCs w:val="20"/>
              </w:rPr>
            </w:pPr>
            <w:r w:rsidRPr="009C4FF1">
              <w:rPr>
                <w:sz w:val="20"/>
                <w:szCs w:val="20"/>
              </w:rPr>
              <w:t>0,0</w:t>
            </w:r>
          </w:p>
        </w:tc>
        <w:tc>
          <w:tcPr>
            <w:tcW w:w="1450" w:type="dxa"/>
            <w:tcBorders>
              <w:top w:val="single" w:sz="4" w:space="0" w:color="auto"/>
              <w:left w:val="single" w:sz="4" w:space="0" w:color="auto"/>
              <w:bottom w:val="single" w:sz="4" w:space="0" w:color="auto"/>
              <w:right w:val="single" w:sz="4" w:space="0" w:color="auto"/>
            </w:tcBorders>
          </w:tcPr>
          <w:p w:rsidR="005E6A14" w:rsidRPr="0029080A" w:rsidRDefault="005E6A14" w:rsidP="005E6A14">
            <w:pPr>
              <w:spacing w:after="0" w:line="240" w:lineRule="auto"/>
              <w:ind w:right="46"/>
              <w:jc w:val="center"/>
              <w:rPr>
                <w:sz w:val="20"/>
                <w:szCs w:val="20"/>
              </w:rPr>
            </w:pPr>
            <w:r w:rsidRPr="0029080A">
              <w:rPr>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5E6A14" w:rsidRPr="0029080A" w:rsidRDefault="005E6A14" w:rsidP="005E6A14">
            <w:pPr>
              <w:spacing w:after="0" w:line="240" w:lineRule="auto"/>
              <w:ind w:right="167"/>
              <w:jc w:val="center"/>
              <w:rPr>
                <w:sz w:val="20"/>
                <w:szCs w:val="20"/>
              </w:rPr>
            </w:pPr>
            <w:r w:rsidRPr="0029080A">
              <w:rPr>
                <w:sz w:val="20"/>
                <w:szCs w:val="20"/>
              </w:rPr>
              <w:t>0,0</w:t>
            </w:r>
          </w:p>
        </w:tc>
        <w:tc>
          <w:tcPr>
            <w:tcW w:w="1221" w:type="dxa"/>
            <w:tcBorders>
              <w:top w:val="single" w:sz="4" w:space="0" w:color="auto"/>
              <w:left w:val="single" w:sz="4" w:space="0" w:color="auto"/>
              <w:bottom w:val="single" w:sz="4" w:space="0" w:color="auto"/>
              <w:right w:val="single" w:sz="4" w:space="0" w:color="auto"/>
            </w:tcBorders>
            <w:hideMark/>
          </w:tcPr>
          <w:p w:rsidR="005E6A14" w:rsidRPr="0029080A" w:rsidRDefault="005E6A14" w:rsidP="005E6A14">
            <w:pPr>
              <w:spacing w:after="0" w:line="240" w:lineRule="auto"/>
              <w:ind w:right="254"/>
              <w:jc w:val="center"/>
              <w:rPr>
                <w:sz w:val="20"/>
                <w:szCs w:val="20"/>
              </w:rPr>
            </w:pPr>
            <w:r w:rsidRPr="0029080A">
              <w:rPr>
                <w:sz w:val="20"/>
                <w:szCs w:val="20"/>
              </w:rPr>
              <w:t>0%</w:t>
            </w:r>
          </w:p>
        </w:tc>
      </w:tr>
      <w:tr w:rsidR="005E6A14" w:rsidRPr="0019711E" w:rsidTr="005E6A14">
        <w:trPr>
          <w:trHeight w:val="300"/>
        </w:trPr>
        <w:tc>
          <w:tcPr>
            <w:tcW w:w="4379" w:type="dxa"/>
            <w:tcBorders>
              <w:top w:val="single" w:sz="4" w:space="0" w:color="auto"/>
              <w:left w:val="single" w:sz="4" w:space="0" w:color="auto"/>
              <w:bottom w:val="single" w:sz="4" w:space="0" w:color="auto"/>
              <w:right w:val="single" w:sz="4" w:space="0" w:color="auto"/>
            </w:tcBorders>
            <w:hideMark/>
          </w:tcPr>
          <w:p w:rsidR="005E6A14" w:rsidRPr="009C4FF1" w:rsidRDefault="005E6A14" w:rsidP="005E6A14">
            <w:pPr>
              <w:spacing w:after="0" w:line="240" w:lineRule="auto"/>
              <w:ind w:right="424"/>
              <w:jc w:val="left"/>
              <w:rPr>
                <w:sz w:val="20"/>
                <w:szCs w:val="20"/>
              </w:rPr>
            </w:pPr>
            <w:r w:rsidRPr="009C4FF1">
              <w:rPr>
                <w:sz w:val="20"/>
                <w:szCs w:val="20"/>
              </w:rPr>
              <w:t xml:space="preserve">- бюджет автономного округа </w:t>
            </w:r>
          </w:p>
        </w:tc>
        <w:tc>
          <w:tcPr>
            <w:tcW w:w="1442" w:type="dxa"/>
            <w:tcBorders>
              <w:top w:val="single" w:sz="4" w:space="0" w:color="auto"/>
              <w:left w:val="single" w:sz="4" w:space="0" w:color="auto"/>
              <w:bottom w:val="single" w:sz="4" w:space="0" w:color="auto"/>
              <w:right w:val="single" w:sz="4" w:space="0" w:color="auto"/>
            </w:tcBorders>
            <w:hideMark/>
          </w:tcPr>
          <w:p w:rsidR="005E6A14" w:rsidRPr="009C4FF1" w:rsidRDefault="005E6A14" w:rsidP="005E6A14">
            <w:pPr>
              <w:spacing w:after="0" w:line="240" w:lineRule="auto"/>
              <w:ind w:right="156"/>
              <w:jc w:val="center"/>
              <w:rPr>
                <w:sz w:val="20"/>
                <w:szCs w:val="20"/>
              </w:rPr>
            </w:pPr>
            <w:r w:rsidRPr="009C4FF1">
              <w:rPr>
                <w:sz w:val="20"/>
                <w:szCs w:val="20"/>
              </w:rPr>
              <w:t>0,0</w:t>
            </w:r>
          </w:p>
        </w:tc>
        <w:tc>
          <w:tcPr>
            <w:tcW w:w="1450" w:type="dxa"/>
            <w:tcBorders>
              <w:top w:val="single" w:sz="4" w:space="0" w:color="auto"/>
              <w:left w:val="single" w:sz="4" w:space="0" w:color="auto"/>
              <w:bottom w:val="single" w:sz="4" w:space="0" w:color="auto"/>
              <w:right w:val="single" w:sz="4" w:space="0" w:color="auto"/>
            </w:tcBorders>
          </w:tcPr>
          <w:p w:rsidR="005E6A14" w:rsidRPr="0029080A" w:rsidRDefault="005E6A14" w:rsidP="005E6A14">
            <w:pPr>
              <w:spacing w:after="0" w:line="240" w:lineRule="auto"/>
              <w:ind w:right="46"/>
              <w:jc w:val="center"/>
              <w:rPr>
                <w:sz w:val="20"/>
                <w:szCs w:val="20"/>
              </w:rPr>
            </w:pPr>
            <w:r w:rsidRPr="0029080A">
              <w:rPr>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5E6A14" w:rsidRPr="0029080A" w:rsidRDefault="005E6A14" w:rsidP="005E6A14">
            <w:pPr>
              <w:spacing w:after="0" w:line="240" w:lineRule="auto"/>
              <w:ind w:right="167"/>
              <w:jc w:val="center"/>
              <w:rPr>
                <w:sz w:val="20"/>
                <w:szCs w:val="20"/>
              </w:rPr>
            </w:pPr>
            <w:r w:rsidRPr="0029080A">
              <w:rPr>
                <w:sz w:val="20"/>
                <w:szCs w:val="20"/>
              </w:rPr>
              <w:t>0,0</w:t>
            </w:r>
          </w:p>
        </w:tc>
        <w:tc>
          <w:tcPr>
            <w:tcW w:w="1221" w:type="dxa"/>
            <w:tcBorders>
              <w:top w:val="single" w:sz="4" w:space="0" w:color="auto"/>
              <w:left w:val="single" w:sz="4" w:space="0" w:color="auto"/>
              <w:bottom w:val="single" w:sz="4" w:space="0" w:color="auto"/>
              <w:right w:val="single" w:sz="4" w:space="0" w:color="auto"/>
            </w:tcBorders>
            <w:hideMark/>
          </w:tcPr>
          <w:p w:rsidR="005E6A14" w:rsidRPr="0029080A" w:rsidRDefault="005E6A14" w:rsidP="005E6A14">
            <w:pPr>
              <w:spacing w:after="0" w:line="240" w:lineRule="auto"/>
              <w:ind w:right="254"/>
              <w:jc w:val="center"/>
              <w:rPr>
                <w:sz w:val="20"/>
                <w:szCs w:val="20"/>
              </w:rPr>
            </w:pPr>
            <w:r w:rsidRPr="0029080A">
              <w:rPr>
                <w:sz w:val="20"/>
                <w:szCs w:val="20"/>
              </w:rPr>
              <w:t>0%</w:t>
            </w:r>
          </w:p>
        </w:tc>
      </w:tr>
      <w:tr w:rsidR="005E6A14" w:rsidRPr="0019711E" w:rsidTr="005E6A14">
        <w:trPr>
          <w:trHeight w:val="300"/>
        </w:trPr>
        <w:tc>
          <w:tcPr>
            <w:tcW w:w="4379" w:type="dxa"/>
            <w:tcBorders>
              <w:top w:val="single" w:sz="4" w:space="0" w:color="auto"/>
              <w:left w:val="single" w:sz="4" w:space="0" w:color="auto"/>
              <w:bottom w:val="single" w:sz="4" w:space="0" w:color="auto"/>
              <w:right w:val="single" w:sz="4" w:space="0" w:color="auto"/>
            </w:tcBorders>
            <w:hideMark/>
          </w:tcPr>
          <w:p w:rsidR="005E6A14" w:rsidRPr="009C4FF1" w:rsidRDefault="005E6A14" w:rsidP="005E6A14">
            <w:pPr>
              <w:spacing w:after="0" w:line="240" w:lineRule="auto"/>
              <w:ind w:right="424"/>
              <w:jc w:val="left"/>
              <w:rPr>
                <w:sz w:val="20"/>
                <w:szCs w:val="20"/>
              </w:rPr>
            </w:pPr>
            <w:r w:rsidRPr="009C4FF1">
              <w:rPr>
                <w:sz w:val="20"/>
                <w:szCs w:val="20"/>
              </w:rPr>
              <w:t>- бюджет города</w:t>
            </w:r>
          </w:p>
        </w:tc>
        <w:tc>
          <w:tcPr>
            <w:tcW w:w="1442" w:type="dxa"/>
            <w:tcBorders>
              <w:top w:val="single" w:sz="4" w:space="0" w:color="auto"/>
              <w:left w:val="single" w:sz="4" w:space="0" w:color="auto"/>
              <w:bottom w:val="single" w:sz="4" w:space="0" w:color="auto"/>
              <w:right w:val="single" w:sz="4" w:space="0" w:color="auto"/>
            </w:tcBorders>
            <w:hideMark/>
          </w:tcPr>
          <w:p w:rsidR="005E6A14" w:rsidRPr="009C4FF1" w:rsidRDefault="005E6A14" w:rsidP="005E6A14">
            <w:pPr>
              <w:spacing w:after="0" w:line="240" w:lineRule="auto"/>
              <w:ind w:right="156"/>
              <w:jc w:val="center"/>
              <w:rPr>
                <w:sz w:val="20"/>
                <w:szCs w:val="20"/>
              </w:rPr>
            </w:pPr>
            <w:r w:rsidRPr="009C4FF1">
              <w:rPr>
                <w:sz w:val="20"/>
                <w:szCs w:val="20"/>
              </w:rPr>
              <w:t>796,5</w:t>
            </w:r>
          </w:p>
        </w:tc>
        <w:tc>
          <w:tcPr>
            <w:tcW w:w="1450" w:type="dxa"/>
            <w:tcBorders>
              <w:top w:val="single" w:sz="4" w:space="0" w:color="auto"/>
              <w:left w:val="single" w:sz="4" w:space="0" w:color="auto"/>
              <w:bottom w:val="single" w:sz="4" w:space="0" w:color="auto"/>
              <w:right w:val="single" w:sz="4" w:space="0" w:color="auto"/>
            </w:tcBorders>
          </w:tcPr>
          <w:p w:rsidR="005E6A14" w:rsidRPr="0029080A" w:rsidRDefault="005E6A14" w:rsidP="005E6A14">
            <w:pPr>
              <w:spacing w:after="0" w:line="240" w:lineRule="auto"/>
              <w:jc w:val="center"/>
              <w:rPr>
                <w:sz w:val="20"/>
                <w:szCs w:val="20"/>
              </w:rPr>
            </w:pPr>
            <w:r w:rsidRPr="0029080A">
              <w:rPr>
                <w:sz w:val="20"/>
                <w:szCs w:val="20"/>
              </w:rPr>
              <w:t>471,8</w:t>
            </w:r>
          </w:p>
        </w:tc>
        <w:tc>
          <w:tcPr>
            <w:tcW w:w="1255" w:type="dxa"/>
            <w:tcBorders>
              <w:top w:val="single" w:sz="4" w:space="0" w:color="auto"/>
              <w:left w:val="single" w:sz="4" w:space="0" w:color="auto"/>
              <w:bottom w:val="single" w:sz="4" w:space="0" w:color="auto"/>
              <w:right w:val="single" w:sz="4" w:space="0" w:color="auto"/>
            </w:tcBorders>
          </w:tcPr>
          <w:p w:rsidR="005E6A14" w:rsidRPr="0029080A" w:rsidRDefault="005E6A14" w:rsidP="005E6A14">
            <w:pPr>
              <w:spacing w:after="0" w:line="240" w:lineRule="auto"/>
              <w:ind w:right="26"/>
              <w:jc w:val="center"/>
              <w:rPr>
                <w:sz w:val="20"/>
                <w:szCs w:val="20"/>
              </w:rPr>
            </w:pPr>
            <w:r w:rsidRPr="0029080A">
              <w:rPr>
                <w:sz w:val="20"/>
                <w:szCs w:val="20"/>
              </w:rPr>
              <w:t>471,8</w:t>
            </w:r>
          </w:p>
        </w:tc>
        <w:tc>
          <w:tcPr>
            <w:tcW w:w="1221" w:type="dxa"/>
            <w:tcBorders>
              <w:top w:val="single" w:sz="4" w:space="0" w:color="auto"/>
              <w:left w:val="single" w:sz="4" w:space="0" w:color="auto"/>
              <w:bottom w:val="single" w:sz="4" w:space="0" w:color="auto"/>
              <w:right w:val="single" w:sz="4" w:space="0" w:color="auto"/>
            </w:tcBorders>
            <w:hideMark/>
          </w:tcPr>
          <w:p w:rsidR="005E6A14" w:rsidRPr="0029080A" w:rsidRDefault="005E6A14" w:rsidP="005E6A14">
            <w:pPr>
              <w:spacing w:after="0" w:line="240" w:lineRule="auto"/>
              <w:ind w:right="254"/>
              <w:jc w:val="center"/>
              <w:rPr>
                <w:sz w:val="20"/>
                <w:szCs w:val="20"/>
              </w:rPr>
            </w:pPr>
            <w:r w:rsidRPr="0029080A">
              <w:rPr>
                <w:sz w:val="20"/>
                <w:szCs w:val="20"/>
              </w:rPr>
              <w:t>100%</w:t>
            </w:r>
          </w:p>
        </w:tc>
      </w:tr>
    </w:tbl>
    <w:p w:rsidR="005E6A14" w:rsidRPr="0019711E" w:rsidRDefault="005E6A14" w:rsidP="005E6A14">
      <w:pPr>
        <w:pStyle w:val="af"/>
        <w:spacing w:after="0"/>
        <w:ind w:left="0" w:right="424"/>
        <w:jc w:val="center"/>
        <w:rPr>
          <w:highlight w:val="yellow"/>
        </w:rPr>
      </w:pPr>
    </w:p>
    <w:p w:rsidR="005E6A14" w:rsidRPr="00625404" w:rsidRDefault="005E6A14" w:rsidP="005E6A14">
      <w:pPr>
        <w:pStyle w:val="25"/>
        <w:spacing w:line="276" w:lineRule="auto"/>
        <w:ind w:right="-1" w:firstLine="709"/>
        <w:jc w:val="both"/>
        <w:rPr>
          <w:szCs w:val="28"/>
        </w:rPr>
      </w:pPr>
      <w:r w:rsidRPr="00625404">
        <w:rPr>
          <w:szCs w:val="28"/>
        </w:rPr>
        <w:t>Реализация муниципальной программы «Доступная среда в городе Ханты-Мансийске» включает в себя 2 основных мероприятия:</w:t>
      </w:r>
    </w:p>
    <w:p w:rsidR="005E6A14" w:rsidRPr="005603B1" w:rsidRDefault="005E6A14" w:rsidP="005E6A14">
      <w:pPr>
        <w:pStyle w:val="25"/>
        <w:spacing w:line="276" w:lineRule="auto"/>
        <w:ind w:right="-1" w:firstLine="708"/>
        <w:jc w:val="both"/>
        <w:rPr>
          <w:szCs w:val="28"/>
        </w:rPr>
      </w:pPr>
      <w:r w:rsidRPr="005603B1">
        <w:rPr>
          <w:szCs w:val="28"/>
        </w:rPr>
        <w:t>1.Основное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p w:rsidR="005E6A14" w:rsidRPr="005603B1" w:rsidRDefault="005E6A14" w:rsidP="005E6A14">
      <w:pPr>
        <w:pStyle w:val="25"/>
        <w:spacing w:line="276" w:lineRule="auto"/>
        <w:ind w:right="-1" w:firstLine="708"/>
        <w:jc w:val="both"/>
        <w:rPr>
          <w:szCs w:val="28"/>
        </w:rPr>
      </w:pPr>
      <w:r w:rsidRPr="005603B1">
        <w:rPr>
          <w:szCs w:val="28"/>
        </w:rPr>
        <w:t>Исполнение по данному мероприятию составило 449,8 тыс. рублей или 100% от плана на год, в том числе: средства городского бюджета - 449,8 тыс. рублей.</w:t>
      </w:r>
    </w:p>
    <w:p w:rsidR="005E6A14" w:rsidRPr="005603B1" w:rsidRDefault="005E6A14" w:rsidP="005E6A14">
      <w:pPr>
        <w:pStyle w:val="25"/>
        <w:spacing w:line="276" w:lineRule="auto"/>
        <w:ind w:right="-1" w:firstLine="708"/>
        <w:jc w:val="both"/>
        <w:rPr>
          <w:szCs w:val="28"/>
        </w:rPr>
      </w:pPr>
      <w:r w:rsidRPr="005603B1">
        <w:rPr>
          <w:szCs w:val="28"/>
        </w:rPr>
        <w:lastRenderedPageBreak/>
        <w:t>Средства направлены на:</w:t>
      </w:r>
    </w:p>
    <w:p w:rsidR="005E6A14" w:rsidRPr="004001EF" w:rsidRDefault="005E6A14" w:rsidP="005E6A14">
      <w:pPr>
        <w:pStyle w:val="25"/>
        <w:spacing w:line="276" w:lineRule="auto"/>
        <w:ind w:firstLine="709"/>
        <w:jc w:val="both"/>
        <w:rPr>
          <w:szCs w:val="28"/>
        </w:rPr>
      </w:pPr>
      <w:r w:rsidRPr="00062AFF">
        <w:rPr>
          <w:szCs w:val="28"/>
        </w:rPr>
        <w:t>-</w:t>
      </w:r>
      <w:r w:rsidRPr="00062AFF">
        <w:rPr>
          <w:bCs/>
          <w:szCs w:val="28"/>
        </w:rPr>
        <w:t xml:space="preserve">Муниципальное бюджетное учреждение «Культурно-досуговый центр «Октябрь» - </w:t>
      </w:r>
      <w:r w:rsidRPr="00062AFF">
        <w:rPr>
          <w:szCs w:val="28"/>
        </w:rPr>
        <w:t xml:space="preserve"> выполнены работы по адаптации входной группы и обустройство элементов адаптации холла </w:t>
      </w:r>
      <w:r w:rsidRPr="00062AFF">
        <w:rPr>
          <w:bCs/>
          <w:szCs w:val="28"/>
        </w:rPr>
        <w:t>на сумму 214,7 тыс. рублей.</w:t>
      </w:r>
    </w:p>
    <w:p w:rsidR="005E6A14" w:rsidRPr="00062AFF" w:rsidRDefault="005E6A14" w:rsidP="005E6A14">
      <w:pPr>
        <w:pStyle w:val="25"/>
        <w:spacing w:line="276" w:lineRule="auto"/>
        <w:ind w:firstLine="709"/>
        <w:jc w:val="both"/>
        <w:rPr>
          <w:szCs w:val="28"/>
        </w:rPr>
      </w:pPr>
      <w:r w:rsidRPr="00F51E1F">
        <w:rPr>
          <w:szCs w:val="28"/>
        </w:rPr>
        <w:t xml:space="preserve">-Муниципальное бюджетное учреждение «Спортивный комплекс «Дружба» - выполнено обустройство входной группы, обустройство путей движения внутри здания (в том числе путей эвакуации) и санитарно-бытовых помещений в учреждении Спортивный комплекс «Дружба» по улице </w:t>
      </w:r>
      <w:proofErr w:type="spellStart"/>
      <w:r w:rsidRPr="00F51E1F">
        <w:rPr>
          <w:szCs w:val="28"/>
        </w:rPr>
        <w:t>Рознина</w:t>
      </w:r>
      <w:proofErr w:type="spellEnd"/>
      <w:r w:rsidRPr="00F51E1F">
        <w:rPr>
          <w:szCs w:val="28"/>
        </w:rPr>
        <w:t xml:space="preserve">, дом 104 и спортивном клубе «Олимпия» по улице Лермонтова, дом 19а на сумму 235,1 тыс. рублей. </w:t>
      </w:r>
    </w:p>
    <w:p w:rsidR="005E6A14" w:rsidRPr="00F811E4" w:rsidRDefault="005E6A14" w:rsidP="005E6A14">
      <w:pPr>
        <w:pStyle w:val="25"/>
        <w:spacing w:line="276" w:lineRule="auto"/>
        <w:ind w:right="-1" w:firstLine="708"/>
        <w:jc w:val="both"/>
        <w:rPr>
          <w:szCs w:val="28"/>
        </w:rPr>
      </w:pPr>
      <w:r w:rsidRPr="00F811E4">
        <w:rPr>
          <w:szCs w:val="28"/>
        </w:rPr>
        <w:t>2.Основное мероприятие «Обеспечение дорожно-транспортной доступности для маломобильных групп населения».</w:t>
      </w:r>
    </w:p>
    <w:p w:rsidR="005E6A14" w:rsidRPr="00E82E18" w:rsidRDefault="005E6A14" w:rsidP="005E6A14">
      <w:pPr>
        <w:pStyle w:val="25"/>
        <w:spacing w:line="276" w:lineRule="auto"/>
        <w:ind w:right="-1" w:firstLine="708"/>
        <w:jc w:val="both"/>
        <w:rPr>
          <w:szCs w:val="28"/>
        </w:rPr>
      </w:pPr>
      <w:r w:rsidRPr="00E82E18">
        <w:rPr>
          <w:szCs w:val="28"/>
        </w:rPr>
        <w:t xml:space="preserve">Исполнение по данному мероприятию составило 471,8 тыс. рублей или 100% от плана на год. </w:t>
      </w:r>
    </w:p>
    <w:p w:rsidR="005E6A14" w:rsidRDefault="005E6A14" w:rsidP="005E6A14">
      <w:pPr>
        <w:pStyle w:val="25"/>
        <w:spacing w:line="276" w:lineRule="auto"/>
        <w:ind w:firstLine="709"/>
        <w:jc w:val="both"/>
        <w:rPr>
          <w:szCs w:val="28"/>
        </w:rPr>
      </w:pPr>
      <w:r w:rsidRPr="00206F90">
        <w:rPr>
          <w:szCs w:val="28"/>
        </w:rPr>
        <w:t>В рамках мероприятия выпо</w:t>
      </w:r>
      <w:r>
        <w:rPr>
          <w:szCs w:val="28"/>
        </w:rPr>
        <w:t xml:space="preserve">лнены работы </w:t>
      </w:r>
      <w:r w:rsidRPr="004B692E">
        <w:rPr>
          <w:szCs w:val="28"/>
        </w:rPr>
        <w:t>по понижению бордюрного камня на территории города Ханты-Мансийска по следующим адресам:</w:t>
      </w:r>
      <w:r>
        <w:rPr>
          <w:szCs w:val="28"/>
        </w:rPr>
        <w:t xml:space="preserve"> улица Чехова, дом 78, 64, 51; улица</w:t>
      </w:r>
      <w:r w:rsidRPr="004B692E">
        <w:rPr>
          <w:szCs w:val="28"/>
        </w:rPr>
        <w:t xml:space="preserve"> Пионерская, </w:t>
      </w:r>
      <w:r>
        <w:rPr>
          <w:szCs w:val="28"/>
        </w:rPr>
        <w:t>дом 118; улица Строителей, дом 61, 85; перекресток улицы Чехова - улицы</w:t>
      </w:r>
      <w:r w:rsidRPr="004B692E">
        <w:rPr>
          <w:szCs w:val="28"/>
        </w:rPr>
        <w:t xml:space="preserve"> Красноармейская.  Кроме того, выполнено устройство перильного ограждения пандуса на входной груп</w:t>
      </w:r>
      <w:r>
        <w:rPr>
          <w:szCs w:val="28"/>
        </w:rPr>
        <w:t xml:space="preserve">пе в парк Победы со стороны улицы </w:t>
      </w:r>
      <w:r w:rsidRPr="004B692E">
        <w:rPr>
          <w:szCs w:val="28"/>
        </w:rPr>
        <w:t>Мира.</w:t>
      </w:r>
      <w:bookmarkStart w:id="14" w:name="_Toc3795522"/>
      <w:bookmarkStart w:id="15" w:name="_Toc4056084"/>
      <w:bookmarkEnd w:id="3"/>
      <w:bookmarkEnd w:id="4"/>
      <w:bookmarkEnd w:id="5"/>
      <w:bookmarkEnd w:id="6"/>
      <w:bookmarkEnd w:id="14"/>
      <w:bookmarkEnd w:id="15"/>
    </w:p>
    <w:sectPr w:rsidR="005E6A14"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1C" w:rsidRDefault="00842E1C" w:rsidP="00FF5332">
      <w:pPr>
        <w:spacing w:after="0" w:line="240" w:lineRule="auto"/>
      </w:pPr>
      <w:r>
        <w:separator/>
      </w:r>
    </w:p>
  </w:endnote>
  <w:endnote w:type="continuationSeparator" w:id="0">
    <w:p w:rsidR="00842E1C" w:rsidRDefault="00842E1C"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1C" w:rsidRDefault="00842E1C" w:rsidP="00FF5332">
      <w:pPr>
        <w:spacing w:after="0" w:line="240" w:lineRule="auto"/>
      </w:pPr>
      <w:r>
        <w:separator/>
      </w:r>
    </w:p>
  </w:footnote>
  <w:footnote w:type="continuationSeparator" w:id="0">
    <w:p w:rsidR="00842E1C" w:rsidRDefault="00842E1C"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5A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3F0E"/>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2E1C"/>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14A3"/>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1\&#1044;&#1048;&#1040;&#1043;&#1056;&#1040;&#1052;&#1052;&#10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1\&#1088;&#1072;&#1079;&#1085;&#1086;&#1077;\&#1044;&#1048;&#1040;&#1043;&#1056;&#1040;&#1052;&#1052;&#10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754221418997576E-2"/>
          <c:y val="0"/>
          <c:w val="0.94548487341818621"/>
          <c:h val="0.8416746864975280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'Доступная среда 2021'!$B$5:$D$5</c:f>
              <c:strCache>
                <c:ptCount val="3"/>
                <c:pt idx="0">
                  <c:v> 2020 год (исполнено) </c:v>
                </c:pt>
                <c:pt idx="1">
                  <c:v> 2021 год (плановые назначения) </c:v>
                </c:pt>
                <c:pt idx="2">
                  <c:v> 2021 (исполнено) </c:v>
                </c:pt>
              </c:strCache>
            </c:strRef>
          </c:cat>
          <c:val>
            <c:numRef>
              <c:f>'Доступная среда 2021'!$B$6:$D$6</c:f>
              <c:numCache>
                <c:formatCode>#\ ##0.0;[Red]\-#\ ##0.0;0.0</c:formatCode>
                <c:ptCount val="3"/>
                <c:pt idx="0">
                  <c:v>1750</c:v>
                </c:pt>
                <c:pt idx="1">
                  <c:v>921.6</c:v>
                </c:pt>
                <c:pt idx="2">
                  <c:v>921.6</c:v>
                </c:pt>
              </c:numCache>
            </c:numRef>
          </c:val>
        </c:ser>
        <c:dLbls>
          <c:showLegendKey val="0"/>
          <c:showVal val="0"/>
          <c:showCatName val="0"/>
          <c:showSerName val="0"/>
          <c:showPercent val="0"/>
          <c:showBubbleSize val="0"/>
        </c:dLbls>
        <c:gapWidth val="219"/>
        <c:overlap val="-27"/>
        <c:axId val="74965760"/>
        <c:axId val="74967296"/>
      </c:barChart>
      <c:catAx>
        <c:axId val="7496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74967296"/>
        <c:crosses val="autoZero"/>
        <c:auto val="1"/>
        <c:lblAlgn val="ctr"/>
        <c:lblOffset val="100"/>
        <c:noMultiLvlLbl val="0"/>
      </c:catAx>
      <c:valAx>
        <c:axId val="74967296"/>
        <c:scaling>
          <c:orientation val="minMax"/>
        </c:scaling>
        <c:delete val="1"/>
        <c:axPos val="l"/>
        <c:numFmt formatCode="#\ ##0.0;[Red]\-#\ ##0.0;0.0" sourceLinked="1"/>
        <c:majorTickMark val="none"/>
        <c:minorTickMark val="none"/>
        <c:tickLblPos val="none"/>
        <c:crossAx val="749657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035758814343856"/>
          <c:y val="0.19588243322526241"/>
          <c:w val="0.43059978812241012"/>
          <c:h val="0.77321117602669964"/>
        </c:manualLayout>
      </c:layout>
      <c:barChart>
        <c:barDir val="bar"/>
        <c:grouping val="clustered"/>
        <c:varyColors val="0"/>
        <c:ser>
          <c:idx val="0"/>
          <c:order val="0"/>
          <c:tx>
            <c:strRef>
              <c:f>'Доступная среда 2021'!$B$1</c:f>
              <c:strCache>
                <c:ptCount val="1"/>
                <c:pt idx="0">
                  <c:v>2020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'Доступная среда 2021'!$A$2:$A$3</c:f>
              <c:strCache>
                <c:ptCount val="2"/>
                <c:pt idx="0">
                  <c:v>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c:v>
                </c:pt>
                <c:pt idx="1">
                  <c:v>Обеспечение дорожно-транспортной доступности для маломобильных групп населения</c:v>
                </c:pt>
              </c:strCache>
            </c:strRef>
          </c:cat>
          <c:val>
            <c:numRef>
              <c:f>'Доступная среда 2021'!$B$2:$B$3</c:f>
              <c:numCache>
                <c:formatCode>#\ ##0.0;[Red]\-#\ ##0.0;0.0</c:formatCode>
                <c:ptCount val="2"/>
                <c:pt idx="0">
                  <c:v>953.5</c:v>
                </c:pt>
                <c:pt idx="1">
                  <c:v>796.5</c:v>
                </c:pt>
              </c:numCache>
            </c:numRef>
          </c:val>
        </c:ser>
        <c:ser>
          <c:idx val="1"/>
          <c:order val="1"/>
          <c:tx>
            <c:strRef>
              <c:f>'Доступная среда 2021'!$C$1</c:f>
              <c:strCache>
                <c:ptCount val="1"/>
                <c:pt idx="0">
                  <c:v>2021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'Доступная среда 2021'!$A$2:$A$3</c:f>
              <c:strCache>
                <c:ptCount val="2"/>
                <c:pt idx="0">
                  <c:v>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c:v>
                </c:pt>
                <c:pt idx="1">
                  <c:v>Обеспечение дорожно-транспортной доступности для маломобильных групп населения</c:v>
                </c:pt>
              </c:strCache>
            </c:strRef>
          </c:cat>
          <c:val>
            <c:numRef>
              <c:f>'Доступная среда 2021'!$C$2:$C$3</c:f>
              <c:numCache>
                <c:formatCode>#\ ##0.0;[Red]\-#\ ##0.0;0.0</c:formatCode>
                <c:ptCount val="2"/>
                <c:pt idx="0">
                  <c:v>449.8</c:v>
                </c:pt>
                <c:pt idx="1">
                  <c:v>471.8</c:v>
                </c:pt>
              </c:numCache>
            </c:numRef>
          </c:val>
        </c:ser>
        <c:ser>
          <c:idx val="2"/>
          <c:order val="2"/>
          <c:tx>
            <c:strRef>
              <c:f>'Доступная среда 2021'!$D$1</c:f>
              <c:strCache>
                <c:ptCount val="1"/>
                <c:pt idx="0">
                  <c:v>2021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'Доступная среда 2021'!$A$2:$A$3</c:f>
              <c:strCache>
                <c:ptCount val="2"/>
                <c:pt idx="0">
                  <c:v>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c:v>
                </c:pt>
                <c:pt idx="1">
                  <c:v>Обеспечение дорожно-транспортной доступности для маломобильных групп населения</c:v>
                </c:pt>
              </c:strCache>
            </c:strRef>
          </c:cat>
          <c:val>
            <c:numRef>
              <c:f>'Доступная среда 2021'!$D$2:$D$3</c:f>
              <c:numCache>
                <c:formatCode>#\ ##0.0;[Red]\-#\ ##0.0;0.0</c:formatCode>
                <c:ptCount val="2"/>
                <c:pt idx="0">
                  <c:v>449.8</c:v>
                </c:pt>
                <c:pt idx="1">
                  <c:v>471.8</c:v>
                </c:pt>
              </c:numCache>
            </c:numRef>
          </c:val>
        </c:ser>
        <c:dLbls>
          <c:showLegendKey val="0"/>
          <c:showVal val="1"/>
          <c:showCatName val="0"/>
          <c:showSerName val="0"/>
          <c:showPercent val="0"/>
          <c:showBubbleSize val="0"/>
        </c:dLbls>
        <c:gapWidth val="150"/>
        <c:overlap val="-25"/>
        <c:axId val="75198848"/>
        <c:axId val="75200384"/>
      </c:barChart>
      <c:catAx>
        <c:axId val="75198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200384"/>
        <c:crosses val="autoZero"/>
        <c:auto val="1"/>
        <c:lblAlgn val="ctr"/>
        <c:lblOffset val="100"/>
        <c:noMultiLvlLbl val="0"/>
      </c:catAx>
      <c:valAx>
        <c:axId val="75200384"/>
        <c:scaling>
          <c:orientation val="minMax"/>
        </c:scaling>
        <c:delete val="1"/>
        <c:axPos val="b"/>
        <c:numFmt formatCode="#\ ##0.0;[Red]\-#\ ##0.0;0.0" sourceLinked="1"/>
        <c:majorTickMark val="none"/>
        <c:minorTickMark val="none"/>
        <c:tickLblPos val="none"/>
        <c:crossAx val="75198848"/>
        <c:crosses val="autoZero"/>
        <c:crossBetween val="between"/>
      </c:valAx>
      <c:spPr>
        <a:noFill/>
        <a:ln>
          <a:noFill/>
        </a:ln>
        <a:effectLst/>
      </c:spPr>
    </c:plotArea>
    <c:legend>
      <c:legendPos val="t"/>
      <c:layout>
        <c:manualLayout>
          <c:xMode val="edge"/>
          <c:yMode val="edge"/>
          <c:x val="0.16556665024212541"/>
          <c:y val="5.8426980076553163E-2"/>
          <c:w val="0.66162183670108377"/>
          <c:h val="6.57308126410835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36D8BF-B0D6-427E-9FD6-A5D3B928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3</cp:revision>
  <cp:lastPrinted>2022-03-29T04:21:00Z</cp:lastPrinted>
  <dcterms:created xsi:type="dcterms:W3CDTF">2022-04-12T04:26:00Z</dcterms:created>
  <dcterms:modified xsi:type="dcterms:W3CDTF">2022-04-12T04:28:00Z</dcterms:modified>
</cp:coreProperties>
</file>