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95" w:rsidRPr="00715895" w:rsidRDefault="00715895" w:rsidP="00715895">
      <w:pPr>
        <w:keepNext/>
        <w:keepLines/>
        <w:spacing w:after="0" w:line="240" w:lineRule="auto"/>
        <w:ind w:left="1222" w:right="424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ED7D31" w:themeColor="accent2"/>
          <w:sz w:val="32"/>
          <w:szCs w:val="32"/>
          <w:lang w:eastAsia="ru-RU"/>
        </w:rPr>
      </w:pPr>
      <w:r w:rsidRPr="00715895">
        <w:rPr>
          <w:rFonts w:ascii="Times New Roman" w:eastAsia="Times New Roman" w:hAnsi="Times New Roman" w:cs="Times New Roman"/>
          <w:b/>
          <w:bCs/>
          <w:color w:val="ED7D31" w:themeColor="accent2"/>
          <w:sz w:val="32"/>
          <w:szCs w:val="32"/>
          <w:lang w:eastAsia="ru-RU"/>
        </w:rPr>
        <w:t>Муниципальная программа «Осуществление городом Ханты-Мансийском функций административного центра Ханты-Мансийского автономного округа – Югры»</w:t>
      </w:r>
    </w:p>
    <w:p w:rsidR="00715895" w:rsidRPr="00715895" w:rsidRDefault="00715895" w:rsidP="0071589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95" w:rsidRPr="00715895" w:rsidRDefault="00715895" w:rsidP="007158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8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«Осуществление городом Ханты-Мансийском функций административного центра Ханты-Мансийского автономного округа – Югры» </w:t>
      </w:r>
      <w:r w:rsidRPr="00715895">
        <w:rPr>
          <w:rFonts w:ascii="Times New Roman" w:eastAsia="Calibri" w:hAnsi="Times New Roman" w:cs="Times New Roman"/>
          <w:sz w:val="28"/>
          <w:szCs w:val="28"/>
        </w:rPr>
        <w:t xml:space="preserve">утверждена постановлением Администрации города Ханты-Мансийска </w:t>
      </w:r>
      <w:r w:rsidRPr="00715895">
        <w:rPr>
          <w:rFonts w:ascii="Times New Roman" w:eastAsia="Times New Roman" w:hAnsi="Times New Roman" w:cs="Times New Roman"/>
          <w:sz w:val="28"/>
          <w:szCs w:val="28"/>
        </w:rPr>
        <w:t xml:space="preserve">от 13.02.2015 </w:t>
      </w:r>
      <w:r w:rsidRPr="00715895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715895">
        <w:rPr>
          <w:rFonts w:ascii="Times New Roman" w:eastAsia="Times New Roman" w:hAnsi="Times New Roman" w:cs="Times New Roman"/>
          <w:sz w:val="28"/>
          <w:szCs w:val="28"/>
        </w:rPr>
        <w:t>№ 359 (далее – муниципальная программа).</w:t>
      </w:r>
    </w:p>
    <w:p w:rsidR="00715895" w:rsidRPr="00715895" w:rsidRDefault="00715895" w:rsidP="007158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895">
        <w:rPr>
          <w:rFonts w:ascii="Times New Roman" w:eastAsia="Times New Roman" w:hAnsi="Times New Roman" w:cs="Times New Roman"/>
          <w:sz w:val="28"/>
          <w:szCs w:val="28"/>
        </w:rPr>
        <w:t>Разработчиком и координатором муниципальной программы является управление экономического развития и инвестиций Администрации города Ханты-Мансийска.</w:t>
      </w:r>
    </w:p>
    <w:p w:rsidR="00715895" w:rsidRPr="00715895" w:rsidRDefault="00715895" w:rsidP="0071589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895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является:</w:t>
      </w:r>
    </w:p>
    <w:p w:rsidR="00715895" w:rsidRPr="00715895" w:rsidRDefault="00715895" w:rsidP="007158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исполнения городом Ханты-Мансийском функций административного центра Ханты-Мансийского автономного округа – Югры.</w:t>
      </w:r>
    </w:p>
    <w:p w:rsidR="00715895" w:rsidRPr="00715895" w:rsidRDefault="00715895" w:rsidP="007158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муниципальной программы: </w:t>
      </w:r>
    </w:p>
    <w:p w:rsidR="00715895" w:rsidRPr="00715895" w:rsidRDefault="00715895" w:rsidP="007158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проведения массовых мероприятий, проводимых в городе Ханты-Мансийске, путем создания необходимых условий, связанных с информационным обеспечением, обеспечением культурной программы, формированием, сохранением и развитием инфраструктуры административного центра Ханты-Мансийского автономного округа – Югры.</w:t>
      </w:r>
    </w:p>
    <w:p w:rsidR="00715895" w:rsidRPr="00715895" w:rsidRDefault="00715895" w:rsidP="0071589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на 2020 год составляет 454 545,5 тыс. рублей, в том числе средства окружного бюджета – 450 000,0 тыс. рублей, средства бюджета города Ханты-Мансийска – 4 545,5 тыс. рублей.</w:t>
      </w:r>
    </w:p>
    <w:p w:rsidR="00715895" w:rsidRPr="00715895" w:rsidRDefault="00715895" w:rsidP="0071589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Pr="00715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отчетную дату составляет 454 545,5 тыс. рублей или 100 % от годового объема финансирования. </w:t>
      </w:r>
    </w:p>
    <w:p w:rsidR="00715895" w:rsidRPr="00715895" w:rsidRDefault="00715895" w:rsidP="0071589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95" w:rsidRPr="00715895" w:rsidRDefault="00715895" w:rsidP="00715895">
      <w:pPr>
        <w:spacing w:after="0" w:line="276" w:lineRule="auto"/>
        <w:ind w:right="4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3.10.1.</w:t>
      </w:r>
    </w:p>
    <w:p w:rsidR="00715895" w:rsidRPr="00715895" w:rsidRDefault="00715895" w:rsidP="00715895">
      <w:pPr>
        <w:autoSpaceDE w:val="0"/>
        <w:autoSpaceDN w:val="0"/>
        <w:adjustRightInd w:val="0"/>
        <w:spacing w:after="0" w:line="276" w:lineRule="auto"/>
        <w:ind w:right="42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Объёмы ассигнований на реализацию муниципальной программы </w:t>
      </w:r>
      <w:r w:rsidRPr="0071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«Осуществление городом Ханты-Мансийском функций административного центра Ханты-Мансийского автономного округа – Югры», тыс. рублей.</w:t>
      </w:r>
    </w:p>
    <w:p w:rsidR="00715895" w:rsidRPr="00715895" w:rsidRDefault="00715895" w:rsidP="00715895">
      <w:pPr>
        <w:autoSpaceDE w:val="0"/>
        <w:autoSpaceDN w:val="0"/>
        <w:adjustRightInd w:val="0"/>
        <w:spacing w:after="0" w:line="276" w:lineRule="auto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895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54893342" wp14:editId="6E17BDB4">
            <wp:extent cx="5943600" cy="1600200"/>
            <wp:effectExtent l="0" t="0" r="0" b="0"/>
            <wp:docPr id="1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5895" w:rsidRPr="00715895" w:rsidRDefault="00715895" w:rsidP="00715895">
      <w:pPr>
        <w:tabs>
          <w:tab w:val="left" w:pos="0"/>
        </w:tabs>
        <w:suppressAutoHyphens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распределены следующим образом:</w:t>
      </w:r>
    </w:p>
    <w:p w:rsidR="008C73AB" w:rsidRDefault="008C73AB" w:rsidP="00715895">
      <w:pPr>
        <w:tabs>
          <w:tab w:val="left" w:pos="8647"/>
        </w:tabs>
        <w:spacing w:after="200" w:line="276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95" w:rsidRPr="00715895" w:rsidRDefault="00715895" w:rsidP="00715895">
      <w:pPr>
        <w:tabs>
          <w:tab w:val="left" w:pos="8647"/>
        </w:tabs>
        <w:spacing w:after="200" w:line="276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3.10.1.</w:t>
      </w:r>
    </w:p>
    <w:p w:rsidR="00715895" w:rsidRPr="00715895" w:rsidRDefault="00715895" w:rsidP="00715895">
      <w:pPr>
        <w:tabs>
          <w:tab w:val="left" w:pos="459"/>
          <w:tab w:val="left" w:pos="8647"/>
        </w:tabs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бюджетных ассигнований за 2020 год по основному исполнителю и соисполнителям муниципальной программы «Осуществление городом Ханты-Мансийском функций административного центра Ханты-Мансийского автономного округа – Югры»</w:t>
      </w:r>
    </w:p>
    <w:p w:rsidR="00715895" w:rsidRPr="00715895" w:rsidRDefault="00715895" w:rsidP="00715895">
      <w:pPr>
        <w:tabs>
          <w:tab w:val="left" w:pos="459"/>
          <w:tab w:val="left" w:pos="8647"/>
        </w:tabs>
        <w:suppressAutoHyphens/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5895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Style w:val="-161"/>
        <w:tblW w:w="97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261"/>
        <w:gridCol w:w="1134"/>
        <w:gridCol w:w="1559"/>
        <w:gridCol w:w="1545"/>
        <w:gridCol w:w="1405"/>
      </w:tblGrid>
      <w:tr w:rsidR="00715895" w:rsidRPr="00715895" w:rsidTr="00715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8D08D" w:themeColor="accent6" w:themeTint="99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4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8D08D" w:themeColor="accent6" w:themeTint="99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8D08D" w:themeColor="accent6" w:themeTint="99"/>
              <w:right w:val="single" w:sz="4" w:space="0" w:color="auto"/>
            </w:tcBorders>
            <w:noWrap/>
            <w:hideMark/>
          </w:tcPr>
          <w:p w:rsidR="00715895" w:rsidRPr="00715895" w:rsidRDefault="00715895" w:rsidP="00715895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 xml:space="preserve">2019 год  </w:t>
            </w:r>
          </w:p>
          <w:p w:rsidR="00715895" w:rsidRPr="00715895" w:rsidRDefault="00715895" w:rsidP="00715895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 xml:space="preserve">   (отчет)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895" w:rsidRPr="00715895" w:rsidRDefault="00715895" w:rsidP="00715895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</w:p>
        </w:tc>
      </w:tr>
      <w:tr w:rsidR="00715895" w:rsidRPr="00715895" w:rsidTr="00715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895" w:rsidRPr="00715895" w:rsidRDefault="00715895" w:rsidP="007158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895" w:rsidRPr="00715895" w:rsidRDefault="00715895" w:rsidP="00715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895" w:rsidRPr="00715895" w:rsidRDefault="00715895" w:rsidP="00715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715895" w:rsidRPr="00715895" w:rsidTr="007158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95" w:rsidRPr="00715895" w:rsidRDefault="00715895" w:rsidP="00715895">
            <w:pPr>
              <w:ind w:right="42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611 111,1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454 545,5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454 545,5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5895" w:rsidRPr="00715895" w:rsidTr="00715895">
        <w:trPr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left="-108" w:right="4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895">
              <w:rPr>
                <w:rFonts w:ascii="Times New Roman" w:hAnsi="Times New Roman"/>
                <w:bCs/>
                <w:sz w:val="20"/>
                <w:szCs w:val="20"/>
              </w:rPr>
              <w:t>Департамент градостроительства и архитектуры Администрации города Ханты-Мансийска, МКУ «Управление капитального строительства города Ханты-Мансийска»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895">
              <w:rPr>
                <w:rFonts w:ascii="Times New Roman" w:hAnsi="Times New Roman"/>
                <w:bCs/>
                <w:sz w:val="20"/>
                <w:szCs w:val="20"/>
              </w:rPr>
              <w:t>91 940,9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895">
              <w:rPr>
                <w:rFonts w:ascii="Times New Roman" w:hAnsi="Times New Roman"/>
                <w:bCs/>
                <w:sz w:val="20"/>
                <w:szCs w:val="20"/>
              </w:rPr>
              <w:t>6 940,9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895">
              <w:rPr>
                <w:rFonts w:ascii="Times New Roman" w:hAnsi="Times New Roman"/>
                <w:bCs/>
                <w:sz w:val="20"/>
                <w:szCs w:val="20"/>
              </w:rPr>
              <w:t>6 940,9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895">
              <w:rPr>
                <w:rFonts w:ascii="Times New Roman" w:hAnsi="Times New Roman"/>
                <w:bCs/>
                <w:sz w:val="20"/>
                <w:szCs w:val="20"/>
              </w:rPr>
              <w:t>100%</w:t>
            </w:r>
          </w:p>
        </w:tc>
      </w:tr>
      <w:tr w:rsidR="00715895" w:rsidRPr="00715895" w:rsidTr="007158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4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895">
              <w:rPr>
                <w:rFonts w:ascii="Times New Roman" w:hAnsi="Times New Roman"/>
                <w:bCs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64 145,0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60 929,9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60 929,9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5895" w:rsidRPr="00715895" w:rsidTr="007158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4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895">
              <w:rPr>
                <w:rFonts w:ascii="Times New Roman" w:hAnsi="Times New Roman"/>
                <w:bCs/>
                <w:sz w:val="20"/>
                <w:szCs w:val="20"/>
              </w:rPr>
              <w:t>МКУ «Служба муниципального заказа в ЖКХ»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440 876,2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381 874,7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381 874,7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5895" w:rsidRPr="00715895" w:rsidTr="007158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4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895">
              <w:rPr>
                <w:rFonts w:ascii="Times New Roman" w:hAnsi="Times New Roman"/>
                <w:bCs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14 149,0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5895" w:rsidRPr="00715895" w:rsidTr="007158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4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895">
              <w:rPr>
                <w:rFonts w:ascii="Times New Roman" w:hAnsi="Times New Roman"/>
                <w:bCs/>
                <w:sz w:val="20"/>
                <w:szCs w:val="20"/>
              </w:rPr>
              <w:t>Департамент муниципальной собственности Администрации города Ханты-Мансийска, МКУ «Дирекция по содержанию имущества казны»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4 800,0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4 800,0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715895" w:rsidRPr="00715895" w:rsidRDefault="00715895" w:rsidP="00715895">
      <w:pPr>
        <w:tabs>
          <w:tab w:val="left" w:pos="0"/>
        </w:tabs>
        <w:suppressAutoHyphens/>
        <w:spacing w:after="0" w:line="360" w:lineRule="auto"/>
        <w:ind w:right="424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895" w:rsidRPr="00715895" w:rsidRDefault="00715895" w:rsidP="00715895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95" w:rsidRDefault="00715895" w:rsidP="00715895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95" w:rsidRPr="00715895" w:rsidRDefault="00715895" w:rsidP="00715895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3.10.2.</w:t>
      </w:r>
    </w:p>
    <w:p w:rsidR="00715895" w:rsidRPr="00715895" w:rsidRDefault="00715895" w:rsidP="00715895">
      <w:pPr>
        <w:tabs>
          <w:tab w:val="left" w:pos="459"/>
          <w:tab w:val="left" w:pos="8505"/>
        </w:tabs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муниципальной программы «Осуществление городом Ханты-Мансийском функций административного центра Ханты-Мансийского автономного округа – Югры», тыс. рублей</w:t>
      </w:r>
    </w:p>
    <w:p w:rsidR="00715895" w:rsidRPr="00715895" w:rsidRDefault="00715895" w:rsidP="00715895">
      <w:pPr>
        <w:spacing w:after="200" w:line="276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E80420B" wp14:editId="6F1C7688">
            <wp:extent cx="5943600" cy="2381250"/>
            <wp:effectExtent l="0" t="0" r="0" b="0"/>
            <wp:docPr id="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C73AB" w:rsidRDefault="008C73AB" w:rsidP="00715895">
      <w:pPr>
        <w:spacing w:after="200" w:line="276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95" w:rsidRPr="00715895" w:rsidRDefault="00715895" w:rsidP="00715895">
      <w:pPr>
        <w:spacing w:after="200" w:line="276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15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3.10.2.</w:t>
      </w:r>
    </w:p>
    <w:p w:rsidR="00715895" w:rsidRPr="00715895" w:rsidRDefault="00715895" w:rsidP="00715895">
      <w:pPr>
        <w:tabs>
          <w:tab w:val="left" w:pos="459"/>
        </w:tabs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расходов муниципальной программы «Осуществление городом Ханты-Мансийском функций административного центра Ханты-Мансийского автономного округа – Югры» </w:t>
      </w:r>
    </w:p>
    <w:p w:rsidR="00715895" w:rsidRPr="00715895" w:rsidRDefault="00715895" w:rsidP="00715895">
      <w:pPr>
        <w:tabs>
          <w:tab w:val="left" w:pos="459"/>
        </w:tabs>
        <w:suppressAutoHyphens/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Style w:val="-161"/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275"/>
        <w:gridCol w:w="1417"/>
        <w:gridCol w:w="1311"/>
        <w:gridCol w:w="1276"/>
      </w:tblGrid>
      <w:tr w:rsidR="00715895" w:rsidRPr="00715895" w:rsidTr="00715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895" w:rsidRPr="00715895" w:rsidRDefault="00715895" w:rsidP="00715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2019 год (отчет)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15895" w:rsidRPr="00715895" w:rsidRDefault="00715895" w:rsidP="00715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</w:p>
        </w:tc>
      </w:tr>
      <w:tr w:rsidR="00715895" w:rsidRPr="00715895" w:rsidTr="0071589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95" w:rsidRPr="00715895" w:rsidRDefault="00715895" w:rsidP="007158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95" w:rsidRPr="00715895" w:rsidRDefault="00715895" w:rsidP="00715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715895" w:rsidRPr="00715895" w:rsidTr="007158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 всего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611 111,1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454 545,5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454 545,5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15895">
              <w:rPr>
                <w:rFonts w:ascii="Times New Roman" w:hAnsi="Times New Roman"/>
                <w:bCs/>
                <w:sz w:val="20"/>
                <w:szCs w:val="20"/>
              </w:rPr>
              <w:t>100%</w:t>
            </w:r>
          </w:p>
        </w:tc>
      </w:tr>
      <w:tr w:rsidR="00715895" w:rsidRPr="00715895" w:rsidTr="007158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6 111,1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4 545,5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4 545,5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5895" w:rsidRPr="00715895" w:rsidTr="007158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605 000,0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450 000,0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450 000,0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5895" w:rsidRPr="00715895" w:rsidTr="007158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проведения»,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18 716,5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18 355,4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18 355,4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5895" w:rsidRPr="00715895" w:rsidTr="007158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187,2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183,6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183,6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5895" w:rsidRPr="00715895" w:rsidTr="007158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18 529,3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18 171,8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18 171,8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5895" w:rsidRPr="00715895" w:rsidTr="007158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Основное мероприятие «Создание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Югры»,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592 394,6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436 190,1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436 190,1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5895" w:rsidRPr="00715895" w:rsidTr="007158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5 923,9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4 361,9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4 361,9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5895" w:rsidRPr="00715895" w:rsidTr="007158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586 470,7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431 828,2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431 828,2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95" w:rsidRPr="00715895" w:rsidRDefault="00715895" w:rsidP="00715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1589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715895" w:rsidRPr="00715895" w:rsidRDefault="00715895" w:rsidP="00715895">
      <w:pPr>
        <w:widowControl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95" w:rsidRPr="00715895" w:rsidRDefault="00715895" w:rsidP="00715895">
      <w:pPr>
        <w:widowControl w:val="0"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95" w:rsidRPr="00715895" w:rsidRDefault="00715895" w:rsidP="00715895">
      <w:pPr>
        <w:widowControl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Программы и запланированных показателей были реализованы основные мероприятия:</w:t>
      </w:r>
    </w:p>
    <w:p w:rsidR="00715895" w:rsidRPr="00715895" w:rsidRDefault="00715895" w:rsidP="00715895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895">
        <w:rPr>
          <w:rFonts w:ascii="Times New Roman" w:hAnsi="Times New Roman" w:cs="Times New Roman"/>
          <w:sz w:val="28"/>
          <w:szCs w:val="28"/>
        </w:rPr>
        <w:t xml:space="preserve">«Обеспечение культурной программы мероприятий и организация праздничного оформления административного центра Ханты-Мансийского автономного округа – Югры, в период их проведения» на общую сумму 18 355,4 тыс. рублей или 100% от плана на 2020 год, из них: 18 171,8 тыс. рублей - субсидии бюджета автономного округа; 183,6 тыс. рублей доля </w:t>
      </w:r>
      <w:proofErr w:type="spellStart"/>
      <w:r w:rsidRPr="0071589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15895">
        <w:rPr>
          <w:rFonts w:ascii="Times New Roman" w:hAnsi="Times New Roman" w:cs="Times New Roman"/>
          <w:sz w:val="28"/>
          <w:szCs w:val="28"/>
        </w:rPr>
        <w:t xml:space="preserve"> городского бюджета. </w:t>
      </w:r>
    </w:p>
    <w:p w:rsidR="00715895" w:rsidRPr="00715895" w:rsidRDefault="00715895" w:rsidP="00715895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направлены на обеспечение и организация работ (услуг) по праздничному оформлению административного центра Ханты-Мансийского автономного округа – Югры, в том числе выполнены следующие работы по мероприятию:</w:t>
      </w:r>
    </w:p>
    <w:p w:rsidR="00715895" w:rsidRPr="00715895" w:rsidRDefault="00715895" w:rsidP="00715895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оказание услуг по поставке электрической энергии в период праздничных мероприятий: проект «Ханты-Мансийск – Новогодняя столица» (старт проекта, проведение игровых программ, церемония закрытия проекта), Новогодний и Рождественский фейерверки, шоу ростовых кукол «Новогодние игрушки», </w:t>
      </w: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фестиваль технических видов спорта «Экстремальная зима», проведение </w:t>
      </w:r>
      <w:r w:rsidRPr="00715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</w:t>
      </w: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-фестиваля, новогоднее поздравление жителей и гостей города.</w:t>
      </w:r>
    </w:p>
    <w:p w:rsidR="00715895" w:rsidRPr="00715895" w:rsidRDefault="00715895" w:rsidP="00715895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оказаны и оплачены услуги по доставке, монтажу, оформлению, содержанию и охране, демонтажу и вывозу новогодней искусственной елки на Центральной площади, украшений фонтана «Ротонда», изготовление световой консоли;</w:t>
      </w:r>
    </w:p>
    <w:p w:rsidR="00715895" w:rsidRPr="00715895" w:rsidRDefault="00715895" w:rsidP="00715895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«Создание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Югры» на общую сумму 436 190,1 тыс. рублей или 100% от плана на 2020 год, из них: 431 828,2 тыс. рублей - субсидии бюджета автономного округа, 4 361,9 тыс. рублей - доля </w:t>
      </w:r>
      <w:proofErr w:type="spellStart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бюджета. Реализация мероприятия заключалась в обеспечении и организации работ (услуг):</w:t>
      </w:r>
    </w:p>
    <w:p w:rsidR="00715895" w:rsidRPr="00715895" w:rsidRDefault="00715895" w:rsidP="00715895">
      <w:pPr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 содержанию и сохранению объектов внешнего благоустройства при плане 96 564,5 тыс. рублей исполнение составило 100%. </w:t>
      </w:r>
    </w:p>
    <w:p w:rsidR="00715895" w:rsidRPr="00715895" w:rsidRDefault="00715895" w:rsidP="00715895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внешнего благоустройства:  площади: «Центральная» «Свободы», «Спортивной славы», «Славянской письменности», площадь по ул. Гагарина д. 284 с фонтаном (напротив площади «Свободы»); парки: «Победы», «им. Бориса Лосева», культурно-туристический комплекс «</w:t>
      </w:r>
      <w:proofErr w:type="spellStart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Археопарк</w:t>
      </w:r>
      <w:proofErr w:type="spellEnd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»; скверы: «Сиреневый», «Черемуховый», «</w:t>
      </w:r>
      <w:proofErr w:type="spellStart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Гидронамыв</w:t>
      </w:r>
      <w:proofErr w:type="spellEnd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«Студенческий»; памятники: «Жертвам политических репрессий», Ф. Салманову по ул. Чехова, Х. Лопареву по ул. Свободы, танк Т-34 в парке Победы, основателям города на площади Свободы; бюст П. Лопареву по ул. Чехова; монументальная композиция «Югра» по ул. Дзержинского - ул. К. Маркса; въездной знак со стороны автодороги «Тюмень-Ханты-Мансийск»; Тропа здоровья и подъезд к Тропе здоровья; пассажирский причал в составе комплекса пассажирского вокзала с прогулочной набережной, набережная и </w:t>
      </w:r>
      <w:proofErr w:type="spellStart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берегоукрепление</w:t>
      </w:r>
      <w:proofErr w:type="spellEnd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Иртыша (территории жилой застройки в районе </w:t>
      </w:r>
      <w:proofErr w:type="spellStart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Самарово</w:t>
      </w:r>
      <w:proofErr w:type="spellEnd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); территория у Стеллы, посвященной великим сибирским экспедициям; детский городок по ул. Мира, д. 63-65; объекты зеленого хозяйства, в том числе обочины и газоны, прилегающие к объектам внешнего благоустройства и улицам города.</w:t>
      </w:r>
    </w:p>
    <w:p w:rsidR="00715895" w:rsidRPr="00715895" w:rsidRDefault="00715895" w:rsidP="00715895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сохранение объектов внешнего благоустройства заключалось в выполнении работ по: очистке от снега в зимнее время и очистке от мусора в остальное время года механизированным и ручным способом площадей, тротуаров в парках, памятников и т.п., в том числе: в зимнее время  сбор, погрузка, организация размещения и вывоз снега; в летнее время - мойка; внесение удобрений, скашивание и восстановление газонов, очистка и мойка в летний период урн на площадях, в парках и чаш фонтанов на площадях; замена (ремонт) облицовки из природного камня; спиливание деревьев, содержание кустарников в живой изгороди, цветочных вазонов, клумб и прочих объектов зеленого хозяйства.</w:t>
      </w:r>
    </w:p>
    <w:p w:rsidR="00715895" w:rsidRPr="00715895" w:rsidRDefault="00715895" w:rsidP="00715895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5895">
        <w:rPr>
          <w:rFonts w:ascii="Times New Roman" w:hAnsi="Times New Roman" w:cs="Times New Roman"/>
          <w:sz w:val="28"/>
          <w:szCs w:val="28"/>
        </w:rPr>
        <w:lastRenderedPageBreak/>
        <w:t>2.2. По обеспечению работ (услуг) по содержанию объектов уличного освещения, архитектурно-художественной подсветки. План в сумме 54 522,2 тыс. рублей исполнен на 100%.</w:t>
      </w:r>
      <w:r w:rsidRPr="0071589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15895" w:rsidRPr="00715895" w:rsidRDefault="00715895" w:rsidP="00715895">
      <w:pPr>
        <w:tabs>
          <w:tab w:val="left" w:pos="709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мероприятия выполняются работы по бесперебойной и безаварийной работе объектов наружного освещения, содержание объектов наружного освещения, в том числе:</w:t>
      </w:r>
    </w:p>
    <w:p w:rsidR="00715895" w:rsidRPr="00715895" w:rsidRDefault="00715895" w:rsidP="00715895">
      <w:pPr>
        <w:tabs>
          <w:tab w:val="left" w:pos="709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и текущий ремонт светильников с натриевыми лампами в количестве 10 908 </w:t>
      </w:r>
      <w:proofErr w:type="spellStart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895" w:rsidRPr="00715895" w:rsidRDefault="00715895" w:rsidP="00715895">
      <w:pPr>
        <w:tabs>
          <w:tab w:val="left" w:pos="709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текущий ремонт воздушных линий в количестве 92,71 км;</w:t>
      </w:r>
    </w:p>
    <w:p w:rsidR="00715895" w:rsidRPr="00715895" w:rsidRDefault="00715895" w:rsidP="00715895">
      <w:pPr>
        <w:tabs>
          <w:tab w:val="left" w:pos="709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ремонт металлических опор в количестве 8 527 опор;</w:t>
      </w:r>
    </w:p>
    <w:p w:rsidR="00715895" w:rsidRPr="00715895" w:rsidRDefault="00715895" w:rsidP="00715895">
      <w:pPr>
        <w:tabs>
          <w:tab w:val="left" w:pos="709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текущий ремонт кабельной линии в количестве 288,74 км;</w:t>
      </w:r>
    </w:p>
    <w:p w:rsidR="00715895" w:rsidRPr="00715895" w:rsidRDefault="00715895" w:rsidP="00715895">
      <w:pPr>
        <w:tabs>
          <w:tab w:val="left" w:pos="709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текущий ремонт пунктов питания наружного освещения в количестве 155 питающих пунктов;</w:t>
      </w:r>
    </w:p>
    <w:p w:rsidR="00715895" w:rsidRPr="00715895" w:rsidRDefault="00715895" w:rsidP="00715895">
      <w:pPr>
        <w:tabs>
          <w:tab w:val="left" w:pos="709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и текущий ремонт архитектурно-художественной подсветки зданий и сооружений в количестве 2 942 </w:t>
      </w:r>
      <w:proofErr w:type="spellStart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895" w:rsidRPr="00715895" w:rsidRDefault="00715895" w:rsidP="00715895">
      <w:pPr>
        <w:tabs>
          <w:tab w:val="left" w:pos="709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и текущий ремонт праздничной иллюминации в количестве 10 392 </w:t>
      </w:r>
      <w:proofErr w:type="spellStart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895" w:rsidRPr="00715895" w:rsidRDefault="00715895" w:rsidP="00715895">
      <w:pPr>
        <w:tabs>
          <w:tab w:val="left" w:pos="709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и текущий ремонт световых коробов, щитовых конструкций, панель-кронштейнов на опорах наружного освещения в количестве 1557 </w:t>
      </w:r>
      <w:proofErr w:type="spellStart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895" w:rsidRPr="00715895" w:rsidRDefault="00715895" w:rsidP="00715895">
      <w:pPr>
        <w:tabs>
          <w:tab w:val="left" w:pos="709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текущий ремонт аншлагов почтовой нумерации в количестве 245 ед.;</w:t>
      </w:r>
    </w:p>
    <w:p w:rsidR="00715895" w:rsidRPr="00715895" w:rsidRDefault="00715895" w:rsidP="00715895">
      <w:pPr>
        <w:tabs>
          <w:tab w:val="left" w:pos="709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текущий ремонт флагов ветерков и флагов расцвечивания в количестве 276 ед.;</w:t>
      </w:r>
    </w:p>
    <w:p w:rsidR="00715895" w:rsidRPr="00715895" w:rsidRDefault="00715895" w:rsidP="00715895">
      <w:pPr>
        <w:tabs>
          <w:tab w:val="left" w:pos="709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текущий ремонт комплектов автоматизации нерегулируемых пешеходных переходов в количестве 126 сигнальных фонарей;</w:t>
      </w:r>
    </w:p>
    <w:p w:rsidR="00715895" w:rsidRPr="00715895" w:rsidRDefault="00715895" w:rsidP="00715895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и текущий ремонт праздничных украшений в количестве 1 024 </w:t>
      </w:r>
      <w:proofErr w:type="spellStart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895" w:rsidRPr="00715895" w:rsidRDefault="00715895" w:rsidP="00715895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Обеспечение и организация работ (услуг) по улучшению и сохранению архитектурного облика административного центра. План 5 696,3 тыс. рублей, исполнение 100%. В рамках данного мероприятия:</w:t>
      </w:r>
    </w:p>
    <w:p w:rsidR="00715895" w:rsidRPr="00715895" w:rsidRDefault="00715895" w:rsidP="00715895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 бронзовый бюст </w:t>
      </w:r>
      <w:proofErr w:type="spellStart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Глыдыщева</w:t>
      </w:r>
      <w:proofErr w:type="spellEnd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И.В.; </w:t>
      </w:r>
    </w:p>
    <w:p w:rsidR="00715895" w:rsidRPr="00715895" w:rsidRDefault="00715895" w:rsidP="00715895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выполнены и оплачены работы по гравировке знаков на гранитных плитах на объектах «Мемориал Вечный огонь» и «Бюсты героев».</w:t>
      </w:r>
    </w:p>
    <w:p w:rsidR="00715895" w:rsidRPr="00715895" w:rsidRDefault="00715895" w:rsidP="00715895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Обеспечение работ (услуг) по благоустройству и санитарному содержанию мест массового пребывания гостей и жителей административного центра Ханты-Мансийского автономного округа – Югры.  План 4 818,8 тыс. рублей, исполнение 100%.  По мероприятию выполнены:</w:t>
      </w:r>
    </w:p>
    <w:p w:rsidR="00715895" w:rsidRPr="00715895" w:rsidRDefault="00715895" w:rsidP="00715895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доставка, монтаж, демонтаж, вывоз и санитарное обслуживание биотуалетов, мусорных </w:t>
      </w:r>
      <w:proofErr w:type="spellStart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евроконтейнеров</w:t>
      </w:r>
      <w:proofErr w:type="spellEnd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урн, турникетов в период проведения праздничных мероприятий: </w:t>
      </w:r>
      <w:r w:rsidRPr="00715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</w:t>
      </w: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-фестиваль на территории ГК Югорская долина, </w:t>
      </w: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фестиваль технических видов спорта «Экстремальная зима», фестиваль ростовых кукол «Новогодние игрушки»;</w:t>
      </w:r>
    </w:p>
    <w:p w:rsidR="00715895" w:rsidRPr="00715895" w:rsidRDefault="00715895" w:rsidP="00715895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монтаж модульных туалетов по адресу: район </w:t>
      </w:r>
      <w:proofErr w:type="spellStart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Археопарка</w:t>
      </w:r>
      <w:proofErr w:type="spellEnd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 парка Б. Лосева 2 шт.;</w:t>
      </w:r>
    </w:p>
    <w:p w:rsidR="00715895" w:rsidRPr="00715895" w:rsidRDefault="00715895" w:rsidP="00715895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поставка мусорных уличных урн 90 шт.</w:t>
      </w:r>
    </w:p>
    <w:p w:rsidR="00715895" w:rsidRPr="00715895" w:rsidRDefault="00715895" w:rsidP="00715895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Обеспечение и организация работ (услуг) по формированию, сохранению и развитию инфраструктуры города Ханты-Мансийска при плане в сумме 6 940,9 тыс. рублей исполнение составило 100%. По данному мероприятию выполнены работы:</w:t>
      </w:r>
    </w:p>
    <w:p w:rsidR="00715895" w:rsidRPr="00715895" w:rsidRDefault="00715895" w:rsidP="00715895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приобретение уличных тумб для размещения афиш и объявлений;</w:t>
      </w:r>
    </w:p>
    <w:p w:rsidR="00715895" w:rsidRPr="00715895" w:rsidRDefault="00715895" w:rsidP="00715895">
      <w:pPr>
        <w:spacing w:after="0" w:line="276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поставка рекламного оборудования.</w:t>
      </w:r>
    </w:p>
    <w:p w:rsidR="00715895" w:rsidRPr="00715895" w:rsidRDefault="00715895" w:rsidP="00715895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 Обеспечение и организация работ (услуг) по содержанию, ремонту и благоустройству улиц, проездов, дорог, парковок, автостоянок, эстакад, тротуаров, </w:t>
      </w:r>
      <w:proofErr w:type="spellStart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водопропусков</w:t>
      </w:r>
      <w:proofErr w:type="spellEnd"/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светофорных и иных объектов. При плане 267 647,4 тыс. рублей, исполнение составило 100%. Выполнено по мероприятию:</w:t>
      </w:r>
    </w:p>
    <w:p w:rsidR="00715895" w:rsidRPr="00715895" w:rsidRDefault="00715895" w:rsidP="00715895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по содержанию проезжей части дорог 1 715,6 тыс.м</w:t>
      </w:r>
      <w:r w:rsidRPr="007158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11670" w:rsidRDefault="00715895" w:rsidP="00715895">
      <w:r w:rsidRPr="007158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по содержанию подземных пешеходных переходов (перекресток ул. Чехова – ул. Дзержинского, перекресток ул. Чехова – ул. Гагарина, ул. Мира – ул. Энгельса, ул. Студенческая (район дома №1), ул. Мира (район дома №118), ул. Мира гостиничный комплекс «Русский двор», надземный пешеходный переход по ул. Объездная (район дома №12).</w:t>
      </w:r>
    </w:p>
    <w:sectPr w:rsidR="00711670" w:rsidSect="00681F98">
      <w:pgSz w:w="11906" w:h="16838" w:code="9"/>
      <w:pgMar w:top="851" w:right="907" w:bottom="709" w:left="1202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1326C"/>
    <w:multiLevelType w:val="multilevel"/>
    <w:tmpl w:val="2E20CA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07"/>
    <w:rsid w:val="00096007"/>
    <w:rsid w:val="00440C2F"/>
    <w:rsid w:val="00681F98"/>
    <w:rsid w:val="00715895"/>
    <w:rsid w:val="008C73AB"/>
    <w:rsid w:val="00E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4BCA-9549-4501-B645-317B5587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61">
    <w:name w:val="Таблица-сетка 1 светлая — акцент 61"/>
    <w:basedOn w:val="a1"/>
    <w:uiPriority w:val="46"/>
    <w:rsid w:val="007158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0087294813899339E-2"/>
          <c:y val="0.11969508384251924"/>
          <c:w val="0.96301325234903989"/>
          <c:h val="0.6619868559247006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'Столица 2020'!$B$4:$D$4</c:f>
              <c:strCache>
                <c:ptCount val="3"/>
                <c:pt idx="0">
                  <c:v>2019 год (исполнено)</c:v>
                </c:pt>
                <c:pt idx="1">
                  <c:v>2020 год (плановые назначения)</c:v>
                </c:pt>
                <c:pt idx="2">
                  <c:v>2020 (исполнено)</c:v>
                </c:pt>
              </c:strCache>
            </c:strRef>
          </c:cat>
          <c:val>
            <c:numRef>
              <c:f>'Столица 2020'!$B$5:$D$5</c:f>
              <c:numCache>
                <c:formatCode>#\ ##0.0_ ;[Red]\-#\ ##0.0\ </c:formatCode>
                <c:ptCount val="3"/>
                <c:pt idx="0">
                  <c:v>611111.1</c:v>
                </c:pt>
                <c:pt idx="1">
                  <c:v>454545.5</c:v>
                </c:pt>
                <c:pt idx="2">
                  <c:v>454545.5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4410400"/>
        <c:axId val="244411576"/>
      </c:barChart>
      <c:catAx>
        <c:axId val="24441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411576"/>
        <c:crosses val="autoZero"/>
        <c:auto val="1"/>
        <c:lblAlgn val="ctr"/>
        <c:lblOffset val="100"/>
        <c:noMultiLvlLbl val="0"/>
      </c:catAx>
      <c:valAx>
        <c:axId val="244411576"/>
        <c:scaling>
          <c:orientation val="minMax"/>
        </c:scaling>
        <c:delete val="1"/>
        <c:axPos val="l"/>
        <c:numFmt formatCode="#\ ##0.0_ ;[Red]\-#\ ##0.0\ " sourceLinked="1"/>
        <c:majorTickMark val="none"/>
        <c:minorTickMark val="none"/>
        <c:tickLblPos val="none"/>
        <c:crossAx val="244410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'Столица 2020'!$B$1</c:f>
              <c:strCache>
                <c:ptCount val="1"/>
                <c:pt idx="0">
                  <c:v>2019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'Столица 2020'!$A$2:$A$3</c:f>
              <c:strCache>
                <c:ptCount val="2"/>
                <c:pt idx="0">
                  <c:v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c:v>
                </c:pt>
                <c:pt idx="1">
                  <c:v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</c:v>
                </c:pt>
              </c:strCache>
            </c:strRef>
          </c:cat>
          <c:val>
            <c:numRef>
              <c:f>'Столица 2020'!$B$2:$B$3</c:f>
              <c:numCache>
                <c:formatCode>#\ ##0.0;[Red]\-#\ ##0.0;0.0</c:formatCode>
                <c:ptCount val="2"/>
                <c:pt idx="0">
                  <c:v>18716.5</c:v>
                </c:pt>
                <c:pt idx="1">
                  <c:v>592394.6</c:v>
                </c:pt>
              </c:numCache>
            </c:numRef>
          </c:val>
        </c:ser>
        <c:ser>
          <c:idx val="1"/>
          <c:order val="1"/>
          <c:tx>
            <c:strRef>
              <c:f>'Столица 2020'!$C$1</c:f>
              <c:strCache>
                <c:ptCount val="1"/>
                <c:pt idx="0">
                  <c:v>2020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'Столица 2020'!$A$2:$A$3</c:f>
              <c:strCache>
                <c:ptCount val="2"/>
                <c:pt idx="0">
                  <c:v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c:v>
                </c:pt>
                <c:pt idx="1">
                  <c:v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</c:v>
                </c:pt>
              </c:strCache>
            </c:strRef>
          </c:cat>
          <c:val>
            <c:numRef>
              <c:f>'Столица 2020'!$C$2:$C$3</c:f>
              <c:numCache>
                <c:formatCode>#\ ##0.0;[Red]\-#\ ##0.0;0.0</c:formatCode>
                <c:ptCount val="2"/>
                <c:pt idx="0">
                  <c:v>18355.400000000001</c:v>
                </c:pt>
                <c:pt idx="1">
                  <c:v>436190.1</c:v>
                </c:pt>
              </c:numCache>
            </c:numRef>
          </c:val>
        </c:ser>
        <c:ser>
          <c:idx val="2"/>
          <c:order val="2"/>
          <c:tx>
            <c:strRef>
              <c:f>'Столица 2020'!$D$1</c:f>
              <c:strCache>
                <c:ptCount val="1"/>
                <c:pt idx="0">
                  <c:v>2020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'Столица 2020'!$A$2:$A$3</c:f>
              <c:strCache>
                <c:ptCount val="2"/>
                <c:pt idx="0">
                  <c:v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c:v>
                </c:pt>
                <c:pt idx="1">
                  <c:v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</c:v>
                </c:pt>
              </c:strCache>
            </c:strRef>
          </c:cat>
          <c:val>
            <c:numRef>
              <c:f>'Столица 2020'!$D$2:$D$3</c:f>
              <c:numCache>
                <c:formatCode>#\ ##0.0;[Red]\-#\ ##0.0;0.0</c:formatCode>
                <c:ptCount val="2"/>
                <c:pt idx="0">
                  <c:v>18355.400000000001</c:v>
                </c:pt>
                <c:pt idx="1">
                  <c:v>436190.1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8527296"/>
        <c:axId val="148526904"/>
      </c:barChart>
      <c:catAx>
        <c:axId val="148527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526904"/>
        <c:crosses val="autoZero"/>
        <c:auto val="1"/>
        <c:lblAlgn val="ctr"/>
        <c:lblOffset val="100"/>
        <c:noMultiLvlLbl val="0"/>
      </c:catAx>
      <c:valAx>
        <c:axId val="148526904"/>
        <c:scaling>
          <c:orientation val="minMax"/>
        </c:scaling>
        <c:delete val="1"/>
        <c:axPos val="b"/>
        <c:numFmt formatCode="#\ ##0.0;[Red]\-#\ ##0.0;0.0" sourceLinked="1"/>
        <c:majorTickMark val="none"/>
        <c:minorTickMark val="none"/>
        <c:tickLblPos val="none"/>
        <c:crossAx val="148527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1731</Words>
  <Characters>9871</Characters>
  <Application>Microsoft Office Word</Application>
  <DocSecurity>0</DocSecurity>
  <Lines>82</Lines>
  <Paragraphs>23</Paragraphs>
  <ScaleCrop>false</ScaleCrop>
  <Company/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Айнутдинова Зарина Мансуровна</dc:creator>
  <cp:keywords/>
  <dc:description/>
  <cp:lastModifiedBy>Айнутдинова Зарина Мансуровна</cp:lastModifiedBy>
  <cp:revision>3</cp:revision>
  <dcterms:created xsi:type="dcterms:W3CDTF">2021-03-18T11:57:00Z</dcterms:created>
  <dcterms:modified xsi:type="dcterms:W3CDTF">2021-03-19T04:17:00Z</dcterms:modified>
</cp:coreProperties>
</file>