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91" w:rsidRDefault="00555562" w:rsidP="00555562">
      <w:pPr>
        <w:keepNext/>
        <w:keepLines/>
        <w:spacing w:after="0" w:line="240" w:lineRule="auto"/>
        <w:ind w:right="424"/>
        <w:jc w:val="center"/>
        <w:outlineLvl w:val="0"/>
        <w:rPr>
          <w:rFonts w:eastAsiaTheme="majorEastAsia"/>
          <w:b/>
          <w:bCs/>
          <w:color w:val="C45911" w:themeColor="accent2" w:themeShade="BF"/>
          <w:sz w:val="32"/>
          <w:szCs w:val="32"/>
        </w:rPr>
      </w:pPr>
      <w:bookmarkStart w:id="0" w:name="_Toc131164265"/>
      <w:bookmarkStart w:id="1" w:name="_Toc130222741"/>
      <w:r w:rsidRPr="00555562">
        <w:rPr>
          <w:rFonts w:eastAsiaTheme="majorEastAsia"/>
          <w:b/>
          <w:bCs/>
          <w:color w:val="C45911" w:themeColor="accent2" w:themeShade="BF"/>
          <w:sz w:val="32"/>
          <w:szCs w:val="32"/>
        </w:rPr>
        <w:t>Муниципальная программа</w:t>
      </w:r>
      <w:bookmarkEnd w:id="0"/>
      <w:r w:rsidRPr="00555562">
        <w:rPr>
          <w:rFonts w:eastAsiaTheme="majorEastAsia"/>
          <w:b/>
          <w:bCs/>
          <w:color w:val="C45911" w:themeColor="accent2" w:themeShade="BF"/>
          <w:sz w:val="32"/>
          <w:szCs w:val="32"/>
        </w:rPr>
        <w:t xml:space="preserve"> </w:t>
      </w:r>
    </w:p>
    <w:p w:rsidR="00555562" w:rsidRPr="00555562" w:rsidRDefault="00555562" w:rsidP="00555562">
      <w:pPr>
        <w:keepNext/>
        <w:keepLines/>
        <w:spacing w:after="0" w:line="240" w:lineRule="auto"/>
        <w:ind w:right="424"/>
        <w:jc w:val="center"/>
        <w:outlineLvl w:val="0"/>
        <w:rPr>
          <w:rFonts w:eastAsiaTheme="majorEastAsia"/>
          <w:b/>
          <w:bCs/>
          <w:color w:val="C45911" w:themeColor="accent2" w:themeShade="BF"/>
          <w:sz w:val="32"/>
          <w:szCs w:val="32"/>
        </w:rPr>
      </w:pPr>
      <w:bookmarkStart w:id="2" w:name="_Toc131164266"/>
      <w:r w:rsidRPr="00555562">
        <w:rPr>
          <w:rFonts w:eastAsiaTheme="majorEastAsia"/>
          <w:b/>
          <w:bCs/>
          <w:color w:val="C45911" w:themeColor="accent2" w:themeShade="BF"/>
          <w:sz w:val="32"/>
          <w:szCs w:val="32"/>
        </w:rPr>
        <w:t>«Осуществление городом Ханты-Мансийском функций административного центра Ханты-Мансийского автономного округа – Югры»</w:t>
      </w:r>
      <w:bookmarkEnd w:id="1"/>
      <w:bookmarkEnd w:id="2"/>
    </w:p>
    <w:p w:rsidR="00555562" w:rsidRPr="00555562" w:rsidRDefault="00555562" w:rsidP="00555562">
      <w:pPr>
        <w:spacing w:after="0"/>
        <w:rPr>
          <w:sz w:val="28"/>
          <w:szCs w:val="28"/>
        </w:rPr>
      </w:pPr>
    </w:p>
    <w:p w:rsidR="00555562" w:rsidRPr="00555562" w:rsidRDefault="00555562" w:rsidP="00555562">
      <w:pPr>
        <w:spacing w:after="0"/>
        <w:ind w:firstLine="709"/>
        <w:jc w:val="both"/>
        <w:rPr>
          <w:sz w:val="28"/>
          <w:szCs w:val="28"/>
          <w:lang w:eastAsia="en-US"/>
        </w:rPr>
      </w:pPr>
      <w:r w:rsidRPr="00555562">
        <w:rPr>
          <w:sz w:val="28"/>
          <w:szCs w:val="28"/>
          <w:lang w:eastAsia="en-US"/>
        </w:rPr>
        <w:t xml:space="preserve">Муниципальная программа «Осуществление городом </w:t>
      </w:r>
      <w:r w:rsidR="00051491">
        <w:rPr>
          <w:sz w:val="28"/>
          <w:szCs w:val="28"/>
          <w:lang w:eastAsia="en-US"/>
        </w:rPr>
        <w:t xml:space="preserve">                          </w:t>
      </w:r>
      <w:r w:rsidRPr="00555562">
        <w:rPr>
          <w:sz w:val="28"/>
          <w:szCs w:val="28"/>
          <w:lang w:eastAsia="en-US"/>
        </w:rPr>
        <w:t xml:space="preserve">Ханты-Мансийском функций административного центра Ханты-Мансийского автономного округа – Югры» </w:t>
      </w:r>
      <w:r w:rsidRPr="00555562">
        <w:rPr>
          <w:rFonts w:eastAsia="Calibri"/>
          <w:sz w:val="28"/>
          <w:szCs w:val="28"/>
          <w:lang w:eastAsia="en-US"/>
        </w:rPr>
        <w:t xml:space="preserve">утверждена постановлением Администрации города Ханты-Мансийска </w:t>
      </w:r>
      <w:r w:rsidRPr="00555562">
        <w:rPr>
          <w:sz w:val="28"/>
          <w:szCs w:val="28"/>
          <w:lang w:eastAsia="en-US"/>
        </w:rPr>
        <w:t xml:space="preserve">от 13.02.2015 </w:t>
      </w:r>
      <w:r w:rsidRPr="00555562">
        <w:rPr>
          <w:rFonts w:eastAsia="Calibri"/>
          <w:sz w:val="28"/>
          <w:szCs w:val="28"/>
          <w:lang w:eastAsia="en-US"/>
        </w:rPr>
        <w:t xml:space="preserve">года </w:t>
      </w:r>
      <w:r w:rsidRPr="00555562">
        <w:rPr>
          <w:sz w:val="28"/>
          <w:szCs w:val="28"/>
          <w:lang w:eastAsia="en-US"/>
        </w:rPr>
        <w:t>№ 359 (далее – муниципальная программа).</w:t>
      </w:r>
    </w:p>
    <w:p w:rsidR="00555562" w:rsidRPr="00555562" w:rsidRDefault="00555562" w:rsidP="00555562">
      <w:pPr>
        <w:spacing w:after="0"/>
        <w:ind w:firstLine="709"/>
        <w:jc w:val="both"/>
        <w:rPr>
          <w:sz w:val="28"/>
          <w:szCs w:val="28"/>
          <w:lang w:eastAsia="en-US"/>
        </w:rPr>
      </w:pPr>
      <w:r w:rsidRPr="00555562">
        <w:rPr>
          <w:sz w:val="28"/>
          <w:szCs w:val="28"/>
          <w:lang w:eastAsia="en-US"/>
        </w:rPr>
        <w:t>Разработчиком и координатором муниципальной программы является управление экономического развития и инвестиций Администрации города Ханты-Мансийска.</w:t>
      </w:r>
    </w:p>
    <w:p w:rsidR="00555562" w:rsidRPr="00555562" w:rsidRDefault="00555562" w:rsidP="00555562">
      <w:pPr>
        <w:spacing w:after="0"/>
        <w:ind w:firstLine="709"/>
        <w:jc w:val="both"/>
        <w:rPr>
          <w:rFonts w:eastAsia="Calibri"/>
          <w:sz w:val="28"/>
          <w:szCs w:val="28"/>
          <w:lang w:eastAsia="en-US"/>
        </w:rPr>
      </w:pPr>
      <w:r w:rsidRPr="00555562">
        <w:rPr>
          <w:rFonts w:eastAsia="Calibri"/>
          <w:sz w:val="28"/>
          <w:szCs w:val="28"/>
          <w:lang w:eastAsia="en-US"/>
        </w:rPr>
        <w:t>Целью муниципальной программы является:</w:t>
      </w:r>
    </w:p>
    <w:p w:rsidR="00555562" w:rsidRPr="00555562" w:rsidRDefault="00555562" w:rsidP="00555562">
      <w:pPr>
        <w:spacing w:after="0"/>
        <w:ind w:firstLine="709"/>
        <w:jc w:val="both"/>
        <w:rPr>
          <w:sz w:val="28"/>
          <w:szCs w:val="28"/>
        </w:rPr>
      </w:pPr>
      <w:r w:rsidRPr="00555562">
        <w:rPr>
          <w:sz w:val="28"/>
          <w:szCs w:val="28"/>
        </w:rPr>
        <w:t>Обеспечение исполнения городом Ханты-Мансийском функций административного центра Ханты-Мансийского автономного округа – Югры.</w:t>
      </w:r>
    </w:p>
    <w:p w:rsidR="00555562" w:rsidRPr="00555562" w:rsidRDefault="00555562" w:rsidP="00555562">
      <w:pPr>
        <w:spacing w:after="0"/>
        <w:ind w:firstLine="709"/>
        <w:jc w:val="both"/>
        <w:rPr>
          <w:sz w:val="28"/>
          <w:szCs w:val="28"/>
        </w:rPr>
      </w:pPr>
      <w:r w:rsidRPr="00555562">
        <w:rPr>
          <w:sz w:val="28"/>
          <w:szCs w:val="28"/>
        </w:rPr>
        <w:t xml:space="preserve">Задачи муниципальной программы: </w:t>
      </w:r>
    </w:p>
    <w:p w:rsidR="00555562" w:rsidRPr="00555562" w:rsidRDefault="00555562" w:rsidP="00555562">
      <w:pPr>
        <w:spacing w:after="0"/>
        <w:ind w:firstLine="709"/>
        <w:jc w:val="both"/>
        <w:rPr>
          <w:sz w:val="28"/>
          <w:szCs w:val="28"/>
        </w:rPr>
      </w:pPr>
      <w:r w:rsidRPr="00555562">
        <w:rPr>
          <w:sz w:val="28"/>
          <w:szCs w:val="28"/>
        </w:rPr>
        <w:t>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формированием, сохранением и развитием инфраструктуры административного центра Ханты-Мансийского автономного округа – Югры.</w:t>
      </w:r>
    </w:p>
    <w:p w:rsidR="00555562" w:rsidRPr="00555562" w:rsidRDefault="00555562" w:rsidP="00555562">
      <w:pPr>
        <w:autoSpaceDE w:val="0"/>
        <w:autoSpaceDN w:val="0"/>
        <w:adjustRightInd w:val="0"/>
        <w:spacing w:after="0"/>
        <w:ind w:firstLine="708"/>
        <w:jc w:val="both"/>
        <w:rPr>
          <w:sz w:val="28"/>
          <w:szCs w:val="28"/>
        </w:rPr>
      </w:pPr>
      <w:r w:rsidRPr="00555562">
        <w:rPr>
          <w:sz w:val="28"/>
          <w:szCs w:val="28"/>
        </w:rPr>
        <w:t>Общий объем финансирования на 2022 год составляет 454 545,5 тыс. рублей, в том числе средства окружного бюджета – 450 000,0 тыс. рублей, средства бюджета города Ханты-Мансийска – 4 545,5 тыс. рублей.</w:t>
      </w:r>
    </w:p>
    <w:p w:rsidR="00555562" w:rsidRPr="00555562" w:rsidRDefault="00555562" w:rsidP="00555562">
      <w:pPr>
        <w:autoSpaceDE w:val="0"/>
        <w:autoSpaceDN w:val="0"/>
        <w:adjustRightInd w:val="0"/>
        <w:spacing w:after="0"/>
        <w:ind w:firstLine="708"/>
        <w:jc w:val="both"/>
        <w:rPr>
          <w:sz w:val="28"/>
          <w:szCs w:val="28"/>
        </w:rPr>
      </w:pPr>
      <w:r w:rsidRPr="00555562">
        <w:rPr>
          <w:sz w:val="28"/>
          <w:szCs w:val="28"/>
        </w:rPr>
        <w:t xml:space="preserve">Исполнение </w:t>
      </w:r>
      <w:r w:rsidRPr="00555562">
        <w:rPr>
          <w:bCs/>
          <w:sz w:val="28"/>
          <w:szCs w:val="28"/>
        </w:rPr>
        <w:t>муниципальной программы</w:t>
      </w:r>
      <w:r w:rsidRPr="00555562">
        <w:rPr>
          <w:sz w:val="28"/>
          <w:szCs w:val="28"/>
        </w:rPr>
        <w:t xml:space="preserve"> на отчетную дату составляет 454 545,5 тыс. рублей или 100 % от годового объема финансирования. </w:t>
      </w:r>
    </w:p>
    <w:p w:rsidR="00555562" w:rsidRPr="00555562" w:rsidRDefault="00555562" w:rsidP="00555562">
      <w:pPr>
        <w:autoSpaceDE w:val="0"/>
        <w:autoSpaceDN w:val="0"/>
        <w:adjustRightInd w:val="0"/>
        <w:spacing w:after="0"/>
        <w:ind w:firstLine="708"/>
        <w:jc w:val="both"/>
        <w:rPr>
          <w:sz w:val="28"/>
          <w:szCs w:val="28"/>
          <w:highlight w:val="yellow"/>
        </w:rPr>
      </w:pPr>
    </w:p>
    <w:p w:rsidR="00555562" w:rsidRPr="00555562" w:rsidRDefault="00555562" w:rsidP="00555562">
      <w:pPr>
        <w:spacing w:after="0"/>
        <w:ind w:right="424" w:firstLine="708"/>
        <w:rPr>
          <w:sz w:val="24"/>
          <w:szCs w:val="24"/>
        </w:rPr>
      </w:pPr>
      <w:r w:rsidRPr="00555562">
        <w:rPr>
          <w:sz w:val="24"/>
          <w:szCs w:val="24"/>
        </w:rPr>
        <w:t>Рисунок 3.10.1.</w:t>
      </w:r>
    </w:p>
    <w:p w:rsidR="00051491" w:rsidRDefault="00555562" w:rsidP="00555562">
      <w:pPr>
        <w:autoSpaceDE w:val="0"/>
        <w:autoSpaceDN w:val="0"/>
        <w:adjustRightInd w:val="0"/>
        <w:spacing w:after="0"/>
        <w:ind w:right="424" w:firstLine="709"/>
        <w:jc w:val="center"/>
        <w:rPr>
          <w:b/>
          <w:bCs/>
          <w:sz w:val="28"/>
          <w:szCs w:val="28"/>
        </w:rPr>
      </w:pPr>
      <w:r w:rsidRPr="00555562">
        <w:rPr>
          <w:b/>
          <w:sz w:val="28"/>
          <w:szCs w:val="28"/>
        </w:rPr>
        <w:t xml:space="preserve">Объёмы ассигнований на реализацию муниципальной программы </w:t>
      </w:r>
      <w:r w:rsidRPr="00555562">
        <w:rPr>
          <w:b/>
          <w:bCs/>
          <w:sz w:val="28"/>
          <w:szCs w:val="28"/>
        </w:rPr>
        <w:t>«Осуществление городом Ханты-Мансийском функций административного центра Ханты-Мансийского автономного</w:t>
      </w:r>
    </w:p>
    <w:p w:rsidR="00555562" w:rsidRPr="00555562" w:rsidRDefault="00555562" w:rsidP="00555562">
      <w:pPr>
        <w:autoSpaceDE w:val="0"/>
        <w:autoSpaceDN w:val="0"/>
        <w:adjustRightInd w:val="0"/>
        <w:spacing w:after="0"/>
        <w:ind w:right="424" w:firstLine="709"/>
        <w:jc w:val="center"/>
        <w:rPr>
          <w:b/>
          <w:bCs/>
          <w:sz w:val="28"/>
          <w:szCs w:val="28"/>
        </w:rPr>
      </w:pPr>
      <w:r w:rsidRPr="00555562">
        <w:rPr>
          <w:b/>
          <w:bCs/>
          <w:sz w:val="28"/>
          <w:szCs w:val="28"/>
        </w:rPr>
        <w:t xml:space="preserve"> округа – Югры», тыс. рублей.</w:t>
      </w:r>
    </w:p>
    <w:p w:rsidR="00555562" w:rsidRPr="00555562" w:rsidRDefault="00555562" w:rsidP="00555562">
      <w:pPr>
        <w:autoSpaceDE w:val="0"/>
        <w:autoSpaceDN w:val="0"/>
        <w:adjustRightInd w:val="0"/>
        <w:spacing w:after="0"/>
        <w:ind w:right="424"/>
        <w:jc w:val="center"/>
        <w:rPr>
          <w:bCs/>
          <w:sz w:val="28"/>
          <w:szCs w:val="28"/>
          <w:highlight w:val="yellow"/>
        </w:rPr>
      </w:pPr>
      <w:r w:rsidRPr="00555562">
        <w:rPr>
          <w:rFonts w:ascii="Arial" w:hAnsi="Arial" w:cs="Arial"/>
          <w:b/>
          <w:bCs/>
          <w:noProof/>
          <w:sz w:val="20"/>
          <w:szCs w:val="20"/>
        </w:rPr>
        <w:lastRenderedPageBreak/>
        <w:drawing>
          <wp:inline distT="0" distB="0" distL="0" distR="0" wp14:anchorId="0454C246" wp14:editId="42ADAD27">
            <wp:extent cx="6210300" cy="1670685"/>
            <wp:effectExtent l="0" t="0" r="0" b="571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5562" w:rsidRPr="00555562" w:rsidRDefault="00555562" w:rsidP="00555562">
      <w:pPr>
        <w:tabs>
          <w:tab w:val="left" w:pos="0"/>
        </w:tabs>
        <w:suppressAutoHyphens/>
        <w:spacing w:after="0" w:line="360" w:lineRule="auto"/>
        <w:ind w:right="-2" w:firstLine="709"/>
        <w:jc w:val="left"/>
        <w:rPr>
          <w:sz w:val="28"/>
          <w:szCs w:val="28"/>
        </w:rPr>
      </w:pPr>
      <w:r w:rsidRPr="00555562">
        <w:rPr>
          <w:sz w:val="28"/>
          <w:szCs w:val="28"/>
        </w:rPr>
        <w:t>Объемы бюджетных ассигнований распределены следующим образом:</w:t>
      </w:r>
    </w:p>
    <w:p w:rsidR="00555562" w:rsidRPr="00555562" w:rsidRDefault="00555562" w:rsidP="00555562">
      <w:pPr>
        <w:tabs>
          <w:tab w:val="left" w:pos="8647"/>
        </w:tabs>
        <w:ind w:right="-2"/>
        <w:rPr>
          <w:sz w:val="24"/>
          <w:szCs w:val="24"/>
        </w:rPr>
      </w:pPr>
      <w:r w:rsidRPr="00555562">
        <w:rPr>
          <w:sz w:val="24"/>
          <w:szCs w:val="24"/>
        </w:rPr>
        <w:t>Таблица 3.10.1.</w:t>
      </w:r>
    </w:p>
    <w:p w:rsidR="00051491" w:rsidRDefault="00555562" w:rsidP="00555562">
      <w:pPr>
        <w:tabs>
          <w:tab w:val="left" w:pos="459"/>
          <w:tab w:val="left" w:pos="8647"/>
        </w:tabs>
        <w:suppressAutoHyphens/>
        <w:spacing w:after="0"/>
        <w:ind w:right="-2"/>
        <w:jc w:val="center"/>
        <w:rPr>
          <w:b/>
          <w:sz w:val="28"/>
          <w:szCs w:val="28"/>
        </w:rPr>
      </w:pPr>
      <w:r w:rsidRPr="00555562">
        <w:rPr>
          <w:b/>
          <w:sz w:val="28"/>
          <w:szCs w:val="28"/>
        </w:rPr>
        <w:t xml:space="preserve">Объем бюджетных ассигнований за 2022 год по основному исполнителю и соисполнителям муниципальной программы «Осуществление городом Ханты-Мансийском функций административного центра </w:t>
      </w:r>
    </w:p>
    <w:p w:rsidR="00555562" w:rsidRPr="00555562" w:rsidRDefault="00555562" w:rsidP="00555562">
      <w:pPr>
        <w:tabs>
          <w:tab w:val="left" w:pos="459"/>
          <w:tab w:val="left" w:pos="8647"/>
        </w:tabs>
        <w:suppressAutoHyphens/>
        <w:spacing w:after="0"/>
        <w:ind w:right="-2"/>
        <w:jc w:val="center"/>
        <w:rPr>
          <w:b/>
          <w:sz w:val="28"/>
          <w:szCs w:val="28"/>
        </w:rPr>
      </w:pPr>
      <w:r w:rsidRPr="00555562">
        <w:rPr>
          <w:b/>
          <w:sz w:val="28"/>
          <w:szCs w:val="28"/>
        </w:rPr>
        <w:t>Ханты-Мансийского автономного округа – Югры»</w:t>
      </w:r>
    </w:p>
    <w:p w:rsidR="00555562" w:rsidRPr="00555562" w:rsidRDefault="00555562" w:rsidP="00555562">
      <w:pPr>
        <w:tabs>
          <w:tab w:val="left" w:pos="459"/>
          <w:tab w:val="left" w:pos="8647"/>
        </w:tabs>
        <w:suppressAutoHyphens/>
        <w:spacing w:after="0" w:line="360" w:lineRule="auto"/>
        <w:ind w:right="-2"/>
        <w:rPr>
          <w:sz w:val="24"/>
          <w:szCs w:val="24"/>
        </w:rPr>
      </w:pPr>
      <w:r w:rsidRPr="00555562">
        <w:rPr>
          <w:sz w:val="20"/>
          <w:szCs w:val="20"/>
        </w:rPr>
        <w:t xml:space="preserve"> </w:t>
      </w:r>
      <w:r w:rsidRPr="00555562">
        <w:rPr>
          <w:sz w:val="24"/>
          <w:szCs w:val="24"/>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134"/>
        <w:gridCol w:w="1559"/>
        <w:gridCol w:w="1545"/>
        <w:gridCol w:w="1149"/>
      </w:tblGrid>
      <w:tr w:rsidR="00555562" w:rsidRPr="00555562" w:rsidTr="00555562">
        <w:trPr>
          <w:trHeight w:val="300"/>
          <w:tblHeader/>
        </w:trPr>
        <w:tc>
          <w:tcPr>
            <w:tcW w:w="567" w:type="dxa"/>
            <w:vMerge w:val="restart"/>
            <w:shd w:val="clear" w:color="auto" w:fill="auto"/>
          </w:tcPr>
          <w:p w:rsidR="00555562" w:rsidRPr="00555562" w:rsidRDefault="00555562" w:rsidP="00555562">
            <w:pPr>
              <w:spacing w:after="0" w:line="240" w:lineRule="auto"/>
              <w:ind w:right="424"/>
              <w:jc w:val="center"/>
              <w:rPr>
                <w:b/>
                <w:bCs/>
                <w:sz w:val="20"/>
                <w:szCs w:val="20"/>
              </w:rPr>
            </w:pPr>
            <w:r w:rsidRPr="00555562">
              <w:rPr>
                <w:bCs/>
                <w:sz w:val="20"/>
                <w:szCs w:val="20"/>
              </w:rPr>
              <w:t xml:space="preserve">№ </w:t>
            </w:r>
          </w:p>
        </w:tc>
        <w:tc>
          <w:tcPr>
            <w:tcW w:w="3402" w:type="dxa"/>
            <w:vMerge w:val="restart"/>
            <w:shd w:val="clear" w:color="auto" w:fill="auto"/>
            <w:hideMark/>
          </w:tcPr>
          <w:p w:rsidR="00555562" w:rsidRPr="00555562" w:rsidRDefault="00555562" w:rsidP="00555562">
            <w:pPr>
              <w:spacing w:after="0" w:line="240" w:lineRule="auto"/>
              <w:ind w:right="34"/>
              <w:jc w:val="center"/>
              <w:rPr>
                <w:b/>
                <w:bCs/>
                <w:sz w:val="20"/>
                <w:szCs w:val="20"/>
              </w:rPr>
            </w:pPr>
            <w:r w:rsidRPr="00555562">
              <w:rPr>
                <w:bCs/>
                <w:sz w:val="20"/>
                <w:szCs w:val="20"/>
              </w:rPr>
              <w:t>Наименование основного исполнителя, соисполнителя муниципальной программы</w:t>
            </w:r>
          </w:p>
        </w:tc>
        <w:tc>
          <w:tcPr>
            <w:tcW w:w="1134" w:type="dxa"/>
            <w:vMerge w:val="restart"/>
            <w:shd w:val="clear" w:color="auto" w:fill="auto"/>
            <w:noWrap/>
            <w:hideMark/>
          </w:tcPr>
          <w:p w:rsidR="00555562" w:rsidRPr="00555562" w:rsidRDefault="00555562" w:rsidP="00555562">
            <w:pPr>
              <w:spacing w:after="0" w:line="240" w:lineRule="auto"/>
              <w:ind w:right="34"/>
              <w:jc w:val="center"/>
              <w:rPr>
                <w:b/>
                <w:bCs/>
                <w:sz w:val="20"/>
                <w:szCs w:val="20"/>
              </w:rPr>
            </w:pPr>
            <w:r w:rsidRPr="00555562">
              <w:rPr>
                <w:bCs/>
                <w:sz w:val="20"/>
                <w:szCs w:val="20"/>
              </w:rPr>
              <w:t xml:space="preserve">2021 год  </w:t>
            </w:r>
          </w:p>
          <w:p w:rsidR="00555562" w:rsidRPr="00555562" w:rsidRDefault="00555562" w:rsidP="00555562">
            <w:pPr>
              <w:spacing w:after="0" w:line="240" w:lineRule="auto"/>
              <w:ind w:right="34"/>
              <w:jc w:val="center"/>
              <w:rPr>
                <w:b/>
                <w:bCs/>
                <w:sz w:val="20"/>
                <w:szCs w:val="20"/>
              </w:rPr>
            </w:pPr>
            <w:r w:rsidRPr="00555562">
              <w:rPr>
                <w:bCs/>
                <w:sz w:val="20"/>
                <w:szCs w:val="20"/>
              </w:rPr>
              <w:t xml:space="preserve">   (отчет)</w:t>
            </w:r>
          </w:p>
        </w:tc>
        <w:tc>
          <w:tcPr>
            <w:tcW w:w="4253" w:type="dxa"/>
            <w:gridSpan w:val="3"/>
            <w:shd w:val="clear" w:color="auto" w:fill="auto"/>
            <w:noWrap/>
            <w:hideMark/>
          </w:tcPr>
          <w:p w:rsidR="00555562" w:rsidRPr="00555562" w:rsidRDefault="00555562" w:rsidP="00555562">
            <w:pPr>
              <w:spacing w:after="0" w:line="240" w:lineRule="auto"/>
              <w:ind w:right="34"/>
              <w:jc w:val="center"/>
              <w:rPr>
                <w:b/>
                <w:bCs/>
                <w:sz w:val="20"/>
                <w:szCs w:val="20"/>
              </w:rPr>
            </w:pPr>
            <w:r w:rsidRPr="00555562">
              <w:rPr>
                <w:bCs/>
                <w:sz w:val="20"/>
                <w:szCs w:val="20"/>
              </w:rPr>
              <w:t xml:space="preserve">2022 год </w:t>
            </w:r>
          </w:p>
        </w:tc>
      </w:tr>
      <w:tr w:rsidR="00555562" w:rsidRPr="00555562" w:rsidTr="00555562">
        <w:trPr>
          <w:trHeight w:val="475"/>
          <w:tblHeader/>
        </w:trPr>
        <w:tc>
          <w:tcPr>
            <w:tcW w:w="567" w:type="dxa"/>
            <w:vMerge/>
            <w:shd w:val="clear" w:color="auto" w:fill="auto"/>
          </w:tcPr>
          <w:p w:rsidR="00555562" w:rsidRPr="00555562" w:rsidRDefault="00555562" w:rsidP="00555562">
            <w:pPr>
              <w:spacing w:after="0" w:line="240" w:lineRule="auto"/>
              <w:ind w:right="424"/>
              <w:rPr>
                <w:b/>
                <w:bCs/>
                <w:sz w:val="20"/>
                <w:szCs w:val="20"/>
              </w:rPr>
            </w:pPr>
          </w:p>
        </w:tc>
        <w:tc>
          <w:tcPr>
            <w:tcW w:w="3402" w:type="dxa"/>
            <w:vMerge/>
            <w:shd w:val="clear" w:color="auto" w:fill="auto"/>
            <w:hideMark/>
          </w:tcPr>
          <w:p w:rsidR="00555562" w:rsidRPr="00555562" w:rsidRDefault="00555562" w:rsidP="00555562">
            <w:pPr>
              <w:spacing w:after="0" w:line="240" w:lineRule="auto"/>
              <w:ind w:right="34"/>
              <w:rPr>
                <w:b/>
                <w:bCs/>
                <w:sz w:val="20"/>
                <w:szCs w:val="20"/>
              </w:rPr>
            </w:pPr>
          </w:p>
        </w:tc>
        <w:tc>
          <w:tcPr>
            <w:tcW w:w="1134" w:type="dxa"/>
            <w:vMerge/>
            <w:shd w:val="clear" w:color="auto" w:fill="auto"/>
            <w:hideMark/>
          </w:tcPr>
          <w:p w:rsidR="00555562" w:rsidRPr="00555562" w:rsidRDefault="00555562" w:rsidP="00555562">
            <w:pPr>
              <w:spacing w:after="0" w:line="240" w:lineRule="auto"/>
              <w:ind w:right="34"/>
              <w:rPr>
                <w:b/>
                <w:bCs/>
                <w:sz w:val="20"/>
                <w:szCs w:val="20"/>
              </w:rPr>
            </w:pPr>
          </w:p>
        </w:tc>
        <w:tc>
          <w:tcPr>
            <w:tcW w:w="1559" w:type="dxa"/>
            <w:shd w:val="clear" w:color="auto" w:fill="auto"/>
            <w:hideMark/>
          </w:tcPr>
          <w:p w:rsidR="00555562" w:rsidRPr="00555562" w:rsidRDefault="00555562" w:rsidP="00555562">
            <w:pPr>
              <w:spacing w:after="0" w:line="240" w:lineRule="auto"/>
              <w:ind w:right="34"/>
              <w:jc w:val="center"/>
              <w:rPr>
                <w:b/>
                <w:bCs/>
                <w:sz w:val="20"/>
                <w:szCs w:val="20"/>
              </w:rPr>
            </w:pPr>
            <w:r w:rsidRPr="00555562">
              <w:rPr>
                <w:bCs/>
                <w:sz w:val="20"/>
                <w:szCs w:val="20"/>
              </w:rPr>
              <w:t>Уточненный план</w:t>
            </w:r>
          </w:p>
        </w:tc>
        <w:tc>
          <w:tcPr>
            <w:tcW w:w="1545" w:type="dxa"/>
            <w:shd w:val="clear" w:color="auto" w:fill="auto"/>
            <w:hideMark/>
          </w:tcPr>
          <w:p w:rsidR="00555562" w:rsidRPr="00555562" w:rsidRDefault="00555562" w:rsidP="00555562">
            <w:pPr>
              <w:spacing w:after="0" w:line="240" w:lineRule="auto"/>
              <w:ind w:right="34"/>
              <w:jc w:val="center"/>
              <w:rPr>
                <w:b/>
                <w:bCs/>
                <w:sz w:val="20"/>
                <w:szCs w:val="20"/>
              </w:rPr>
            </w:pPr>
            <w:r w:rsidRPr="00555562">
              <w:rPr>
                <w:bCs/>
                <w:sz w:val="20"/>
                <w:szCs w:val="20"/>
              </w:rPr>
              <w:t>Исполнение</w:t>
            </w:r>
          </w:p>
        </w:tc>
        <w:tc>
          <w:tcPr>
            <w:tcW w:w="1149" w:type="dxa"/>
            <w:shd w:val="clear" w:color="auto" w:fill="auto"/>
            <w:hideMark/>
          </w:tcPr>
          <w:p w:rsidR="00555562" w:rsidRPr="00555562" w:rsidRDefault="00555562" w:rsidP="00555562">
            <w:pPr>
              <w:spacing w:after="0" w:line="240" w:lineRule="auto"/>
              <w:ind w:right="34"/>
              <w:jc w:val="center"/>
              <w:rPr>
                <w:b/>
                <w:bCs/>
                <w:sz w:val="20"/>
                <w:szCs w:val="20"/>
              </w:rPr>
            </w:pPr>
            <w:r w:rsidRPr="00555562">
              <w:rPr>
                <w:bCs/>
                <w:sz w:val="20"/>
                <w:szCs w:val="20"/>
              </w:rPr>
              <w:t>% исполнения</w:t>
            </w:r>
          </w:p>
        </w:tc>
      </w:tr>
      <w:tr w:rsidR="00555562" w:rsidRPr="00555562" w:rsidTr="00555562">
        <w:trPr>
          <w:trHeight w:val="300"/>
        </w:trPr>
        <w:tc>
          <w:tcPr>
            <w:tcW w:w="567" w:type="dxa"/>
            <w:shd w:val="clear" w:color="auto" w:fill="auto"/>
          </w:tcPr>
          <w:p w:rsidR="00555562" w:rsidRPr="00555562" w:rsidRDefault="00555562" w:rsidP="00555562">
            <w:pPr>
              <w:spacing w:after="0" w:line="240" w:lineRule="auto"/>
              <w:ind w:right="424"/>
              <w:rPr>
                <w:b/>
                <w:bCs/>
                <w:sz w:val="20"/>
                <w:szCs w:val="20"/>
              </w:rPr>
            </w:pPr>
          </w:p>
        </w:tc>
        <w:tc>
          <w:tcPr>
            <w:tcW w:w="3402" w:type="dxa"/>
            <w:shd w:val="clear" w:color="auto" w:fill="auto"/>
            <w:hideMark/>
          </w:tcPr>
          <w:p w:rsidR="00555562" w:rsidRPr="00555562" w:rsidRDefault="00555562" w:rsidP="00555562">
            <w:pPr>
              <w:spacing w:after="0" w:line="240" w:lineRule="auto"/>
              <w:ind w:right="34"/>
              <w:jc w:val="left"/>
              <w:rPr>
                <w:sz w:val="20"/>
                <w:szCs w:val="20"/>
              </w:rPr>
            </w:pPr>
            <w:r w:rsidRPr="00555562">
              <w:rPr>
                <w:sz w:val="20"/>
                <w:szCs w:val="20"/>
              </w:rPr>
              <w:t>Всего по муниципальной программе, в том числе:</w:t>
            </w:r>
          </w:p>
        </w:tc>
        <w:tc>
          <w:tcPr>
            <w:tcW w:w="1134" w:type="dxa"/>
            <w:shd w:val="clear" w:color="auto" w:fill="auto"/>
            <w:hideMark/>
          </w:tcPr>
          <w:p w:rsidR="00555562" w:rsidRPr="00555562" w:rsidRDefault="00555562" w:rsidP="00555562">
            <w:pPr>
              <w:jc w:val="center"/>
              <w:rPr>
                <w:sz w:val="20"/>
                <w:szCs w:val="20"/>
              </w:rPr>
            </w:pPr>
            <w:r w:rsidRPr="00555562">
              <w:rPr>
                <w:sz w:val="20"/>
                <w:szCs w:val="20"/>
              </w:rPr>
              <w:t>454 545,5</w:t>
            </w:r>
          </w:p>
        </w:tc>
        <w:tc>
          <w:tcPr>
            <w:tcW w:w="1559" w:type="dxa"/>
            <w:shd w:val="clear" w:color="auto" w:fill="auto"/>
          </w:tcPr>
          <w:p w:rsidR="00555562" w:rsidRPr="00555562" w:rsidRDefault="00555562" w:rsidP="00555562">
            <w:pPr>
              <w:spacing w:after="0" w:line="240" w:lineRule="auto"/>
              <w:ind w:right="34"/>
              <w:jc w:val="center"/>
              <w:rPr>
                <w:sz w:val="20"/>
                <w:szCs w:val="20"/>
              </w:rPr>
            </w:pPr>
            <w:r w:rsidRPr="00555562">
              <w:rPr>
                <w:sz w:val="20"/>
                <w:szCs w:val="20"/>
              </w:rPr>
              <w:t>454 545,5</w:t>
            </w:r>
          </w:p>
        </w:tc>
        <w:tc>
          <w:tcPr>
            <w:tcW w:w="1545" w:type="dxa"/>
            <w:shd w:val="clear" w:color="auto" w:fill="auto"/>
          </w:tcPr>
          <w:p w:rsidR="00555562" w:rsidRPr="00555562" w:rsidRDefault="00555562" w:rsidP="00555562">
            <w:pPr>
              <w:jc w:val="center"/>
              <w:rPr>
                <w:sz w:val="20"/>
                <w:szCs w:val="20"/>
              </w:rPr>
            </w:pPr>
            <w:r w:rsidRPr="00555562">
              <w:rPr>
                <w:sz w:val="20"/>
                <w:szCs w:val="20"/>
              </w:rPr>
              <w:t>454 545,5</w:t>
            </w:r>
          </w:p>
        </w:tc>
        <w:tc>
          <w:tcPr>
            <w:tcW w:w="1149" w:type="dxa"/>
            <w:shd w:val="clear" w:color="auto" w:fill="auto"/>
            <w:hideMark/>
          </w:tcPr>
          <w:p w:rsidR="00555562" w:rsidRPr="00555562" w:rsidRDefault="00555562" w:rsidP="00555562">
            <w:pPr>
              <w:spacing w:after="0" w:line="240" w:lineRule="auto"/>
              <w:ind w:right="34"/>
              <w:jc w:val="center"/>
              <w:rPr>
                <w:sz w:val="20"/>
                <w:szCs w:val="20"/>
              </w:rPr>
            </w:pPr>
            <w:r w:rsidRPr="00555562">
              <w:rPr>
                <w:sz w:val="20"/>
                <w:szCs w:val="20"/>
              </w:rPr>
              <w:t>100%</w:t>
            </w:r>
          </w:p>
        </w:tc>
      </w:tr>
      <w:tr w:rsidR="00555562" w:rsidRPr="00555562" w:rsidTr="00555562">
        <w:trPr>
          <w:trHeight w:val="653"/>
        </w:trPr>
        <w:tc>
          <w:tcPr>
            <w:tcW w:w="567" w:type="dxa"/>
            <w:shd w:val="clear" w:color="auto" w:fill="auto"/>
          </w:tcPr>
          <w:p w:rsidR="00555562" w:rsidRPr="00555562" w:rsidRDefault="00555562" w:rsidP="00555562">
            <w:pPr>
              <w:spacing w:after="0" w:line="240" w:lineRule="auto"/>
              <w:ind w:right="424"/>
              <w:jc w:val="center"/>
              <w:rPr>
                <w:b/>
                <w:bCs/>
                <w:sz w:val="20"/>
                <w:szCs w:val="20"/>
              </w:rPr>
            </w:pPr>
            <w:r w:rsidRPr="00555562">
              <w:rPr>
                <w:bCs/>
                <w:sz w:val="20"/>
                <w:szCs w:val="20"/>
              </w:rPr>
              <w:t>1</w:t>
            </w:r>
          </w:p>
        </w:tc>
        <w:tc>
          <w:tcPr>
            <w:tcW w:w="3402" w:type="dxa"/>
            <w:shd w:val="clear" w:color="auto" w:fill="auto"/>
            <w:hideMark/>
          </w:tcPr>
          <w:p w:rsidR="00051491" w:rsidRDefault="00555562" w:rsidP="00555562">
            <w:pPr>
              <w:spacing w:after="0" w:line="240" w:lineRule="auto"/>
              <w:ind w:right="34"/>
              <w:jc w:val="left"/>
              <w:rPr>
                <w:bCs/>
                <w:sz w:val="20"/>
                <w:szCs w:val="20"/>
              </w:rPr>
            </w:pPr>
            <w:r w:rsidRPr="00555562">
              <w:rPr>
                <w:bCs/>
                <w:sz w:val="20"/>
                <w:szCs w:val="20"/>
              </w:rPr>
              <w:t xml:space="preserve">МКУ «Управление капитального строительства города </w:t>
            </w:r>
          </w:p>
          <w:p w:rsidR="00555562" w:rsidRPr="00555562" w:rsidRDefault="00555562" w:rsidP="00555562">
            <w:pPr>
              <w:spacing w:after="0" w:line="240" w:lineRule="auto"/>
              <w:ind w:right="34"/>
              <w:jc w:val="left"/>
              <w:rPr>
                <w:bCs/>
                <w:sz w:val="20"/>
                <w:szCs w:val="20"/>
              </w:rPr>
            </w:pPr>
            <w:r w:rsidRPr="00555562">
              <w:rPr>
                <w:bCs/>
                <w:sz w:val="20"/>
                <w:szCs w:val="20"/>
              </w:rPr>
              <w:t>Ханты-Мансийска»</w:t>
            </w:r>
          </w:p>
        </w:tc>
        <w:tc>
          <w:tcPr>
            <w:tcW w:w="1134" w:type="dxa"/>
            <w:shd w:val="clear" w:color="auto" w:fill="auto"/>
            <w:hideMark/>
          </w:tcPr>
          <w:p w:rsidR="00555562" w:rsidRPr="00555562" w:rsidRDefault="00555562" w:rsidP="00555562">
            <w:pPr>
              <w:jc w:val="center"/>
              <w:rPr>
                <w:sz w:val="20"/>
                <w:szCs w:val="20"/>
              </w:rPr>
            </w:pPr>
            <w:r w:rsidRPr="00555562">
              <w:rPr>
                <w:sz w:val="20"/>
                <w:szCs w:val="20"/>
              </w:rPr>
              <w:t>20 872,2</w:t>
            </w:r>
          </w:p>
        </w:tc>
        <w:tc>
          <w:tcPr>
            <w:tcW w:w="1559" w:type="dxa"/>
            <w:shd w:val="clear" w:color="auto" w:fill="auto"/>
          </w:tcPr>
          <w:p w:rsidR="00555562" w:rsidRPr="00555562" w:rsidRDefault="00555562" w:rsidP="00555562">
            <w:pPr>
              <w:spacing w:after="0" w:line="240" w:lineRule="auto"/>
              <w:ind w:right="34"/>
              <w:jc w:val="center"/>
              <w:rPr>
                <w:bCs/>
                <w:sz w:val="20"/>
                <w:szCs w:val="20"/>
              </w:rPr>
            </w:pPr>
            <w:r w:rsidRPr="00555562">
              <w:rPr>
                <w:bCs/>
                <w:sz w:val="20"/>
                <w:szCs w:val="20"/>
              </w:rPr>
              <w:t>15 258,8</w:t>
            </w:r>
          </w:p>
        </w:tc>
        <w:tc>
          <w:tcPr>
            <w:tcW w:w="1545" w:type="dxa"/>
            <w:shd w:val="clear" w:color="auto" w:fill="auto"/>
          </w:tcPr>
          <w:p w:rsidR="00555562" w:rsidRPr="00555562" w:rsidRDefault="00555562" w:rsidP="00555562">
            <w:pPr>
              <w:jc w:val="center"/>
              <w:rPr>
                <w:sz w:val="20"/>
                <w:szCs w:val="20"/>
              </w:rPr>
            </w:pPr>
            <w:r w:rsidRPr="00555562">
              <w:rPr>
                <w:sz w:val="20"/>
                <w:szCs w:val="20"/>
              </w:rPr>
              <w:t>15 258,8</w:t>
            </w:r>
          </w:p>
        </w:tc>
        <w:tc>
          <w:tcPr>
            <w:tcW w:w="1149" w:type="dxa"/>
            <w:shd w:val="clear" w:color="auto" w:fill="auto"/>
            <w:hideMark/>
          </w:tcPr>
          <w:p w:rsidR="00555562" w:rsidRPr="00555562" w:rsidRDefault="00555562" w:rsidP="00555562">
            <w:pPr>
              <w:spacing w:after="0" w:line="240" w:lineRule="auto"/>
              <w:ind w:right="34"/>
              <w:jc w:val="center"/>
              <w:rPr>
                <w:bCs/>
                <w:sz w:val="20"/>
                <w:szCs w:val="20"/>
              </w:rPr>
            </w:pPr>
            <w:r w:rsidRPr="00555562">
              <w:rPr>
                <w:bCs/>
                <w:sz w:val="20"/>
                <w:szCs w:val="20"/>
              </w:rPr>
              <w:t>100%</w:t>
            </w:r>
          </w:p>
        </w:tc>
      </w:tr>
      <w:tr w:rsidR="00555562" w:rsidRPr="00555562" w:rsidTr="00555562">
        <w:trPr>
          <w:trHeight w:val="531"/>
        </w:trPr>
        <w:tc>
          <w:tcPr>
            <w:tcW w:w="567" w:type="dxa"/>
            <w:shd w:val="clear" w:color="auto" w:fill="auto"/>
          </w:tcPr>
          <w:p w:rsidR="00555562" w:rsidRPr="00555562" w:rsidRDefault="00555562" w:rsidP="00555562">
            <w:pPr>
              <w:spacing w:after="0" w:line="240" w:lineRule="auto"/>
              <w:ind w:right="424"/>
              <w:jc w:val="center"/>
              <w:rPr>
                <w:b/>
                <w:bCs/>
                <w:sz w:val="20"/>
                <w:szCs w:val="20"/>
              </w:rPr>
            </w:pPr>
            <w:r w:rsidRPr="00555562">
              <w:rPr>
                <w:bCs/>
                <w:sz w:val="20"/>
                <w:szCs w:val="20"/>
              </w:rPr>
              <w:t>2</w:t>
            </w:r>
          </w:p>
        </w:tc>
        <w:tc>
          <w:tcPr>
            <w:tcW w:w="3402" w:type="dxa"/>
            <w:shd w:val="clear" w:color="auto" w:fill="auto"/>
            <w:hideMark/>
          </w:tcPr>
          <w:p w:rsidR="00555562" w:rsidRPr="00555562" w:rsidRDefault="00555562" w:rsidP="00555562">
            <w:pPr>
              <w:spacing w:after="0" w:line="240" w:lineRule="auto"/>
              <w:ind w:right="34"/>
              <w:jc w:val="left"/>
              <w:rPr>
                <w:bCs/>
                <w:sz w:val="20"/>
                <w:szCs w:val="20"/>
              </w:rPr>
            </w:pPr>
            <w:r w:rsidRPr="00555562">
              <w:rPr>
                <w:bCs/>
                <w:sz w:val="20"/>
                <w:szCs w:val="20"/>
              </w:rPr>
              <w:t>Департамент городского хозяйства Администрации города Ханты-Мансийска</w:t>
            </w:r>
          </w:p>
        </w:tc>
        <w:tc>
          <w:tcPr>
            <w:tcW w:w="1134" w:type="dxa"/>
            <w:shd w:val="clear" w:color="auto" w:fill="auto"/>
            <w:hideMark/>
          </w:tcPr>
          <w:p w:rsidR="00555562" w:rsidRPr="00555562" w:rsidRDefault="00555562" w:rsidP="00555562">
            <w:pPr>
              <w:jc w:val="center"/>
              <w:rPr>
                <w:sz w:val="20"/>
                <w:szCs w:val="20"/>
              </w:rPr>
            </w:pPr>
            <w:r w:rsidRPr="00555562">
              <w:rPr>
                <w:sz w:val="20"/>
                <w:szCs w:val="20"/>
              </w:rPr>
              <w:t>84 429,9</w:t>
            </w:r>
          </w:p>
        </w:tc>
        <w:tc>
          <w:tcPr>
            <w:tcW w:w="1559" w:type="dxa"/>
            <w:shd w:val="clear" w:color="auto" w:fill="auto"/>
          </w:tcPr>
          <w:p w:rsidR="00555562" w:rsidRPr="00555562" w:rsidRDefault="00555562" w:rsidP="00555562">
            <w:pPr>
              <w:spacing w:after="0" w:line="240" w:lineRule="auto"/>
              <w:ind w:right="34"/>
              <w:jc w:val="center"/>
              <w:rPr>
                <w:sz w:val="20"/>
                <w:szCs w:val="20"/>
              </w:rPr>
            </w:pPr>
            <w:r w:rsidRPr="00555562">
              <w:rPr>
                <w:sz w:val="20"/>
                <w:szCs w:val="20"/>
              </w:rPr>
              <w:t>60 929,9</w:t>
            </w:r>
          </w:p>
        </w:tc>
        <w:tc>
          <w:tcPr>
            <w:tcW w:w="1545" w:type="dxa"/>
            <w:shd w:val="clear" w:color="auto" w:fill="auto"/>
          </w:tcPr>
          <w:p w:rsidR="00555562" w:rsidRPr="00555562" w:rsidRDefault="00555562" w:rsidP="00555562">
            <w:pPr>
              <w:jc w:val="center"/>
              <w:rPr>
                <w:sz w:val="20"/>
                <w:szCs w:val="20"/>
              </w:rPr>
            </w:pPr>
            <w:r w:rsidRPr="00555562">
              <w:rPr>
                <w:sz w:val="20"/>
                <w:szCs w:val="20"/>
              </w:rPr>
              <w:t>60 929,9</w:t>
            </w:r>
          </w:p>
        </w:tc>
        <w:tc>
          <w:tcPr>
            <w:tcW w:w="1149" w:type="dxa"/>
            <w:shd w:val="clear" w:color="auto" w:fill="auto"/>
            <w:hideMark/>
          </w:tcPr>
          <w:p w:rsidR="00555562" w:rsidRPr="00555562" w:rsidRDefault="00555562" w:rsidP="00555562">
            <w:pPr>
              <w:spacing w:after="0" w:line="240" w:lineRule="auto"/>
              <w:ind w:right="34"/>
              <w:jc w:val="center"/>
              <w:rPr>
                <w:sz w:val="20"/>
                <w:szCs w:val="20"/>
              </w:rPr>
            </w:pPr>
            <w:r w:rsidRPr="00555562">
              <w:rPr>
                <w:sz w:val="20"/>
                <w:szCs w:val="20"/>
              </w:rPr>
              <w:t>100%</w:t>
            </w:r>
          </w:p>
        </w:tc>
      </w:tr>
      <w:tr w:rsidR="00555562" w:rsidRPr="00555562" w:rsidTr="00555562">
        <w:trPr>
          <w:trHeight w:val="315"/>
        </w:trPr>
        <w:tc>
          <w:tcPr>
            <w:tcW w:w="567" w:type="dxa"/>
            <w:shd w:val="clear" w:color="auto" w:fill="auto"/>
          </w:tcPr>
          <w:p w:rsidR="00555562" w:rsidRPr="00555562" w:rsidRDefault="00555562" w:rsidP="00555562">
            <w:pPr>
              <w:spacing w:after="0" w:line="240" w:lineRule="auto"/>
              <w:ind w:right="424"/>
              <w:jc w:val="center"/>
              <w:rPr>
                <w:b/>
                <w:bCs/>
                <w:sz w:val="20"/>
                <w:szCs w:val="20"/>
              </w:rPr>
            </w:pPr>
            <w:r w:rsidRPr="00555562">
              <w:rPr>
                <w:bCs/>
                <w:sz w:val="20"/>
                <w:szCs w:val="20"/>
              </w:rPr>
              <w:t>3</w:t>
            </w:r>
          </w:p>
        </w:tc>
        <w:tc>
          <w:tcPr>
            <w:tcW w:w="3402" w:type="dxa"/>
            <w:shd w:val="clear" w:color="auto" w:fill="auto"/>
            <w:hideMark/>
          </w:tcPr>
          <w:p w:rsidR="00555562" w:rsidRPr="00555562" w:rsidRDefault="00555562" w:rsidP="00555562">
            <w:pPr>
              <w:spacing w:after="0" w:line="240" w:lineRule="auto"/>
              <w:ind w:right="34"/>
              <w:jc w:val="left"/>
              <w:rPr>
                <w:bCs/>
                <w:sz w:val="20"/>
                <w:szCs w:val="20"/>
              </w:rPr>
            </w:pPr>
            <w:r w:rsidRPr="00555562">
              <w:rPr>
                <w:bCs/>
                <w:sz w:val="20"/>
                <w:szCs w:val="20"/>
              </w:rPr>
              <w:t>МКУ «Служба муниципального заказа в ЖКХ»</w:t>
            </w:r>
          </w:p>
        </w:tc>
        <w:tc>
          <w:tcPr>
            <w:tcW w:w="1134" w:type="dxa"/>
            <w:shd w:val="clear" w:color="auto" w:fill="auto"/>
            <w:hideMark/>
          </w:tcPr>
          <w:p w:rsidR="00555562" w:rsidRPr="00555562" w:rsidRDefault="00555562" w:rsidP="00555562">
            <w:pPr>
              <w:jc w:val="center"/>
              <w:rPr>
                <w:sz w:val="20"/>
                <w:szCs w:val="20"/>
              </w:rPr>
            </w:pPr>
            <w:r w:rsidRPr="00555562">
              <w:rPr>
                <w:sz w:val="20"/>
                <w:szCs w:val="20"/>
              </w:rPr>
              <w:t>349 093,4</w:t>
            </w:r>
          </w:p>
        </w:tc>
        <w:tc>
          <w:tcPr>
            <w:tcW w:w="1559" w:type="dxa"/>
            <w:shd w:val="clear" w:color="auto" w:fill="auto"/>
          </w:tcPr>
          <w:p w:rsidR="00555562" w:rsidRPr="00555562" w:rsidRDefault="00555562" w:rsidP="00555562">
            <w:pPr>
              <w:spacing w:after="0" w:line="240" w:lineRule="auto"/>
              <w:ind w:right="34"/>
              <w:jc w:val="center"/>
              <w:rPr>
                <w:sz w:val="20"/>
                <w:szCs w:val="20"/>
              </w:rPr>
            </w:pPr>
            <w:r w:rsidRPr="00555562">
              <w:rPr>
                <w:sz w:val="20"/>
                <w:szCs w:val="20"/>
              </w:rPr>
              <w:t>378 206,3</w:t>
            </w:r>
          </w:p>
        </w:tc>
        <w:tc>
          <w:tcPr>
            <w:tcW w:w="1545" w:type="dxa"/>
            <w:shd w:val="clear" w:color="auto" w:fill="auto"/>
          </w:tcPr>
          <w:p w:rsidR="00555562" w:rsidRPr="00555562" w:rsidRDefault="00555562" w:rsidP="00555562">
            <w:pPr>
              <w:jc w:val="center"/>
              <w:rPr>
                <w:sz w:val="20"/>
                <w:szCs w:val="20"/>
              </w:rPr>
            </w:pPr>
            <w:r w:rsidRPr="00555562">
              <w:rPr>
                <w:sz w:val="20"/>
                <w:szCs w:val="20"/>
              </w:rPr>
              <w:t>378 206,3</w:t>
            </w:r>
          </w:p>
        </w:tc>
        <w:tc>
          <w:tcPr>
            <w:tcW w:w="1149" w:type="dxa"/>
            <w:shd w:val="clear" w:color="auto" w:fill="auto"/>
            <w:hideMark/>
          </w:tcPr>
          <w:p w:rsidR="00555562" w:rsidRPr="00555562" w:rsidRDefault="00555562" w:rsidP="00555562">
            <w:pPr>
              <w:spacing w:after="0" w:line="240" w:lineRule="auto"/>
              <w:ind w:right="34"/>
              <w:jc w:val="center"/>
              <w:rPr>
                <w:sz w:val="20"/>
                <w:szCs w:val="20"/>
              </w:rPr>
            </w:pPr>
            <w:r w:rsidRPr="00555562">
              <w:rPr>
                <w:sz w:val="20"/>
                <w:szCs w:val="20"/>
              </w:rPr>
              <w:t>100%</w:t>
            </w:r>
          </w:p>
        </w:tc>
      </w:tr>
      <w:tr w:rsidR="00555562" w:rsidRPr="00555562" w:rsidTr="00555562">
        <w:trPr>
          <w:trHeight w:val="315"/>
        </w:trPr>
        <w:tc>
          <w:tcPr>
            <w:tcW w:w="567" w:type="dxa"/>
            <w:shd w:val="clear" w:color="auto" w:fill="auto"/>
          </w:tcPr>
          <w:p w:rsidR="00555562" w:rsidRPr="00555562" w:rsidRDefault="00555562" w:rsidP="00555562">
            <w:pPr>
              <w:spacing w:after="0" w:line="240" w:lineRule="auto"/>
              <w:ind w:right="424"/>
              <w:jc w:val="center"/>
              <w:rPr>
                <w:b/>
                <w:bCs/>
                <w:sz w:val="20"/>
                <w:szCs w:val="20"/>
              </w:rPr>
            </w:pPr>
            <w:r w:rsidRPr="00555562">
              <w:rPr>
                <w:bCs/>
                <w:sz w:val="20"/>
                <w:szCs w:val="20"/>
              </w:rPr>
              <w:t>4</w:t>
            </w:r>
          </w:p>
        </w:tc>
        <w:tc>
          <w:tcPr>
            <w:tcW w:w="3402" w:type="dxa"/>
            <w:shd w:val="clear" w:color="auto" w:fill="auto"/>
            <w:hideMark/>
          </w:tcPr>
          <w:p w:rsidR="00051491" w:rsidRDefault="00555562" w:rsidP="00555562">
            <w:pPr>
              <w:spacing w:after="0" w:line="240" w:lineRule="auto"/>
              <w:ind w:right="34"/>
              <w:jc w:val="left"/>
              <w:rPr>
                <w:bCs/>
                <w:sz w:val="20"/>
                <w:szCs w:val="20"/>
              </w:rPr>
            </w:pPr>
            <w:r w:rsidRPr="00555562">
              <w:rPr>
                <w:bCs/>
                <w:sz w:val="20"/>
                <w:szCs w:val="20"/>
              </w:rPr>
              <w:t xml:space="preserve">Управление физической культуры, спорта и молодежной политики Администрации города </w:t>
            </w:r>
          </w:p>
          <w:p w:rsidR="00555562" w:rsidRPr="00555562" w:rsidRDefault="00555562" w:rsidP="00555562">
            <w:pPr>
              <w:spacing w:after="0" w:line="240" w:lineRule="auto"/>
              <w:ind w:right="34"/>
              <w:jc w:val="left"/>
              <w:rPr>
                <w:bCs/>
                <w:sz w:val="20"/>
                <w:szCs w:val="20"/>
              </w:rPr>
            </w:pPr>
            <w:r w:rsidRPr="00555562">
              <w:rPr>
                <w:bCs/>
                <w:sz w:val="20"/>
                <w:szCs w:val="20"/>
              </w:rPr>
              <w:t>Ханты-Мансийска</w:t>
            </w:r>
          </w:p>
        </w:tc>
        <w:tc>
          <w:tcPr>
            <w:tcW w:w="1134" w:type="dxa"/>
            <w:shd w:val="clear" w:color="auto" w:fill="auto"/>
            <w:hideMark/>
          </w:tcPr>
          <w:p w:rsidR="00555562" w:rsidRPr="00555562" w:rsidRDefault="00555562" w:rsidP="00555562">
            <w:pPr>
              <w:jc w:val="center"/>
              <w:rPr>
                <w:sz w:val="20"/>
                <w:szCs w:val="20"/>
              </w:rPr>
            </w:pPr>
            <w:r w:rsidRPr="00555562">
              <w:rPr>
                <w:sz w:val="20"/>
                <w:szCs w:val="20"/>
              </w:rPr>
              <w:t>150,0</w:t>
            </w:r>
          </w:p>
        </w:tc>
        <w:tc>
          <w:tcPr>
            <w:tcW w:w="1559" w:type="dxa"/>
            <w:shd w:val="clear" w:color="auto" w:fill="auto"/>
          </w:tcPr>
          <w:p w:rsidR="00555562" w:rsidRPr="00555562" w:rsidRDefault="00555562" w:rsidP="00555562">
            <w:pPr>
              <w:spacing w:after="0" w:line="240" w:lineRule="auto"/>
              <w:ind w:right="34"/>
              <w:jc w:val="center"/>
              <w:rPr>
                <w:sz w:val="20"/>
                <w:szCs w:val="20"/>
              </w:rPr>
            </w:pPr>
            <w:r w:rsidRPr="00555562">
              <w:rPr>
                <w:sz w:val="20"/>
                <w:szCs w:val="20"/>
              </w:rPr>
              <w:t>150,5</w:t>
            </w:r>
          </w:p>
        </w:tc>
        <w:tc>
          <w:tcPr>
            <w:tcW w:w="1545" w:type="dxa"/>
            <w:shd w:val="clear" w:color="auto" w:fill="auto"/>
          </w:tcPr>
          <w:p w:rsidR="00555562" w:rsidRPr="00555562" w:rsidRDefault="00555562" w:rsidP="00555562">
            <w:pPr>
              <w:jc w:val="center"/>
              <w:rPr>
                <w:sz w:val="20"/>
                <w:szCs w:val="20"/>
              </w:rPr>
            </w:pPr>
            <w:r w:rsidRPr="00555562">
              <w:rPr>
                <w:sz w:val="20"/>
                <w:szCs w:val="20"/>
              </w:rPr>
              <w:t>150,5</w:t>
            </w:r>
          </w:p>
        </w:tc>
        <w:tc>
          <w:tcPr>
            <w:tcW w:w="1149" w:type="dxa"/>
            <w:shd w:val="clear" w:color="auto" w:fill="auto"/>
            <w:hideMark/>
          </w:tcPr>
          <w:p w:rsidR="00555562" w:rsidRPr="00555562" w:rsidRDefault="00555562" w:rsidP="00555562">
            <w:pPr>
              <w:spacing w:after="0" w:line="240" w:lineRule="auto"/>
              <w:ind w:right="34"/>
              <w:jc w:val="center"/>
              <w:rPr>
                <w:sz w:val="20"/>
                <w:szCs w:val="20"/>
              </w:rPr>
            </w:pPr>
            <w:r w:rsidRPr="00555562">
              <w:rPr>
                <w:sz w:val="20"/>
                <w:szCs w:val="20"/>
              </w:rPr>
              <w:t>100%</w:t>
            </w:r>
          </w:p>
        </w:tc>
      </w:tr>
    </w:tbl>
    <w:p w:rsidR="00555562" w:rsidRPr="00555562" w:rsidRDefault="00555562" w:rsidP="00555562">
      <w:pPr>
        <w:tabs>
          <w:tab w:val="left" w:pos="0"/>
        </w:tabs>
        <w:suppressAutoHyphens/>
        <w:spacing w:after="0" w:line="360" w:lineRule="auto"/>
        <w:ind w:right="424" w:firstLine="709"/>
        <w:jc w:val="both"/>
        <w:rPr>
          <w:highlight w:val="yellow"/>
        </w:rPr>
      </w:pPr>
    </w:p>
    <w:p w:rsidR="00555562" w:rsidRPr="00555562" w:rsidRDefault="00555562" w:rsidP="00555562">
      <w:pPr>
        <w:tabs>
          <w:tab w:val="left" w:pos="8505"/>
        </w:tabs>
        <w:autoSpaceDE w:val="0"/>
        <w:autoSpaceDN w:val="0"/>
        <w:adjustRightInd w:val="0"/>
        <w:spacing w:after="0"/>
        <w:ind w:right="-2" w:firstLine="708"/>
        <w:rPr>
          <w:sz w:val="24"/>
          <w:szCs w:val="24"/>
        </w:rPr>
      </w:pPr>
      <w:r w:rsidRPr="00555562">
        <w:rPr>
          <w:sz w:val="24"/>
          <w:szCs w:val="24"/>
        </w:rPr>
        <w:t>Рисунок 3.10.2.</w:t>
      </w:r>
    </w:p>
    <w:p w:rsidR="00555562" w:rsidRPr="00555562" w:rsidRDefault="00555562" w:rsidP="00555562">
      <w:pPr>
        <w:tabs>
          <w:tab w:val="left" w:pos="459"/>
          <w:tab w:val="left" w:pos="8505"/>
        </w:tabs>
        <w:suppressAutoHyphens/>
        <w:spacing w:after="0"/>
        <w:ind w:right="-2"/>
        <w:jc w:val="center"/>
        <w:rPr>
          <w:b/>
          <w:sz w:val="28"/>
          <w:szCs w:val="28"/>
        </w:rPr>
      </w:pPr>
      <w:r w:rsidRPr="00555562">
        <w:rPr>
          <w:b/>
          <w:sz w:val="28"/>
          <w:szCs w:val="28"/>
        </w:rPr>
        <w:t>Структура расходов муниципальной программы «Осуществление городом Ханты-Мансийском функций административного центра Ханты-Мансийского автономного округа – Югры», тыс. рублей</w:t>
      </w:r>
    </w:p>
    <w:p w:rsidR="00555562" w:rsidRPr="00555562" w:rsidRDefault="00555562" w:rsidP="00555562">
      <w:pPr>
        <w:ind w:right="424"/>
        <w:jc w:val="center"/>
        <w:rPr>
          <w:sz w:val="24"/>
          <w:szCs w:val="24"/>
          <w:highlight w:val="yellow"/>
        </w:rPr>
      </w:pPr>
      <w:r w:rsidRPr="00555562">
        <w:rPr>
          <w:noProof/>
        </w:rPr>
        <w:lastRenderedPageBreak/>
        <w:drawing>
          <wp:inline distT="0" distB="0" distL="0" distR="0" wp14:anchorId="1BD89413" wp14:editId="5EB56DC0">
            <wp:extent cx="6210300" cy="3267710"/>
            <wp:effectExtent l="0" t="0" r="0" b="889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5562" w:rsidRPr="00555562" w:rsidRDefault="00555562" w:rsidP="00555562">
      <w:pPr>
        <w:ind w:right="-2"/>
        <w:rPr>
          <w:sz w:val="24"/>
          <w:szCs w:val="24"/>
        </w:rPr>
      </w:pPr>
      <w:r w:rsidRPr="00555562">
        <w:rPr>
          <w:sz w:val="24"/>
          <w:szCs w:val="24"/>
        </w:rPr>
        <w:t>Таблица 3.10.2.</w:t>
      </w:r>
    </w:p>
    <w:p w:rsidR="00555562" w:rsidRPr="00555562" w:rsidRDefault="00555562" w:rsidP="00555562">
      <w:pPr>
        <w:tabs>
          <w:tab w:val="left" w:pos="459"/>
        </w:tabs>
        <w:suppressAutoHyphens/>
        <w:spacing w:after="0"/>
        <w:ind w:right="-2"/>
        <w:jc w:val="center"/>
        <w:rPr>
          <w:b/>
          <w:sz w:val="28"/>
          <w:szCs w:val="28"/>
        </w:rPr>
      </w:pPr>
      <w:r w:rsidRPr="00555562">
        <w:rPr>
          <w:b/>
          <w:sz w:val="28"/>
          <w:szCs w:val="28"/>
        </w:rPr>
        <w:t xml:space="preserve">Структура расходов муниципальной программы «Осуществление городом Ханты-Мансийском функций административного центра Ханты-Мансийского автономного округа – Югры» </w:t>
      </w:r>
    </w:p>
    <w:p w:rsidR="00555562" w:rsidRPr="00555562" w:rsidRDefault="00555562" w:rsidP="00555562">
      <w:pPr>
        <w:tabs>
          <w:tab w:val="left" w:pos="459"/>
        </w:tabs>
        <w:suppressAutoHyphens/>
        <w:spacing w:after="0" w:line="360" w:lineRule="auto"/>
        <w:ind w:right="-2"/>
        <w:rPr>
          <w:sz w:val="24"/>
          <w:szCs w:val="24"/>
        </w:rPr>
      </w:pPr>
      <w:r w:rsidRPr="00555562">
        <w:rPr>
          <w:sz w:val="24"/>
          <w:szCs w:val="24"/>
        </w:rPr>
        <w:t xml:space="preserve">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75"/>
        <w:gridCol w:w="1417"/>
        <w:gridCol w:w="1311"/>
        <w:gridCol w:w="1276"/>
      </w:tblGrid>
      <w:tr w:rsidR="00555562" w:rsidRPr="00555562" w:rsidTr="00051491">
        <w:trPr>
          <w:trHeight w:val="300"/>
          <w:tblHeader/>
        </w:trPr>
        <w:tc>
          <w:tcPr>
            <w:tcW w:w="4077" w:type="dxa"/>
            <w:vMerge w:val="restart"/>
            <w:shd w:val="clear" w:color="auto" w:fill="auto"/>
            <w:hideMark/>
          </w:tcPr>
          <w:p w:rsidR="00555562" w:rsidRPr="00555562" w:rsidRDefault="00555562" w:rsidP="00555562">
            <w:pPr>
              <w:spacing w:after="0" w:line="240" w:lineRule="auto"/>
              <w:jc w:val="center"/>
              <w:rPr>
                <w:b/>
                <w:bCs/>
                <w:sz w:val="20"/>
                <w:szCs w:val="20"/>
              </w:rPr>
            </w:pPr>
            <w:r w:rsidRPr="00555562">
              <w:rPr>
                <w:bCs/>
                <w:sz w:val="20"/>
                <w:szCs w:val="20"/>
              </w:rPr>
              <w:t>Наименование муниципальной программы, подпрограммы муниципальной программы, мероприятия муниципальной программы</w:t>
            </w:r>
          </w:p>
        </w:tc>
        <w:tc>
          <w:tcPr>
            <w:tcW w:w="1275" w:type="dxa"/>
            <w:vMerge w:val="restart"/>
            <w:shd w:val="clear" w:color="auto" w:fill="auto"/>
            <w:noWrap/>
            <w:hideMark/>
          </w:tcPr>
          <w:p w:rsidR="00555562" w:rsidRPr="00555562" w:rsidRDefault="00555562" w:rsidP="00555562">
            <w:pPr>
              <w:spacing w:after="0" w:line="240" w:lineRule="auto"/>
              <w:jc w:val="center"/>
              <w:rPr>
                <w:b/>
                <w:bCs/>
                <w:sz w:val="20"/>
                <w:szCs w:val="20"/>
              </w:rPr>
            </w:pPr>
            <w:r w:rsidRPr="00555562">
              <w:rPr>
                <w:bCs/>
                <w:sz w:val="20"/>
                <w:szCs w:val="20"/>
              </w:rPr>
              <w:t>2021 год (отчет)</w:t>
            </w:r>
          </w:p>
        </w:tc>
        <w:tc>
          <w:tcPr>
            <w:tcW w:w="4004" w:type="dxa"/>
            <w:gridSpan w:val="3"/>
            <w:shd w:val="clear" w:color="auto" w:fill="auto"/>
            <w:noWrap/>
            <w:hideMark/>
          </w:tcPr>
          <w:p w:rsidR="00555562" w:rsidRPr="00555562" w:rsidRDefault="00555562" w:rsidP="00555562">
            <w:pPr>
              <w:spacing w:after="0" w:line="240" w:lineRule="auto"/>
              <w:jc w:val="center"/>
              <w:rPr>
                <w:b/>
                <w:bCs/>
                <w:sz w:val="20"/>
                <w:szCs w:val="20"/>
              </w:rPr>
            </w:pPr>
            <w:r w:rsidRPr="00555562">
              <w:rPr>
                <w:bCs/>
                <w:sz w:val="20"/>
                <w:szCs w:val="20"/>
              </w:rPr>
              <w:t xml:space="preserve">2022 год </w:t>
            </w:r>
          </w:p>
        </w:tc>
      </w:tr>
      <w:tr w:rsidR="00555562" w:rsidRPr="00555562" w:rsidTr="00051491">
        <w:trPr>
          <w:trHeight w:val="458"/>
          <w:tblHeader/>
        </w:trPr>
        <w:tc>
          <w:tcPr>
            <w:tcW w:w="4077" w:type="dxa"/>
            <w:vMerge/>
            <w:shd w:val="clear" w:color="auto" w:fill="auto"/>
            <w:hideMark/>
          </w:tcPr>
          <w:p w:rsidR="00555562" w:rsidRPr="00555562" w:rsidRDefault="00555562" w:rsidP="00555562">
            <w:pPr>
              <w:spacing w:after="0" w:line="240" w:lineRule="auto"/>
              <w:rPr>
                <w:b/>
                <w:bCs/>
                <w:sz w:val="20"/>
                <w:szCs w:val="20"/>
              </w:rPr>
            </w:pPr>
          </w:p>
        </w:tc>
        <w:tc>
          <w:tcPr>
            <w:tcW w:w="1275" w:type="dxa"/>
            <w:vMerge/>
            <w:shd w:val="clear" w:color="auto" w:fill="auto"/>
            <w:hideMark/>
          </w:tcPr>
          <w:p w:rsidR="00555562" w:rsidRPr="00555562" w:rsidRDefault="00555562" w:rsidP="00555562">
            <w:pPr>
              <w:spacing w:after="0" w:line="240" w:lineRule="auto"/>
              <w:rPr>
                <w:sz w:val="20"/>
                <w:szCs w:val="20"/>
              </w:rPr>
            </w:pPr>
          </w:p>
        </w:tc>
        <w:tc>
          <w:tcPr>
            <w:tcW w:w="1417" w:type="dxa"/>
            <w:shd w:val="clear" w:color="auto" w:fill="auto"/>
            <w:hideMark/>
          </w:tcPr>
          <w:p w:rsidR="00555562" w:rsidRPr="00555562" w:rsidRDefault="00555562" w:rsidP="00555562">
            <w:pPr>
              <w:spacing w:after="0" w:line="240" w:lineRule="auto"/>
              <w:jc w:val="center"/>
              <w:rPr>
                <w:sz w:val="20"/>
                <w:szCs w:val="20"/>
              </w:rPr>
            </w:pPr>
            <w:r w:rsidRPr="00555562">
              <w:rPr>
                <w:sz w:val="20"/>
                <w:szCs w:val="20"/>
              </w:rPr>
              <w:t>Уточненный план</w:t>
            </w:r>
          </w:p>
        </w:tc>
        <w:tc>
          <w:tcPr>
            <w:tcW w:w="1311" w:type="dxa"/>
            <w:shd w:val="clear" w:color="auto" w:fill="auto"/>
            <w:hideMark/>
          </w:tcPr>
          <w:p w:rsidR="00555562" w:rsidRPr="00555562" w:rsidRDefault="00555562" w:rsidP="00555562">
            <w:pPr>
              <w:spacing w:after="0" w:line="240" w:lineRule="auto"/>
              <w:jc w:val="center"/>
              <w:rPr>
                <w:sz w:val="20"/>
                <w:szCs w:val="20"/>
              </w:rPr>
            </w:pPr>
            <w:r w:rsidRPr="00555562">
              <w:rPr>
                <w:sz w:val="20"/>
                <w:szCs w:val="20"/>
              </w:rPr>
              <w:t>Исполнение</w:t>
            </w:r>
          </w:p>
        </w:tc>
        <w:tc>
          <w:tcPr>
            <w:tcW w:w="1276" w:type="dxa"/>
            <w:shd w:val="clear" w:color="auto" w:fill="auto"/>
            <w:hideMark/>
          </w:tcPr>
          <w:p w:rsidR="00555562" w:rsidRPr="00555562" w:rsidRDefault="00555562" w:rsidP="00555562">
            <w:pPr>
              <w:spacing w:after="0" w:line="240" w:lineRule="auto"/>
              <w:jc w:val="center"/>
              <w:rPr>
                <w:sz w:val="20"/>
                <w:szCs w:val="20"/>
              </w:rPr>
            </w:pPr>
            <w:r w:rsidRPr="00555562">
              <w:rPr>
                <w:sz w:val="20"/>
                <w:szCs w:val="20"/>
              </w:rPr>
              <w:t>% исполнения</w:t>
            </w:r>
          </w:p>
        </w:tc>
      </w:tr>
      <w:tr w:rsidR="00555562" w:rsidRPr="00555562" w:rsidTr="00555562">
        <w:trPr>
          <w:trHeight w:val="300"/>
        </w:trPr>
        <w:tc>
          <w:tcPr>
            <w:tcW w:w="4077" w:type="dxa"/>
            <w:shd w:val="clear" w:color="auto" w:fill="auto"/>
            <w:hideMark/>
          </w:tcPr>
          <w:p w:rsidR="00555562" w:rsidRPr="00555562" w:rsidRDefault="00555562" w:rsidP="00555562">
            <w:pPr>
              <w:spacing w:after="0" w:line="240" w:lineRule="auto"/>
              <w:jc w:val="left"/>
              <w:rPr>
                <w:b/>
                <w:bCs/>
                <w:sz w:val="20"/>
                <w:szCs w:val="20"/>
              </w:rPr>
            </w:pPr>
            <w:r w:rsidRPr="00555562">
              <w:rPr>
                <w:bCs/>
                <w:sz w:val="20"/>
                <w:szCs w:val="20"/>
              </w:rPr>
              <w:t>Всего по муниципальной программе, всего в том числе:</w:t>
            </w:r>
          </w:p>
        </w:tc>
        <w:tc>
          <w:tcPr>
            <w:tcW w:w="1275" w:type="dxa"/>
            <w:shd w:val="clear" w:color="auto" w:fill="auto"/>
            <w:hideMark/>
          </w:tcPr>
          <w:p w:rsidR="00555562" w:rsidRPr="00555562" w:rsidRDefault="00555562" w:rsidP="00555562">
            <w:pPr>
              <w:jc w:val="center"/>
              <w:rPr>
                <w:sz w:val="20"/>
                <w:szCs w:val="20"/>
              </w:rPr>
            </w:pPr>
            <w:r w:rsidRPr="00555562">
              <w:rPr>
                <w:sz w:val="20"/>
                <w:szCs w:val="20"/>
              </w:rPr>
              <w:t>454 545,5</w:t>
            </w:r>
          </w:p>
        </w:tc>
        <w:tc>
          <w:tcPr>
            <w:tcW w:w="1417" w:type="dxa"/>
            <w:shd w:val="clear" w:color="auto" w:fill="auto"/>
          </w:tcPr>
          <w:p w:rsidR="00555562" w:rsidRPr="00555562" w:rsidRDefault="00555562" w:rsidP="00555562">
            <w:pPr>
              <w:spacing w:after="0" w:line="240" w:lineRule="auto"/>
              <w:jc w:val="center"/>
              <w:rPr>
                <w:sz w:val="20"/>
                <w:szCs w:val="20"/>
              </w:rPr>
            </w:pPr>
            <w:r w:rsidRPr="00555562">
              <w:rPr>
                <w:sz w:val="20"/>
                <w:szCs w:val="20"/>
              </w:rPr>
              <w:t>454 545,5</w:t>
            </w:r>
          </w:p>
        </w:tc>
        <w:tc>
          <w:tcPr>
            <w:tcW w:w="1311" w:type="dxa"/>
            <w:shd w:val="clear" w:color="auto" w:fill="auto"/>
          </w:tcPr>
          <w:p w:rsidR="00555562" w:rsidRPr="00555562" w:rsidRDefault="00555562" w:rsidP="00555562">
            <w:pPr>
              <w:spacing w:after="0" w:line="240" w:lineRule="auto"/>
              <w:jc w:val="center"/>
              <w:rPr>
                <w:sz w:val="20"/>
                <w:szCs w:val="20"/>
              </w:rPr>
            </w:pPr>
            <w:r w:rsidRPr="00555562">
              <w:rPr>
                <w:sz w:val="20"/>
                <w:szCs w:val="20"/>
              </w:rPr>
              <w:t>454 545,5</w:t>
            </w:r>
          </w:p>
        </w:tc>
        <w:tc>
          <w:tcPr>
            <w:tcW w:w="1276" w:type="dxa"/>
            <w:shd w:val="clear" w:color="auto" w:fill="auto"/>
            <w:hideMark/>
          </w:tcPr>
          <w:p w:rsidR="00555562" w:rsidRPr="00555562" w:rsidRDefault="00555562" w:rsidP="00555562">
            <w:pPr>
              <w:spacing w:after="0" w:line="240" w:lineRule="auto"/>
              <w:jc w:val="center"/>
              <w:rPr>
                <w:bCs/>
                <w:sz w:val="20"/>
                <w:szCs w:val="20"/>
              </w:rPr>
            </w:pPr>
            <w:r w:rsidRPr="00555562">
              <w:rPr>
                <w:bCs/>
                <w:sz w:val="20"/>
                <w:szCs w:val="20"/>
              </w:rPr>
              <w:t>100%</w:t>
            </w:r>
          </w:p>
        </w:tc>
      </w:tr>
      <w:tr w:rsidR="00555562" w:rsidRPr="00555562" w:rsidTr="00555562">
        <w:trPr>
          <w:trHeight w:val="273"/>
        </w:trPr>
        <w:tc>
          <w:tcPr>
            <w:tcW w:w="4077" w:type="dxa"/>
            <w:shd w:val="clear" w:color="auto" w:fill="auto"/>
            <w:hideMark/>
          </w:tcPr>
          <w:p w:rsidR="00555562" w:rsidRPr="00555562" w:rsidRDefault="00555562" w:rsidP="00555562">
            <w:pPr>
              <w:spacing w:after="0" w:line="240" w:lineRule="auto"/>
              <w:jc w:val="left"/>
              <w:rPr>
                <w:b/>
                <w:bCs/>
                <w:sz w:val="20"/>
                <w:szCs w:val="20"/>
              </w:rPr>
            </w:pPr>
            <w:r w:rsidRPr="00555562">
              <w:rPr>
                <w:bCs/>
                <w:sz w:val="20"/>
                <w:szCs w:val="20"/>
              </w:rPr>
              <w:t>- бюджет города</w:t>
            </w:r>
          </w:p>
        </w:tc>
        <w:tc>
          <w:tcPr>
            <w:tcW w:w="1275" w:type="dxa"/>
            <w:shd w:val="clear" w:color="auto" w:fill="auto"/>
            <w:hideMark/>
          </w:tcPr>
          <w:p w:rsidR="00555562" w:rsidRPr="00555562" w:rsidRDefault="00555562" w:rsidP="00555562">
            <w:pPr>
              <w:jc w:val="center"/>
              <w:rPr>
                <w:sz w:val="20"/>
                <w:szCs w:val="20"/>
              </w:rPr>
            </w:pPr>
            <w:r w:rsidRPr="00555562">
              <w:rPr>
                <w:sz w:val="20"/>
                <w:szCs w:val="20"/>
              </w:rPr>
              <w:t>4 545,5</w:t>
            </w:r>
          </w:p>
        </w:tc>
        <w:tc>
          <w:tcPr>
            <w:tcW w:w="1417" w:type="dxa"/>
            <w:shd w:val="clear" w:color="auto" w:fill="auto"/>
          </w:tcPr>
          <w:p w:rsidR="00555562" w:rsidRPr="00555562" w:rsidRDefault="00555562" w:rsidP="00555562">
            <w:pPr>
              <w:spacing w:after="0" w:line="240" w:lineRule="auto"/>
              <w:jc w:val="center"/>
              <w:rPr>
                <w:sz w:val="20"/>
                <w:szCs w:val="20"/>
              </w:rPr>
            </w:pPr>
            <w:r w:rsidRPr="00555562">
              <w:rPr>
                <w:sz w:val="20"/>
                <w:szCs w:val="20"/>
              </w:rPr>
              <w:t>4 545,5</w:t>
            </w:r>
          </w:p>
        </w:tc>
        <w:tc>
          <w:tcPr>
            <w:tcW w:w="1311" w:type="dxa"/>
            <w:shd w:val="clear" w:color="auto" w:fill="auto"/>
          </w:tcPr>
          <w:p w:rsidR="00555562" w:rsidRPr="00555562" w:rsidRDefault="00555562" w:rsidP="00555562">
            <w:pPr>
              <w:spacing w:after="0" w:line="240" w:lineRule="auto"/>
              <w:jc w:val="center"/>
              <w:rPr>
                <w:sz w:val="20"/>
                <w:szCs w:val="20"/>
              </w:rPr>
            </w:pPr>
            <w:r w:rsidRPr="00555562">
              <w:rPr>
                <w:sz w:val="20"/>
                <w:szCs w:val="20"/>
              </w:rPr>
              <w:t>4 545,5</w:t>
            </w:r>
          </w:p>
        </w:tc>
        <w:tc>
          <w:tcPr>
            <w:tcW w:w="1276" w:type="dxa"/>
            <w:shd w:val="clear" w:color="auto" w:fill="auto"/>
            <w:hideMark/>
          </w:tcPr>
          <w:p w:rsidR="00555562" w:rsidRPr="00555562" w:rsidRDefault="00555562" w:rsidP="00555562">
            <w:pPr>
              <w:spacing w:after="0" w:line="240" w:lineRule="auto"/>
              <w:jc w:val="center"/>
              <w:rPr>
                <w:sz w:val="20"/>
                <w:szCs w:val="20"/>
              </w:rPr>
            </w:pPr>
            <w:r w:rsidRPr="00555562">
              <w:rPr>
                <w:sz w:val="20"/>
                <w:szCs w:val="20"/>
              </w:rPr>
              <w:t>100%</w:t>
            </w:r>
          </w:p>
        </w:tc>
      </w:tr>
      <w:tr w:rsidR="00555562" w:rsidRPr="00555562" w:rsidTr="00555562">
        <w:trPr>
          <w:trHeight w:val="300"/>
        </w:trPr>
        <w:tc>
          <w:tcPr>
            <w:tcW w:w="4077" w:type="dxa"/>
            <w:shd w:val="clear" w:color="auto" w:fill="auto"/>
            <w:hideMark/>
          </w:tcPr>
          <w:p w:rsidR="00555562" w:rsidRPr="00555562" w:rsidRDefault="00555562" w:rsidP="00555562">
            <w:pPr>
              <w:spacing w:after="0" w:line="240" w:lineRule="auto"/>
              <w:jc w:val="left"/>
              <w:rPr>
                <w:b/>
                <w:bCs/>
                <w:sz w:val="20"/>
                <w:szCs w:val="20"/>
              </w:rPr>
            </w:pPr>
            <w:r w:rsidRPr="00555562">
              <w:rPr>
                <w:bCs/>
                <w:sz w:val="20"/>
                <w:szCs w:val="20"/>
              </w:rPr>
              <w:t xml:space="preserve">- бюджет автономного округа </w:t>
            </w:r>
          </w:p>
        </w:tc>
        <w:tc>
          <w:tcPr>
            <w:tcW w:w="1275" w:type="dxa"/>
            <w:shd w:val="clear" w:color="auto" w:fill="auto"/>
            <w:hideMark/>
          </w:tcPr>
          <w:p w:rsidR="00555562" w:rsidRPr="00555562" w:rsidRDefault="00555562" w:rsidP="00555562">
            <w:pPr>
              <w:jc w:val="center"/>
              <w:rPr>
                <w:sz w:val="20"/>
                <w:szCs w:val="20"/>
              </w:rPr>
            </w:pPr>
            <w:r w:rsidRPr="00555562">
              <w:rPr>
                <w:sz w:val="20"/>
                <w:szCs w:val="20"/>
              </w:rPr>
              <w:t>450 000,0</w:t>
            </w:r>
          </w:p>
        </w:tc>
        <w:tc>
          <w:tcPr>
            <w:tcW w:w="1417" w:type="dxa"/>
            <w:shd w:val="clear" w:color="auto" w:fill="auto"/>
          </w:tcPr>
          <w:p w:rsidR="00555562" w:rsidRPr="00555562" w:rsidRDefault="00555562" w:rsidP="00555562">
            <w:pPr>
              <w:spacing w:after="0" w:line="240" w:lineRule="auto"/>
              <w:jc w:val="center"/>
              <w:rPr>
                <w:sz w:val="20"/>
                <w:szCs w:val="20"/>
              </w:rPr>
            </w:pPr>
            <w:r w:rsidRPr="00555562">
              <w:rPr>
                <w:sz w:val="20"/>
                <w:szCs w:val="20"/>
              </w:rPr>
              <w:t>450 000,0</w:t>
            </w:r>
          </w:p>
        </w:tc>
        <w:tc>
          <w:tcPr>
            <w:tcW w:w="1311" w:type="dxa"/>
            <w:shd w:val="clear" w:color="auto" w:fill="auto"/>
          </w:tcPr>
          <w:p w:rsidR="00555562" w:rsidRPr="00555562" w:rsidRDefault="00555562" w:rsidP="00555562">
            <w:pPr>
              <w:spacing w:after="0" w:line="240" w:lineRule="auto"/>
              <w:jc w:val="center"/>
              <w:rPr>
                <w:sz w:val="20"/>
                <w:szCs w:val="20"/>
              </w:rPr>
            </w:pPr>
            <w:r w:rsidRPr="00555562">
              <w:rPr>
                <w:sz w:val="20"/>
                <w:szCs w:val="20"/>
              </w:rPr>
              <w:t>450 000,0</w:t>
            </w:r>
          </w:p>
        </w:tc>
        <w:tc>
          <w:tcPr>
            <w:tcW w:w="1276" w:type="dxa"/>
            <w:shd w:val="clear" w:color="auto" w:fill="auto"/>
            <w:hideMark/>
          </w:tcPr>
          <w:p w:rsidR="00555562" w:rsidRPr="00555562" w:rsidRDefault="00555562" w:rsidP="00555562">
            <w:pPr>
              <w:spacing w:after="0" w:line="240" w:lineRule="auto"/>
              <w:jc w:val="center"/>
              <w:rPr>
                <w:sz w:val="20"/>
                <w:szCs w:val="20"/>
              </w:rPr>
            </w:pPr>
            <w:r w:rsidRPr="00555562">
              <w:rPr>
                <w:sz w:val="20"/>
                <w:szCs w:val="20"/>
              </w:rPr>
              <w:t>100%</w:t>
            </w:r>
          </w:p>
        </w:tc>
      </w:tr>
      <w:tr w:rsidR="00555562" w:rsidRPr="00555562" w:rsidTr="00555562">
        <w:trPr>
          <w:trHeight w:val="300"/>
        </w:trPr>
        <w:tc>
          <w:tcPr>
            <w:tcW w:w="4077" w:type="dxa"/>
            <w:shd w:val="clear" w:color="auto" w:fill="auto"/>
            <w:hideMark/>
          </w:tcPr>
          <w:p w:rsidR="00555562" w:rsidRPr="00555562" w:rsidRDefault="00555562" w:rsidP="00555562">
            <w:pPr>
              <w:spacing w:after="0" w:line="240" w:lineRule="auto"/>
              <w:jc w:val="both"/>
              <w:rPr>
                <w:b/>
                <w:bCs/>
                <w:sz w:val="20"/>
                <w:szCs w:val="20"/>
              </w:rPr>
            </w:pPr>
            <w:r w:rsidRPr="00555562">
              <w:rPr>
                <w:bCs/>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 всего, в том числе:</w:t>
            </w:r>
          </w:p>
        </w:tc>
        <w:tc>
          <w:tcPr>
            <w:tcW w:w="1275" w:type="dxa"/>
            <w:shd w:val="clear" w:color="auto" w:fill="auto"/>
            <w:hideMark/>
          </w:tcPr>
          <w:p w:rsidR="00555562" w:rsidRPr="00555562" w:rsidRDefault="00555562" w:rsidP="00555562">
            <w:pPr>
              <w:jc w:val="center"/>
              <w:rPr>
                <w:sz w:val="20"/>
                <w:szCs w:val="20"/>
              </w:rPr>
            </w:pPr>
            <w:r w:rsidRPr="00555562">
              <w:rPr>
                <w:sz w:val="20"/>
                <w:szCs w:val="20"/>
              </w:rPr>
              <w:t>16 714,2</w:t>
            </w:r>
          </w:p>
        </w:tc>
        <w:tc>
          <w:tcPr>
            <w:tcW w:w="1417" w:type="dxa"/>
            <w:shd w:val="clear" w:color="auto" w:fill="auto"/>
          </w:tcPr>
          <w:p w:rsidR="00555562" w:rsidRPr="00555562" w:rsidRDefault="00555562" w:rsidP="00555562">
            <w:pPr>
              <w:spacing w:after="0" w:line="240" w:lineRule="auto"/>
              <w:jc w:val="center"/>
              <w:rPr>
                <w:sz w:val="20"/>
                <w:szCs w:val="20"/>
              </w:rPr>
            </w:pPr>
            <w:r w:rsidRPr="00555562">
              <w:rPr>
                <w:sz w:val="20"/>
                <w:szCs w:val="20"/>
              </w:rPr>
              <w:t>19 923,9</w:t>
            </w:r>
          </w:p>
        </w:tc>
        <w:tc>
          <w:tcPr>
            <w:tcW w:w="1311" w:type="dxa"/>
            <w:shd w:val="clear" w:color="auto" w:fill="auto"/>
          </w:tcPr>
          <w:p w:rsidR="00555562" w:rsidRPr="00555562" w:rsidRDefault="00555562" w:rsidP="00555562">
            <w:pPr>
              <w:spacing w:after="0" w:line="240" w:lineRule="auto"/>
              <w:jc w:val="center"/>
              <w:rPr>
                <w:sz w:val="20"/>
                <w:szCs w:val="20"/>
              </w:rPr>
            </w:pPr>
            <w:r w:rsidRPr="00555562">
              <w:rPr>
                <w:sz w:val="20"/>
                <w:szCs w:val="20"/>
              </w:rPr>
              <w:t>19 923,9</w:t>
            </w:r>
          </w:p>
        </w:tc>
        <w:tc>
          <w:tcPr>
            <w:tcW w:w="1276" w:type="dxa"/>
            <w:shd w:val="clear" w:color="auto" w:fill="auto"/>
            <w:hideMark/>
          </w:tcPr>
          <w:p w:rsidR="00555562" w:rsidRPr="00555562" w:rsidRDefault="00555562" w:rsidP="00555562">
            <w:pPr>
              <w:spacing w:after="0" w:line="240" w:lineRule="auto"/>
              <w:jc w:val="center"/>
              <w:rPr>
                <w:sz w:val="20"/>
                <w:szCs w:val="20"/>
              </w:rPr>
            </w:pPr>
            <w:r w:rsidRPr="00555562">
              <w:rPr>
                <w:sz w:val="20"/>
                <w:szCs w:val="20"/>
              </w:rPr>
              <w:t>100%</w:t>
            </w:r>
          </w:p>
        </w:tc>
      </w:tr>
      <w:tr w:rsidR="00555562" w:rsidRPr="00555562" w:rsidTr="00555562">
        <w:trPr>
          <w:trHeight w:val="300"/>
        </w:trPr>
        <w:tc>
          <w:tcPr>
            <w:tcW w:w="4077" w:type="dxa"/>
            <w:shd w:val="clear" w:color="auto" w:fill="auto"/>
            <w:hideMark/>
          </w:tcPr>
          <w:p w:rsidR="00555562" w:rsidRPr="00555562" w:rsidRDefault="00555562" w:rsidP="00555562">
            <w:pPr>
              <w:spacing w:after="0" w:line="240" w:lineRule="auto"/>
              <w:jc w:val="left"/>
              <w:rPr>
                <w:b/>
                <w:bCs/>
                <w:sz w:val="20"/>
                <w:szCs w:val="20"/>
              </w:rPr>
            </w:pPr>
            <w:r w:rsidRPr="00555562">
              <w:rPr>
                <w:bCs/>
                <w:sz w:val="20"/>
                <w:szCs w:val="20"/>
              </w:rPr>
              <w:t>- бюджет города</w:t>
            </w:r>
          </w:p>
        </w:tc>
        <w:tc>
          <w:tcPr>
            <w:tcW w:w="1275" w:type="dxa"/>
            <w:shd w:val="clear" w:color="auto" w:fill="auto"/>
            <w:hideMark/>
          </w:tcPr>
          <w:p w:rsidR="00555562" w:rsidRPr="00555562" w:rsidRDefault="00555562" w:rsidP="00555562">
            <w:pPr>
              <w:jc w:val="center"/>
              <w:rPr>
                <w:sz w:val="20"/>
                <w:szCs w:val="20"/>
              </w:rPr>
            </w:pPr>
            <w:r w:rsidRPr="00555562">
              <w:rPr>
                <w:sz w:val="20"/>
                <w:szCs w:val="20"/>
              </w:rPr>
              <w:t>167,1</w:t>
            </w:r>
          </w:p>
        </w:tc>
        <w:tc>
          <w:tcPr>
            <w:tcW w:w="1417" w:type="dxa"/>
            <w:shd w:val="clear" w:color="auto" w:fill="auto"/>
          </w:tcPr>
          <w:p w:rsidR="00555562" w:rsidRPr="00555562" w:rsidRDefault="00555562" w:rsidP="00555562">
            <w:pPr>
              <w:spacing w:after="0" w:line="240" w:lineRule="auto"/>
              <w:jc w:val="center"/>
              <w:rPr>
                <w:sz w:val="20"/>
                <w:szCs w:val="20"/>
              </w:rPr>
            </w:pPr>
            <w:r w:rsidRPr="00555562">
              <w:rPr>
                <w:sz w:val="20"/>
                <w:szCs w:val="20"/>
              </w:rPr>
              <w:t>199,2</w:t>
            </w:r>
          </w:p>
        </w:tc>
        <w:tc>
          <w:tcPr>
            <w:tcW w:w="1311" w:type="dxa"/>
            <w:shd w:val="clear" w:color="auto" w:fill="auto"/>
          </w:tcPr>
          <w:p w:rsidR="00555562" w:rsidRPr="00555562" w:rsidRDefault="00555562" w:rsidP="00555562">
            <w:pPr>
              <w:spacing w:after="0" w:line="240" w:lineRule="auto"/>
              <w:jc w:val="center"/>
              <w:rPr>
                <w:sz w:val="20"/>
                <w:szCs w:val="20"/>
              </w:rPr>
            </w:pPr>
            <w:r w:rsidRPr="00555562">
              <w:rPr>
                <w:sz w:val="20"/>
                <w:szCs w:val="20"/>
              </w:rPr>
              <w:t>199,2</w:t>
            </w:r>
          </w:p>
        </w:tc>
        <w:tc>
          <w:tcPr>
            <w:tcW w:w="1276" w:type="dxa"/>
            <w:shd w:val="clear" w:color="auto" w:fill="auto"/>
            <w:hideMark/>
          </w:tcPr>
          <w:p w:rsidR="00555562" w:rsidRPr="00555562" w:rsidRDefault="00555562" w:rsidP="00555562">
            <w:pPr>
              <w:spacing w:after="0" w:line="240" w:lineRule="auto"/>
              <w:jc w:val="center"/>
              <w:rPr>
                <w:sz w:val="20"/>
                <w:szCs w:val="20"/>
              </w:rPr>
            </w:pPr>
            <w:r w:rsidRPr="00555562">
              <w:rPr>
                <w:sz w:val="20"/>
                <w:szCs w:val="20"/>
              </w:rPr>
              <w:t>100%</w:t>
            </w:r>
          </w:p>
        </w:tc>
      </w:tr>
      <w:tr w:rsidR="00555562" w:rsidRPr="00555562" w:rsidTr="00555562">
        <w:trPr>
          <w:trHeight w:val="300"/>
        </w:trPr>
        <w:tc>
          <w:tcPr>
            <w:tcW w:w="4077" w:type="dxa"/>
            <w:shd w:val="clear" w:color="auto" w:fill="auto"/>
            <w:hideMark/>
          </w:tcPr>
          <w:p w:rsidR="00555562" w:rsidRPr="00555562" w:rsidRDefault="00555562" w:rsidP="00555562">
            <w:pPr>
              <w:spacing w:after="0" w:line="240" w:lineRule="auto"/>
              <w:jc w:val="left"/>
              <w:rPr>
                <w:b/>
                <w:bCs/>
                <w:sz w:val="20"/>
                <w:szCs w:val="20"/>
              </w:rPr>
            </w:pPr>
            <w:r w:rsidRPr="00555562">
              <w:rPr>
                <w:bCs/>
                <w:sz w:val="20"/>
                <w:szCs w:val="20"/>
              </w:rPr>
              <w:t xml:space="preserve">- бюджет автономного округа </w:t>
            </w:r>
          </w:p>
        </w:tc>
        <w:tc>
          <w:tcPr>
            <w:tcW w:w="1275" w:type="dxa"/>
            <w:shd w:val="clear" w:color="auto" w:fill="auto"/>
            <w:hideMark/>
          </w:tcPr>
          <w:p w:rsidR="00555562" w:rsidRPr="00555562" w:rsidRDefault="00555562" w:rsidP="00555562">
            <w:pPr>
              <w:jc w:val="center"/>
              <w:rPr>
                <w:sz w:val="20"/>
                <w:szCs w:val="20"/>
              </w:rPr>
            </w:pPr>
            <w:r w:rsidRPr="00555562">
              <w:rPr>
                <w:sz w:val="20"/>
                <w:szCs w:val="20"/>
              </w:rPr>
              <w:t>16 547,1</w:t>
            </w:r>
          </w:p>
        </w:tc>
        <w:tc>
          <w:tcPr>
            <w:tcW w:w="1417" w:type="dxa"/>
            <w:shd w:val="clear" w:color="auto" w:fill="auto"/>
          </w:tcPr>
          <w:p w:rsidR="00555562" w:rsidRPr="00555562" w:rsidRDefault="00555562" w:rsidP="00555562">
            <w:pPr>
              <w:spacing w:after="0" w:line="240" w:lineRule="auto"/>
              <w:jc w:val="center"/>
              <w:rPr>
                <w:sz w:val="20"/>
                <w:szCs w:val="20"/>
              </w:rPr>
            </w:pPr>
            <w:r w:rsidRPr="00555562">
              <w:rPr>
                <w:sz w:val="20"/>
                <w:szCs w:val="20"/>
              </w:rPr>
              <w:t>19 724,7</w:t>
            </w:r>
          </w:p>
        </w:tc>
        <w:tc>
          <w:tcPr>
            <w:tcW w:w="1311" w:type="dxa"/>
            <w:shd w:val="clear" w:color="auto" w:fill="auto"/>
          </w:tcPr>
          <w:p w:rsidR="00555562" w:rsidRPr="00555562" w:rsidRDefault="00555562" w:rsidP="00555562">
            <w:pPr>
              <w:spacing w:after="0" w:line="240" w:lineRule="auto"/>
              <w:jc w:val="center"/>
              <w:rPr>
                <w:sz w:val="20"/>
                <w:szCs w:val="20"/>
              </w:rPr>
            </w:pPr>
            <w:r w:rsidRPr="00555562">
              <w:rPr>
                <w:sz w:val="20"/>
                <w:szCs w:val="20"/>
              </w:rPr>
              <w:t>19 724,7</w:t>
            </w:r>
          </w:p>
        </w:tc>
        <w:tc>
          <w:tcPr>
            <w:tcW w:w="1276" w:type="dxa"/>
            <w:shd w:val="clear" w:color="auto" w:fill="auto"/>
            <w:hideMark/>
          </w:tcPr>
          <w:p w:rsidR="00555562" w:rsidRPr="00555562" w:rsidRDefault="00555562" w:rsidP="00555562">
            <w:pPr>
              <w:spacing w:after="0" w:line="240" w:lineRule="auto"/>
              <w:jc w:val="center"/>
              <w:rPr>
                <w:sz w:val="20"/>
                <w:szCs w:val="20"/>
              </w:rPr>
            </w:pPr>
            <w:r w:rsidRPr="00555562">
              <w:rPr>
                <w:sz w:val="20"/>
                <w:szCs w:val="20"/>
              </w:rPr>
              <w:t>100%</w:t>
            </w:r>
          </w:p>
        </w:tc>
      </w:tr>
      <w:tr w:rsidR="00555562" w:rsidRPr="00555562" w:rsidTr="00555562">
        <w:trPr>
          <w:trHeight w:val="300"/>
        </w:trPr>
        <w:tc>
          <w:tcPr>
            <w:tcW w:w="4077" w:type="dxa"/>
            <w:shd w:val="clear" w:color="auto" w:fill="auto"/>
            <w:hideMark/>
          </w:tcPr>
          <w:p w:rsidR="00555562" w:rsidRPr="00555562" w:rsidRDefault="00555562" w:rsidP="00555562">
            <w:pPr>
              <w:spacing w:after="0" w:line="240" w:lineRule="auto"/>
              <w:jc w:val="both"/>
              <w:rPr>
                <w:b/>
                <w:bCs/>
                <w:sz w:val="20"/>
                <w:szCs w:val="20"/>
              </w:rPr>
            </w:pPr>
            <w:r w:rsidRPr="00555562">
              <w:rPr>
                <w:bCs/>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всего, в том числе:</w:t>
            </w:r>
          </w:p>
        </w:tc>
        <w:tc>
          <w:tcPr>
            <w:tcW w:w="1275" w:type="dxa"/>
            <w:shd w:val="clear" w:color="auto" w:fill="auto"/>
            <w:hideMark/>
          </w:tcPr>
          <w:p w:rsidR="00555562" w:rsidRPr="00555562" w:rsidRDefault="00555562" w:rsidP="00555562">
            <w:pPr>
              <w:jc w:val="center"/>
              <w:rPr>
                <w:sz w:val="20"/>
                <w:szCs w:val="20"/>
              </w:rPr>
            </w:pPr>
            <w:r w:rsidRPr="00555562">
              <w:rPr>
                <w:sz w:val="20"/>
                <w:szCs w:val="20"/>
              </w:rPr>
              <w:t>437 831,3</w:t>
            </w:r>
          </w:p>
        </w:tc>
        <w:tc>
          <w:tcPr>
            <w:tcW w:w="1417" w:type="dxa"/>
            <w:shd w:val="clear" w:color="auto" w:fill="auto"/>
          </w:tcPr>
          <w:p w:rsidR="00555562" w:rsidRPr="00555562" w:rsidRDefault="00555562" w:rsidP="00555562">
            <w:pPr>
              <w:spacing w:after="0" w:line="240" w:lineRule="auto"/>
              <w:jc w:val="center"/>
              <w:rPr>
                <w:sz w:val="20"/>
                <w:szCs w:val="20"/>
              </w:rPr>
            </w:pPr>
            <w:r w:rsidRPr="00555562">
              <w:rPr>
                <w:sz w:val="20"/>
                <w:szCs w:val="20"/>
              </w:rPr>
              <w:t>434 621,6</w:t>
            </w:r>
          </w:p>
        </w:tc>
        <w:tc>
          <w:tcPr>
            <w:tcW w:w="1311" w:type="dxa"/>
            <w:shd w:val="clear" w:color="auto" w:fill="auto"/>
          </w:tcPr>
          <w:p w:rsidR="00555562" w:rsidRPr="00555562" w:rsidRDefault="00555562" w:rsidP="00555562">
            <w:pPr>
              <w:spacing w:after="0" w:line="240" w:lineRule="auto"/>
              <w:jc w:val="center"/>
              <w:rPr>
                <w:sz w:val="20"/>
                <w:szCs w:val="20"/>
              </w:rPr>
            </w:pPr>
            <w:r w:rsidRPr="00555562">
              <w:rPr>
                <w:sz w:val="20"/>
                <w:szCs w:val="20"/>
              </w:rPr>
              <w:t>434 621,6</w:t>
            </w:r>
          </w:p>
        </w:tc>
        <w:tc>
          <w:tcPr>
            <w:tcW w:w="1276" w:type="dxa"/>
            <w:shd w:val="clear" w:color="auto" w:fill="auto"/>
            <w:hideMark/>
          </w:tcPr>
          <w:p w:rsidR="00555562" w:rsidRPr="00555562" w:rsidRDefault="00555562" w:rsidP="00555562">
            <w:pPr>
              <w:spacing w:after="0" w:line="240" w:lineRule="auto"/>
              <w:jc w:val="center"/>
              <w:rPr>
                <w:sz w:val="20"/>
                <w:szCs w:val="20"/>
              </w:rPr>
            </w:pPr>
            <w:r w:rsidRPr="00555562">
              <w:rPr>
                <w:sz w:val="20"/>
                <w:szCs w:val="20"/>
              </w:rPr>
              <w:t>100%</w:t>
            </w:r>
          </w:p>
        </w:tc>
      </w:tr>
      <w:tr w:rsidR="00555562" w:rsidRPr="00555562" w:rsidTr="00555562">
        <w:trPr>
          <w:trHeight w:val="300"/>
        </w:trPr>
        <w:tc>
          <w:tcPr>
            <w:tcW w:w="4077" w:type="dxa"/>
            <w:shd w:val="clear" w:color="auto" w:fill="auto"/>
            <w:hideMark/>
          </w:tcPr>
          <w:p w:rsidR="00555562" w:rsidRPr="00555562" w:rsidRDefault="00555562" w:rsidP="00555562">
            <w:pPr>
              <w:spacing w:after="0" w:line="240" w:lineRule="auto"/>
              <w:jc w:val="left"/>
              <w:rPr>
                <w:b/>
                <w:bCs/>
                <w:sz w:val="20"/>
                <w:szCs w:val="20"/>
              </w:rPr>
            </w:pPr>
            <w:r w:rsidRPr="00555562">
              <w:rPr>
                <w:bCs/>
                <w:sz w:val="20"/>
                <w:szCs w:val="20"/>
              </w:rPr>
              <w:t>- бюджет города</w:t>
            </w:r>
          </w:p>
        </w:tc>
        <w:tc>
          <w:tcPr>
            <w:tcW w:w="1275" w:type="dxa"/>
            <w:shd w:val="clear" w:color="auto" w:fill="auto"/>
            <w:hideMark/>
          </w:tcPr>
          <w:p w:rsidR="00555562" w:rsidRPr="00555562" w:rsidRDefault="00555562" w:rsidP="00555562">
            <w:pPr>
              <w:jc w:val="center"/>
              <w:rPr>
                <w:sz w:val="20"/>
                <w:szCs w:val="20"/>
              </w:rPr>
            </w:pPr>
            <w:r w:rsidRPr="00555562">
              <w:rPr>
                <w:sz w:val="20"/>
                <w:szCs w:val="20"/>
              </w:rPr>
              <w:t>4 378,4</w:t>
            </w:r>
          </w:p>
        </w:tc>
        <w:tc>
          <w:tcPr>
            <w:tcW w:w="1417" w:type="dxa"/>
            <w:shd w:val="clear" w:color="auto" w:fill="auto"/>
          </w:tcPr>
          <w:p w:rsidR="00555562" w:rsidRPr="00555562" w:rsidRDefault="00555562" w:rsidP="00555562">
            <w:pPr>
              <w:spacing w:after="0" w:line="240" w:lineRule="auto"/>
              <w:jc w:val="center"/>
              <w:rPr>
                <w:sz w:val="20"/>
                <w:szCs w:val="20"/>
              </w:rPr>
            </w:pPr>
            <w:r w:rsidRPr="00555562">
              <w:rPr>
                <w:sz w:val="20"/>
                <w:szCs w:val="20"/>
              </w:rPr>
              <w:t>4 346,3</w:t>
            </w:r>
          </w:p>
        </w:tc>
        <w:tc>
          <w:tcPr>
            <w:tcW w:w="1311" w:type="dxa"/>
            <w:shd w:val="clear" w:color="auto" w:fill="auto"/>
          </w:tcPr>
          <w:p w:rsidR="00555562" w:rsidRPr="00555562" w:rsidRDefault="00555562" w:rsidP="00555562">
            <w:pPr>
              <w:spacing w:after="0" w:line="240" w:lineRule="auto"/>
              <w:jc w:val="center"/>
              <w:rPr>
                <w:sz w:val="20"/>
                <w:szCs w:val="20"/>
              </w:rPr>
            </w:pPr>
            <w:r w:rsidRPr="00555562">
              <w:rPr>
                <w:sz w:val="20"/>
                <w:szCs w:val="20"/>
              </w:rPr>
              <w:t>4 346,3</w:t>
            </w:r>
          </w:p>
        </w:tc>
        <w:tc>
          <w:tcPr>
            <w:tcW w:w="1276" w:type="dxa"/>
            <w:shd w:val="clear" w:color="auto" w:fill="auto"/>
            <w:hideMark/>
          </w:tcPr>
          <w:p w:rsidR="00555562" w:rsidRPr="00555562" w:rsidRDefault="00555562" w:rsidP="00555562">
            <w:pPr>
              <w:spacing w:after="0" w:line="240" w:lineRule="auto"/>
              <w:jc w:val="center"/>
              <w:rPr>
                <w:sz w:val="20"/>
                <w:szCs w:val="20"/>
              </w:rPr>
            </w:pPr>
            <w:r w:rsidRPr="00555562">
              <w:rPr>
                <w:sz w:val="20"/>
                <w:szCs w:val="20"/>
              </w:rPr>
              <w:t>100%</w:t>
            </w:r>
          </w:p>
        </w:tc>
      </w:tr>
      <w:tr w:rsidR="00555562" w:rsidRPr="00555562" w:rsidTr="00555562">
        <w:trPr>
          <w:trHeight w:val="300"/>
        </w:trPr>
        <w:tc>
          <w:tcPr>
            <w:tcW w:w="4077" w:type="dxa"/>
            <w:shd w:val="clear" w:color="auto" w:fill="auto"/>
            <w:hideMark/>
          </w:tcPr>
          <w:p w:rsidR="00555562" w:rsidRPr="00555562" w:rsidRDefault="00555562" w:rsidP="00555562">
            <w:pPr>
              <w:spacing w:after="0" w:line="240" w:lineRule="auto"/>
              <w:jc w:val="left"/>
              <w:rPr>
                <w:b/>
                <w:bCs/>
                <w:sz w:val="20"/>
                <w:szCs w:val="20"/>
              </w:rPr>
            </w:pPr>
            <w:r w:rsidRPr="00555562">
              <w:rPr>
                <w:bCs/>
                <w:sz w:val="20"/>
                <w:szCs w:val="20"/>
              </w:rPr>
              <w:t xml:space="preserve">- бюджет автономного округа </w:t>
            </w:r>
          </w:p>
        </w:tc>
        <w:tc>
          <w:tcPr>
            <w:tcW w:w="1275" w:type="dxa"/>
            <w:shd w:val="clear" w:color="auto" w:fill="auto"/>
            <w:hideMark/>
          </w:tcPr>
          <w:p w:rsidR="00555562" w:rsidRPr="00555562" w:rsidRDefault="00555562" w:rsidP="00555562">
            <w:pPr>
              <w:jc w:val="center"/>
              <w:rPr>
                <w:sz w:val="20"/>
                <w:szCs w:val="20"/>
              </w:rPr>
            </w:pPr>
            <w:r w:rsidRPr="00555562">
              <w:rPr>
                <w:sz w:val="20"/>
                <w:szCs w:val="20"/>
              </w:rPr>
              <w:t>433 452,9</w:t>
            </w:r>
          </w:p>
        </w:tc>
        <w:tc>
          <w:tcPr>
            <w:tcW w:w="1417" w:type="dxa"/>
            <w:shd w:val="clear" w:color="auto" w:fill="auto"/>
          </w:tcPr>
          <w:p w:rsidR="00555562" w:rsidRPr="00555562" w:rsidRDefault="00555562" w:rsidP="00555562">
            <w:pPr>
              <w:spacing w:after="0" w:line="240" w:lineRule="auto"/>
              <w:jc w:val="center"/>
              <w:rPr>
                <w:sz w:val="20"/>
                <w:szCs w:val="20"/>
              </w:rPr>
            </w:pPr>
            <w:r w:rsidRPr="00555562">
              <w:rPr>
                <w:sz w:val="20"/>
                <w:szCs w:val="20"/>
              </w:rPr>
              <w:t>430 275,3</w:t>
            </w:r>
          </w:p>
        </w:tc>
        <w:tc>
          <w:tcPr>
            <w:tcW w:w="1311" w:type="dxa"/>
            <w:shd w:val="clear" w:color="auto" w:fill="auto"/>
          </w:tcPr>
          <w:p w:rsidR="00555562" w:rsidRPr="00555562" w:rsidRDefault="00555562" w:rsidP="00555562">
            <w:pPr>
              <w:spacing w:after="0" w:line="240" w:lineRule="auto"/>
              <w:jc w:val="center"/>
              <w:rPr>
                <w:sz w:val="20"/>
                <w:szCs w:val="20"/>
              </w:rPr>
            </w:pPr>
            <w:r w:rsidRPr="00555562">
              <w:rPr>
                <w:sz w:val="20"/>
                <w:szCs w:val="20"/>
              </w:rPr>
              <w:t>430 275,3</w:t>
            </w:r>
          </w:p>
        </w:tc>
        <w:tc>
          <w:tcPr>
            <w:tcW w:w="1276" w:type="dxa"/>
            <w:shd w:val="clear" w:color="auto" w:fill="auto"/>
            <w:hideMark/>
          </w:tcPr>
          <w:p w:rsidR="00555562" w:rsidRPr="00555562" w:rsidRDefault="00555562" w:rsidP="00555562">
            <w:pPr>
              <w:spacing w:after="0" w:line="240" w:lineRule="auto"/>
              <w:jc w:val="center"/>
              <w:rPr>
                <w:sz w:val="20"/>
                <w:szCs w:val="20"/>
              </w:rPr>
            </w:pPr>
            <w:r w:rsidRPr="00555562">
              <w:rPr>
                <w:sz w:val="20"/>
                <w:szCs w:val="20"/>
              </w:rPr>
              <w:t>100%</w:t>
            </w:r>
          </w:p>
        </w:tc>
      </w:tr>
    </w:tbl>
    <w:p w:rsidR="00555562" w:rsidRPr="00555562" w:rsidRDefault="00555562" w:rsidP="00555562">
      <w:pPr>
        <w:widowControl w:val="0"/>
        <w:spacing w:after="0"/>
        <w:ind w:right="-1" w:firstLine="709"/>
        <w:jc w:val="both"/>
        <w:rPr>
          <w:sz w:val="28"/>
          <w:szCs w:val="28"/>
        </w:rPr>
      </w:pPr>
      <w:r w:rsidRPr="00555562">
        <w:rPr>
          <w:sz w:val="28"/>
          <w:szCs w:val="28"/>
        </w:rPr>
        <w:lastRenderedPageBreak/>
        <w:t xml:space="preserve">Для достижения целей </w:t>
      </w:r>
      <w:r w:rsidR="00051491">
        <w:rPr>
          <w:sz w:val="28"/>
          <w:szCs w:val="28"/>
        </w:rPr>
        <w:t>муниципальной п</w:t>
      </w:r>
      <w:r w:rsidRPr="00555562">
        <w:rPr>
          <w:sz w:val="28"/>
          <w:szCs w:val="28"/>
        </w:rPr>
        <w:t xml:space="preserve">рограммы </w:t>
      </w:r>
      <w:r w:rsidR="00051491">
        <w:rPr>
          <w:sz w:val="28"/>
          <w:szCs w:val="28"/>
        </w:rPr>
        <w:t xml:space="preserve">осуществлялась </w:t>
      </w:r>
      <w:r w:rsidRPr="00555562">
        <w:rPr>
          <w:sz w:val="28"/>
          <w:szCs w:val="28"/>
        </w:rPr>
        <w:t>реализ</w:t>
      </w:r>
      <w:r w:rsidR="00051491">
        <w:rPr>
          <w:sz w:val="28"/>
          <w:szCs w:val="28"/>
        </w:rPr>
        <w:t>ация</w:t>
      </w:r>
      <w:r w:rsidRPr="00555562">
        <w:rPr>
          <w:sz w:val="28"/>
          <w:szCs w:val="28"/>
        </w:rPr>
        <w:t xml:space="preserve"> основны</w:t>
      </w:r>
      <w:r w:rsidR="00051491">
        <w:rPr>
          <w:sz w:val="28"/>
          <w:szCs w:val="28"/>
        </w:rPr>
        <w:t>х мероприятий</w:t>
      </w:r>
      <w:r w:rsidRPr="00555562">
        <w:rPr>
          <w:sz w:val="28"/>
          <w:szCs w:val="28"/>
        </w:rPr>
        <w:t>:</w:t>
      </w:r>
    </w:p>
    <w:p w:rsidR="00555562" w:rsidRPr="00555562" w:rsidRDefault="00555562" w:rsidP="00555562">
      <w:pPr>
        <w:numPr>
          <w:ilvl w:val="0"/>
          <w:numId w:val="4"/>
        </w:numPr>
        <w:spacing w:after="0"/>
        <w:ind w:left="0" w:right="-1" w:firstLine="567"/>
        <w:contextualSpacing/>
        <w:jc w:val="both"/>
        <w:rPr>
          <w:sz w:val="28"/>
          <w:szCs w:val="28"/>
        </w:rPr>
      </w:pPr>
      <w:r w:rsidRPr="00555562">
        <w:rPr>
          <w:sz w:val="28"/>
          <w:szCs w:val="28"/>
        </w:rPr>
        <w:t xml:space="preserve">«Обеспечение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 на общую сумму 19 923,9 тыс. рублей </w:t>
      </w:r>
      <w:r w:rsidR="00051491">
        <w:rPr>
          <w:sz w:val="28"/>
          <w:szCs w:val="28"/>
        </w:rPr>
        <w:t>исполнение составило</w:t>
      </w:r>
      <w:r w:rsidRPr="00555562">
        <w:rPr>
          <w:sz w:val="28"/>
          <w:szCs w:val="28"/>
        </w:rPr>
        <w:t xml:space="preserve"> 100% , из них: 19 724,7 тыс. рублей - субсидии бюджета автономного округа; 199,2 тыс. рублей доля </w:t>
      </w:r>
      <w:proofErr w:type="spellStart"/>
      <w:r w:rsidRPr="00555562">
        <w:rPr>
          <w:sz w:val="28"/>
          <w:szCs w:val="28"/>
        </w:rPr>
        <w:t>софинансирования</w:t>
      </w:r>
      <w:proofErr w:type="spellEnd"/>
      <w:r w:rsidRPr="00555562">
        <w:rPr>
          <w:sz w:val="28"/>
          <w:szCs w:val="28"/>
        </w:rPr>
        <w:t xml:space="preserve"> городского бюджета. </w:t>
      </w:r>
    </w:p>
    <w:p w:rsidR="00555562" w:rsidRPr="00555562" w:rsidRDefault="00555562" w:rsidP="00555562">
      <w:pPr>
        <w:spacing w:after="0"/>
        <w:ind w:right="-1" w:firstLine="567"/>
        <w:jc w:val="both"/>
        <w:rPr>
          <w:sz w:val="28"/>
          <w:szCs w:val="28"/>
        </w:rPr>
      </w:pPr>
      <w:r w:rsidRPr="00555562">
        <w:rPr>
          <w:sz w:val="28"/>
          <w:szCs w:val="28"/>
        </w:rPr>
        <w:t>Средства направлены на обеспечение и организацию работ (услуг) по праздничному оформлению административного центра Ханты-Мансийского автономного округа – Югры, в том числе выполнены следующие работы по мероприятию:</w:t>
      </w:r>
    </w:p>
    <w:p w:rsidR="00555562" w:rsidRPr="00555562" w:rsidRDefault="00555562" w:rsidP="00555562">
      <w:pPr>
        <w:spacing w:after="0"/>
        <w:ind w:right="-1" w:firstLine="567"/>
        <w:jc w:val="both"/>
        <w:rPr>
          <w:sz w:val="28"/>
          <w:szCs w:val="28"/>
        </w:rPr>
      </w:pPr>
      <w:r w:rsidRPr="00555562">
        <w:rPr>
          <w:sz w:val="28"/>
          <w:szCs w:val="28"/>
        </w:rPr>
        <w:t xml:space="preserve">  - оказание услуг по поставке электрической энергии в период праздничных мероприятий: СПА-фестиваль, территория «Гриль парка </w:t>
      </w:r>
      <w:proofErr w:type="spellStart"/>
      <w:r w:rsidRPr="00555562">
        <w:rPr>
          <w:sz w:val="28"/>
          <w:szCs w:val="28"/>
        </w:rPr>
        <w:t>Finland</w:t>
      </w:r>
      <w:proofErr w:type="spellEnd"/>
      <w:r w:rsidRPr="00555562">
        <w:rPr>
          <w:sz w:val="28"/>
          <w:szCs w:val="28"/>
        </w:rPr>
        <w:t>», проект «Ханты-Мансийск – Новогодняя столица», Чумовая улица (старт проекта, проведение игровых программ, церемония закрытия проекта), фестиваль технических видов спорта «Экстремальная зима», новогоднее поздравление жителей и гостей города, памятно-мемориальное мероприятие, посвященное Дню полного освобождения Ленинграда от фашистской блокады, мероприятие, посвященное Дню защитника Отечества.</w:t>
      </w:r>
    </w:p>
    <w:p w:rsidR="00555562" w:rsidRPr="00555562" w:rsidRDefault="00555562" w:rsidP="00555562">
      <w:pPr>
        <w:spacing w:after="0"/>
        <w:ind w:right="-1" w:firstLine="567"/>
        <w:jc w:val="both"/>
        <w:rPr>
          <w:sz w:val="28"/>
          <w:szCs w:val="28"/>
        </w:rPr>
      </w:pPr>
      <w:r w:rsidRPr="00555562">
        <w:rPr>
          <w:sz w:val="28"/>
          <w:szCs w:val="28"/>
        </w:rPr>
        <w:t>- оказаны и оплачены услуги по доставке, монтажу, оформлению, содержанию и охране, демонтажу и вывозу новогодних искусственных елей декоративное освещение и содержание ледовых городков на площадях Центральной, Свободы и Славянской письменности, а также украшение фонтана «Ротонда»;</w:t>
      </w:r>
    </w:p>
    <w:p w:rsidR="00555562" w:rsidRPr="00555562" w:rsidRDefault="00555562" w:rsidP="00555562">
      <w:pPr>
        <w:spacing w:after="0"/>
        <w:ind w:right="-1" w:firstLine="709"/>
        <w:jc w:val="both"/>
        <w:rPr>
          <w:sz w:val="28"/>
          <w:szCs w:val="28"/>
        </w:rPr>
      </w:pPr>
      <w:r w:rsidRPr="00555562">
        <w:rPr>
          <w:sz w:val="28"/>
          <w:szCs w:val="28"/>
        </w:rPr>
        <w:t xml:space="preserve">организована группа поддержки в период проведения Всероссийских соревнований «Зимние Игры </w:t>
      </w:r>
      <w:proofErr w:type="spellStart"/>
      <w:r w:rsidR="001C56A5" w:rsidRPr="00555562">
        <w:rPr>
          <w:sz w:val="28"/>
          <w:szCs w:val="28"/>
        </w:rPr>
        <w:t>Паролимпийцев</w:t>
      </w:r>
      <w:proofErr w:type="spellEnd"/>
      <w:r w:rsidRPr="00555562">
        <w:rPr>
          <w:sz w:val="28"/>
          <w:szCs w:val="28"/>
        </w:rPr>
        <w:t xml:space="preserve"> «Мы вместе. Спорт».</w:t>
      </w:r>
    </w:p>
    <w:p w:rsidR="00555562" w:rsidRPr="00555562" w:rsidRDefault="00555562" w:rsidP="00555562">
      <w:pPr>
        <w:spacing w:after="0"/>
        <w:ind w:right="-1" w:firstLine="709"/>
        <w:jc w:val="both"/>
        <w:rPr>
          <w:sz w:val="28"/>
          <w:szCs w:val="28"/>
          <w:highlight w:val="yellow"/>
        </w:rPr>
      </w:pPr>
      <w:r w:rsidRPr="00555562">
        <w:rPr>
          <w:sz w:val="28"/>
          <w:szCs w:val="28"/>
        </w:rPr>
        <w:t xml:space="preserve"> 2.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на общую сумму 434 621,6 тыс. рублей </w:t>
      </w:r>
      <w:r w:rsidR="001C56A5">
        <w:rPr>
          <w:sz w:val="28"/>
          <w:szCs w:val="28"/>
        </w:rPr>
        <w:t xml:space="preserve">исполнение составило </w:t>
      </w:r>
      <w:r w:rsidRPr="00555562">
        <w:rPr>
          <w:sz w:val="28"/>
          <w:szCs w:val="28"/>
        </w:rPr>
        <w:t xml:space="preserve">100%, из них: 430 275,3 тыс. рублей - субсидии бюджета автономного округа, 4 346,3 тыс. рублей - доля </w:t>
      </w:r>
      <w:proofErr w:type="spellStart"/>
      <w:r w:rsidRPr="00555562">
        <w:rPr>
          <w:sz w:val="28"/>
          <w:szCs w:val="28"/>
        </w:rPr>
        <w:t>софинансирования</w:t>
      </w:r>
      <w:proofErr w:type="spellEnd"/>
      <w:r w:rsidRPr="00555562">
        <w:rPr>
          <w:sz w:val="28"/>
          <w:szCs w:val="28"/>
        </w:rPr>
        <w:t xml:space="preserve"> городского бюджета. Реализация мероприятия заключалась в обеспечении и организации работ (услуг):</w:t>
      </w:r>
    </w:p>
    <w:p w:rsidR="00555562" w:rsidRPr="00555562" w:rsidRDefault="00555562" w:rsidP="00555562">
      <w:pPr>
        <w:autoSpaceDE w:val="0"/>
        <w:autoSpaceDN w:val="0"/>
        <w:spacing w:after="0"/>
        <w:ind w:right="-1" w:firstLine="709"/>
        <w:jc w:val="both"/>
        <w:rPr>
          <w:sz w:val="28"/>
          <w:szCs w:val="28"/>
        </w:rPr>
      </w:pPr>
      <w:r w:rsidRPr="00555562">
        <w:rPr>
          <w:sz w:val="28"/>
          <w:szCs w:val="28"/>
        </w:rPr>
        <w:t>2.1. По содержанию и сохранению объектов внешнего благоустройства</w:t>
      </w:r>
      <w:r w:rsidR="00E847AF">
        <w:rPr>
          <w:sz w:val="28"/>
          <w:szCs w:val="28"/>
        </w:rPr>
        <w:t>:</w:t>
      </w:r>
      <w:r w:rsidRPr="00555562">
        <w:rPr>
          <w:sz w:val="28"/>
          <w:szCs w:val="28"/>
        </w:rPr>
        <w:t xml:space="preserve"> при плане 97 563,3 тыс. рублей исполнение составило 100%. </w:t>
      </w:r>
    </w:p>
    <w:p w:rsidR="00555562" w:rsidRPr="00555562" w:rsidRDefault="00555562" w:rsidP="00555562">
      <w:pPr>
        <w:spacing w:after="0"/>
        <w:ind w:right="-1" w:firstLine="709"/>
        <w:jc w:val="both"/>
        <w:rPr>
          <w:sz w:val="28"/>
          <w:szCs w:val="28"/>
        </w:rPr>
      </w:pPr>
      <w:r w:rsidRPr="00555562">
        <w:rPr>
          <w:sz w:val="28"/>
          <w:szCs w:val="28"/>
        </w:rPr>
        <w:t xml:space="preserve">Перечень объектов внешнего благоустройства:  площади: «Центральная» «Свободы», «Спортивной славы», «Славянской </w:t>
      </w:r>
      <w:r w:rsidRPr="00555562">
        <w:rPr>
          <w:sz w:val="28"/>
          <w:szCs w:val="28"/>
        </w:rPr>
        <w:lastRenderedPageBreak/>
        <w:t>письменности», площадь по ул. Гагарина д. 284 с фонтаном (напротив площади «Свободы»); парки: «Победы», «им. Бориса Лосева», культурно-туристический комплекс «</w:t>
      </w:r>
      <w:proofErr w:type="spellStart"/>
      <w:r w:rsidRPr="00555562">
        <w:rPr>
          <w:sz w:val="28"/>
          <w:szCs w:val="28"/>
        </w:rPr>
        <w:t>Археопарк</w:t>
      </w:r>
      <w:proofErr w:type="spellEnd"/>
      <w:r w:rsidRPr="00555562">
        <w:rPr>
          <w:sz w:val="28"/>
          <w:szCs w:val="28"/>
        </w:rPr>
        <w:t>»; скверы: «Сиреневый», «Черемуховый», «</w:t>
      </w:r>
      <w:proofErr w:type="spellStart"/>
      <w:r w:rsidRPr="00555562">
        <w:rPr>
          <w:sz w:val="28"/>
          <w:szCs w:val="28"/>
        </w:rPr>
        <w:t>Гидронамыв</w:t>
      </w:r>
      <w:proofErr w:type="spellEnd"/>
      <w:r w:rsidRPr="00555562">
        <w:rPr>
          <w:sz w:val="28"/>
          <w:szCs w:val="28"/>
        </w:rPr>
        <w:t xml:space="preserve">», «Студенческий»; памятники: «Жертвам политических репрессий», Ф. Салманову по ул. Чехова, Х. Лопареву по ул. Свободы, А.В. </w:t>
      </w:r>
      <w:proofErr w:type="spellStart"/>
      <w:r w:rsidRPr="00555562">
        <w:rPr>
          <w:sz w:val="28"/>
          <w:szCs w:val="28"/>
        </w:rPr>
        <w:t>Маргелову</w:t>
      </w:r>
      <w:proofErr w:type="spellEnd"/>
      <w:r w:rsidRPr="00555562">
        <w:rPr>
          <w:sz w:val="28"/>
          <w:szCs w:val="28"/>
        </w:rPr>
        <w:t xml:space="preserve">, В.Ф. </w:t>
      </w:r>
      <w:proofErr w:type="spellStart"/>
      <w:r w:rsidRPr="00555562">
        <w:rPr>
          <w:sz w:val="28"/>
          <w:szCs w:val="28"/>
        </w:rPr>
        <w:t>Маргелову</w:t>
      </w:r>
      <w:proofErr w:type="spellEnd"/>
      <w:r w:rsidRPr="00555562">
        <w:rPr>
          <w:sz w:val="28"/>
          <w:szCs w:val="28"/>
        </w:rPr>
        <w:t xml:space="preserve">, танк Т-34 в мемориальном парке Победы, основателям города на площади Свободы; бюст П.И. Лопареву по ул. Чехова; монументальная композиция «Югра» по ул. Дзержинского - ул. К. Маркса; въездной знак со стороны автодороги «Тюмень-Ханты-Мансийск»; Тропа здоровья и подъезд к Тропе здоровья; территория стоянки выставочного центра «Югра-Экспо», пассажирский причал в составе комплекса пассажирского вокзала с прогулочной набережной, набережная и </w:t>
      </w:r>
      <w:proofErr w:type="spellStart"/>
      <w:r w:rsidRPr="00555562">
        <w:rPr>
          <w:sz w:val="28"/>
          <w:szCs w:val="28"/>
        </w:rPr>
        <w:t>берегоукрепление</w:t>
      </w:r>
      <w:proofErr w:type="spellEnd"/>
      <w:r w:rsidRPr="00555562">
        <w:rPr>
          <w:sz w:val="28"/>
          <w:szCs w:val="28"/>
        </w:rPr>
        <w:t xml:space="preserve"> р. Иртыша (территории жилой застройки в районе </w:t>
      </w:r>
      <w:proofErr w:type="spellStart"/>
      <w:r w:rsidRPr="00555562">
        <w:rPr>
          <w:sz w:val="28"/>
          <w:szCs w:val="28"/>
        </w:rPr>
        <w:t>Самарово</w:t>
      </w:r>
      <w:proofErr w:type="spellEnd"/>
      <w:r w:rsidRPr="00555562">
        <w:rPr>
          <w:sz w:val="28"/>
          <w:szCs w:val="28"/>
        </w:rPr>
        <w:t>); территория у Стеллы, посвященной великим сибирским экспедициям; детский городок по ул. Мира, д. 63-65; объекты зеленого хозяйства, в том числе обочины и газоны, прилегающие к объектам внешнего благоустройства и улицам города.</w:t>
      </w:r>
    </w:p>
    <w:p w:rsidR="00555562" w:rsidRPr="00E847AF" w:rsidRDefault="00555562" w:rsidP="00555562">
      <w:pPr>
        <w:spacing w:after="0"/>
        <w:ind w:right="-1" w:firstLine="709"/>
        <w:jc w:val="both"/>
        <w:rPr>
          <w:sz w:val="28"/>
          <w:szCs w:val="28"/>
        </w:rPr>
      </w:pPr>
      <w:r w:rsidRPr="00555562">
        <w:rPr>
          <w:sz w:val="28"/>
          <w:szCs w:val="28"/>
        </w:rPr>
        <w:t xml:space="preserve">Содержание и сохранение объектов внешнего благоустройства заключалось в выполнении работ по очистке от снега в зимнее время и очистке от мусора в остальное время года механизированным и ручным способом площадей, тротуаров в парках, памятников и т.п., в том числе: в зимнее время  сбор, погрузка, организация размещения и вывоз снега; в летнее время - мойка; внесение удобрений, скашивание и восстановление газонов, очистка и мойка в летний период урн на площадях, в парках и чаш фонтанов на площадях; замена (ремонт) облицовки из природного камня; спиливание деревьев, содержание кустарников в живой изгороди, цветочных вазонов, клумб и </w:t>
      </w:r>
      <w:r w:rsidRPr="00E847AF">
        <w:rPr>
          <w:sz w:val="28"/>
          <w:szCs w:val="28"/>
        </w:rPr>
        <w:t>прочих объектов зеленого хозяйства.</w:t>
      </w:r>
    </w:p>
    <w:p w:rsidR="00555562" w:rsidRPr="00E847AF" w:rsidRDefault="00555562" w:rsidP="00555562">
      <w:pPr>
        <w:shd w:val="clear" w:color="auto" w:fill="FFFFFF"/>
        <w:spacing w:after="0"/>
        <w:ind w:right="-1" w:firstLine="709"/>
        <w:jc w:val="both"/>
        <w:rPr>
          <w:sz w:val="28"/>
          <w:szCs w:val="28"/>
          <w:u w:val="single"/>
        </w:rPr>
      </w:pPr>
      <w:r w:rsidRPr="00E847AF">
        <w:rPr>
          <w:sz w:val="28"/>
          <w:szCs w:val="28"/>
        </w:rPr>
        <w:t>2.2. По обеспечению работ (услуг) по содержанию объектов уличного освещения, архитектурно-художественной подсветки. План в сумме 54 522,2 тыс. рублей исполнен на 100%.</w:t>
      </w:r>
      <w:r w:rsidRPr="00E847AF">
        <w:rPr>
          <w:sz w:val="28"/>
          <w:szCs w:val="28"/>
          <w:u w:val="single"/>
        </w:rPr>
        <w:t xml:space="preserve">  </w:t>
      </w:r>
    </w:p>
    <w:p w:rsidR="00555562" w:rsidRPr="00555562" w:rsidRDefault="00555562" w:rsidP="00555562">
      <w:pPr>
        <w:tabs>
          <w:tab w:val="left" w:pos="709"/>
        </w:tabs>
        <w:spacing w:after="0"/>
        <w:ind w:right="-1" w:firstLine="709"/>
        <w:jc w:val="both"/>
        <w:rPr>
          <w:sz w:val="28"/>
          <w:szCs w:val="28"/>
        </w:rPr>
      </w:pPr>
      <w:r w:rsidRPr="00555562">
        <w:rPr>
          <w:sz w:val="28"/>
          <w:szCs w:val="28"/>
        </w:rPr>
        <w:t>В рамках данного мероприятия выполняются работы по бесперебойной и безаварийной работе объектов наружного освещения, содержание объектов наружного освещения</w:t>
      </w:r>
      <w:r w:rsidR="00E847AF">
        <w:rPr>
          <w:sz w:val="28"/>
          <w:szCs w:val="28"/>
        </w:rPr>
        <w:t xml:space="preserve"> МБУ «</w:t>
      </w:r>
      <w:proofErr w:type="spellStart"/>
      <w:r w:rsidR="00E847AF">
        <w:rPr>
          <w:sz w:val="28"/>
          <w:szCs w:val="28"/>
        </w:rPr>
        <w:t>Горсвет</w:t>
      </w:r>
      <w:proofErr w:type="spellEnd"/>
      <w:r w:rsidR="00E847AF">
        <w:rPr>
          <w:sz w:val="28"/>
          <w:szCs w:val="28"/>
        </w:rPr>
        <w:t>»</w:t>
      </w:r>
      <w:r w:rsidRPr="00555562">
        <w:rPr>
          <w:sz w:val="28"/>
          <w:szCs w:val="28"/>
        </w:rPr>
        <w:t>, в том числе:</w:t>
      </w:r>
    </w:p>
    <w:p w:rsidR="00555562" w:rsidRPr="00555562" w:rsidRDefault="00555562" w:rsidP="00555562">
      <w:pPr>
        <w:tabs>
          <w:tab w:val="left" w:pos="709"/>
        </w:tabs>
        <w:spacing w:after="0"/>
        <w:ind w:right="-1" w:firstLine="709"/>
        <w:jc w:val="both"/>
        <w:rPr>
          <w:sz w:val="28"/>
          <w:szCs w:val="28"/>
        </w:rPr>
      </w:pPr>
      <w:r w:rsidRPr="00555562">
        <w:rPr>
          <w:sz w:val="28"/>
          <w:szCs w:val="28"/>
        </w:rPr>
        <w:t xml:space="preserve">- содержание и текущий ремонт светильников с натриевыми лампами в количестве 12 062 </w:t>
      </w:r>
      <w:proofErr w:type="spellStart"/>
      <w:r w:rsidRPr="00555562">
        <w:rPr>
          <w:sz w:val="28"/>
          <w:szCs w:val="28"/>
        </w:rPr>
        <w:t>светоточки</w:t>
      </w:r>
      <w:proofErr w:type="spellEnd"/>
      <w:r w:rsidRPr="00555562">
        <w:rPr>
          <w:sz w:val="28"/>
          <w:szCs w:val="28"/>
        </w:rPr>
        <w:t>;</w:t>
      </w:r>
    </w:p>
    <w:p w:rsidR="00555562" w:rsidRPr="00555562" w:rsidRDefault="00555562" w:rsidP="00555562">
      <w:pPr>
        <w:tabs>
          <w:tab w:val="left" w:pos="709"/>
        </w:tabs>
        <w:spacing w:after="0"/>
        <w:ind w:right="-1" w:firstLine="709"/>
        <w:jc w:val="both"/>
        <w:rPr>
          <w:sz w:val="28"/>
          <w:szCs w:val="28"/>
        </w:rPr>
      </w:pPr>
      <w:r w:rsidRPr="00555562">
        <w:rPr>
          <w:sz w:val="28"/>
          <w:szCs w:val="28"/>
        </w:rPr>
        <w:t>- содержание и текущий ремонт воздушных линий в количестве 104,93 км;</w:t>
      </w:r>
    </w:p>
    <w:p w:rsidR="00555562" w:rsidRPr="00555562" w:rsidRDefault="00555562" w:rsidP="00555562">
      <w:pPr>
        <w:tabs>
          <w:tab w:val="left" w:pos="709"/>
        </w:tabs>
        <w:spacing w:after="0"/>
        <w:ind w:right="-1" w:firstLine="709"/>
        <w:jc w:val="both"/>
        <w:rPr>
          <w:sz w:val="28"/>
          <w:szCs w:val="28"/>
        </w:rPr>
      </w:pPr>
      <w:r w:rsidRPr="00555562">
        <w:rPr>
          <w:sz w:val="28"/>
          <w:szCs w:val="28"/>
        </w:rPr>
        <w:t>- текущий ремонт металлических опор в количестве 8 992 единиц;</w:t>
      </w:r>
    </w:p>
    <w:p w:rsidR="00555562" w:rsidRPr="00555562" w:rsidRDefault="00555562" w:rsidP="00555562">
      <w:pPr>
        <w:tabs>
          <w:tab w:val="left" w:pos="709"/>
        </w:tabs>
        <w:spacing w:after="0"/>
        <w:ind w:right="-1" w:firstLine="709"/>
        <w:jc w:val="both"/>
        <w:rPr>
          <w:sz w:val="28"/>
          <w:szCs w:val="28"/>
        </w:rPr>
      </w:pPr>
      <w:r w:rsidRPr="00555562">
        <w:rPr>
          <w:sz w:val="28"/>
          <w:szCs w:val="28"/>
        </w:rPr>
        <w:lastRenderedPageBreak/>
        <w:t>- содержание и текущий ремонт кабельной линии в количестве 342,18 км;</w:t>
      </w:r>
    </w:p>
    <w:p w:rsidR="00555562" w:rsidRPr="00555562" w:rsidRDefault="00555562" w:rsidP="00555562">
      <w:pPr>
        <w:tabs>
          <w:tab w:val="left" w:pos="709"/>
        </w:tabs>
        <w:spacing w:after="0"/>
        <w:ind w:right="-1" w:firstLine="709"/>
        <w:jc w:val="both"/>
        <w:rPr>
          <w:sz w:val="28"/>
          <w:szCs w:val="28"/>
        </w:rPr>
      </w:pPr>
      <w:r w:rsidRPr="00555562">
        <w:rPr>
          <w:sz w:val="28"/>
          <w:szCs w:val="28"/>
        </w:rPr>
        <w:t>- содержание и текущий ремонт пунктов питания наружного освещения в количестве 165 питающих пунктов;</w:t>
      </w:r>
    </w:p>
    <w:p w:rsidR="00555562" w:rsidRPr="00555562" w:rsidRDefault="00555562" w:rsidP="00555562">
      <w:pPr>
        <w:tabs>
          <w:tab w:val="left" w:pos="709"/>
        </w:tabs>
        <w:spacing w:after="0"/>
        <w:ind w:right="-1" w:firstLine="709"/>
        <w:jc w:val="both"/>
        <w:rPr>
          <w:sz w:val="28"/>
          <w:szCs w:val="28"/>
        </w:rPr>
      </w:pPr>
      <w:r w:rsidRPr="00555562">
        <w:rPr>
          <w:sz w:val="28"/>
          <w:szCs w:val="28"/>
        </w:rPr>
        <w:t xml:space="preserve">- содержание и текущий ремонт архитектурно-художественной подсветки зданий и сооружений в количестве 2 942 </w:t>
      </w:r>
      <w:proofErr w:type="spellStart"/>
      <w:r w:rsidRPr="00555562">
        <w:rPr>
          <w:sz w:val="28"/>
          <w:szCs w:val="28"/>
        </w:rPr>
        <w:t>светоточки</w:t>
      </w:r>
      <w:proofErr w:type="spellEnd"/>
      <w:r w:rsidRPr="00555562">
        <w:rPr>
          <w:sz w:val="28"/>
          <w:szCs w:val="28"/>
        </w:rPr>
        <w:t>;</w:t>
      </w:r>
    </w:p>
    <w:p w:rsidR="00555562" w:rsidRPr="00555562" w:rsidRDefault="00555562" w:rsidP="00555562">
      <w:pPr>
        <w:tabs>
          <w:tab w:val="left" w:pos="709"/>
        </w:tabs>
        <w:spacing w:after="0"/>
        <w:ind w:right="-1" w:firstLine="709"/>
        <w:jc w:val="both"/>
        <w:rPr>
          <w:sz w:val="28"/>
          <w:szCs w:val="28"/>
        </w:rPr>
      </w:pPr>
      <w:r w:rsidRPr="00555562">
        <w:rPr>
          <w:sz w:val="28"/>
          <w:szCs w:val="28"/>
        </w:rPr>
        <w:t xml:space="preserve">- содержание и текущий ремонт праздничной иллюминации в количестве 10 392 </w:t>
      </w:r>
      <w:proofErr w:type="spellStart"/>
      <w:r w:rsidRPr="00555562">
        <w:rPr>
          <w:sz w:val="28"/>
          <w:szCs w:val="28"/>
        </w:rPr>
        <w:t>светоточки</w:t>
      </w:r>
      <w:proofErr w:type="spellEnd"/>
      <w:r w:rsidRPr="00555562">
        <w:rPr>
          <w:sz w:val="28"/>
          <w:szCs w:val="28"/>
        </w:rPr>
        <w:t>;</w:t>
      </w:r>
    </w:p>
    <w:p w:rsidR="00555562" w:rsidRPr="00555562" w:rsidRDefault="00555562" w:rsidP="00555562">
      <w:pPr>
        <w:tabs>
          <w:tab w:val="left" w:pos="709"/>
        </w:tabs>
        <w:spacing w:after="0"/>
        <w:ind w:right="-1" w:firstLine="709"/>
        <w:jc w:val="both"/>
        <w:rPr>
          <w:sz w:val="28"/>
          <w:szCs w:val="28"/>
        </w:rPr>
      </w:pPr>
      <w:r w:rsidRPr="00555562">
        <w:rPr>
          <w:sz w:val="28"/>
          <w:szCs w:val="28"/>
        </w:rPr>
        <w:t xml:space="preserve">- содержание и текущий ремонт световых коробов, щитовых конструкций, панель-кронштейнов на опорах наружного освещения в количестве 1 342 </w:t>
      </w:r>
      <w:proofErr w:type="spellStart"/>
      <w:r w:rsidRPr="00555562">
        <w:rPr>
          <w:sz w:val="28"/>
          <w:szCs w:val="28"/>
        </w:rPr>
        <w:t>светоточки</w:t>
      </w:r>
      <w:proofErr w:type="spellEnd"/>
      <w:r w:rsidRPr="00555562">
        <w:rPr>
          <w:sz w:val="28"/>
          <w:szCs w:val="28"/>
        </w:rPr>
        <w:t>;</w:t>
      </w:r>
    </w:p>
    <w:p w:rsidR="00555562" w:rsidRPr="00555562" w:rsidRDefault="00555562" w:rsidP="00555562">
      <w:pPr>
        <w:tabs>
          <w:tab w:val="left" w:pos="709"/>
        </w:tabs>
        <w:spacing w:after="0"/>
        <w:ind w:right="-1" w:firstLine="709"/>
        <w:jc w:val="both"/>
        <w:rPr>
          <w:sz w:val="28"/>
          <w:szCs w:val="28"/>
        </w:rPr>
      </w:pPr>
      <w:r w:rsidRPr="00555562">
        <w:rPr>
          <w:sz w:val="28"/>
          <w:szCs w:val="28"/>
        </w:rPr>
        <w:t>- содержание и текущий ремонт аншлагов почтовой нумерации в количестве 242 ед.;</w:t>
      </w:r>
    </w:p>
    <w:p w:rsidR="00555562" w:rsidRPr="00555562" w:rsidRDefault="00555562" w:rsidP="00555562">
      <w:pPr>
        <w:tabs>
          <w:tab w:val="left" w:pos="709"/>
        </w:tabs>
        <w:spacing w:after="0"/>
        <w:ind w:right="-1" w:firstLine="709"/>
        <w:jc w:val="both"/>
        <w:rPr>
          <w:sz w:val="28"/>
          <w:szCs w:val="28"/>
        </w:rPr>
      </w:pPr>
      <w:r w:rsidRPr="00555562">
        <w:rPr>
          <w:sz w:val="28"/>
          <w:szCs w:val="28"/>
        </w:rPr>
        <w:t>- содержание и текущий ремонт флагов ветерков и флагов расцвечивания в количестве 276 ед.;</w:t>
      </w:r>
    </w:p>
    <w:p w:rsidR="00555562" w:rsidRPr="00555562" w:rsidRDefault="00555562" w:rsidP="00555562">
      <w:pPr>
        <w:tabs>
          <w:tab w:val="left" w:pos="709"/>
        </w:tabs>
        <w:spacing w:after="0"/>
        <w:ind w:right="-1" w:firstLine="709"/>
        <w:jc w:val="both"/>
        <w:rPr>
          <w:sz w:val="28"/>
          <w:szCs w:val="28"/>
        </w:rPr>
      </w:pPr>
      <w:r w:rsidRPr="00555562">
        <w:rPr>
          <w:sz w:val="28"/>
          <w:szCs w:val="28"/>
        </w:rPr>
        <w:t>- содержание и текущий ремонт комплектов автоматизации нерегулируемых пешеходных переходов в количестве 126 сигнальных фонарей;</w:t>
      </w:r>
    </w:p>
    <w:p w:rsidR="00555562" w:rsidRPr="00555562" w:rsidRDefault="00555562" w:rsidP="00555562">
      <w:pPr>
        <w:spacing w:after="0"/>
        <w:ind w:right="-1" w:firstLine="709"/>
        <w:jc w:val="both"/>
        <w:rPr>
          <w:sz w:val="28"/>
          <w:szCs w:val="28"/>
        </w:rPr>
      </w:pPr>
      <w:r w:rsidRPr="00555562">
        <w:rPr>
          <w:sz w:val="28"/>
          <w:szCs w:val="28"/>
        </w:rPr>
        <w:t xml:space="preserve">- содержание и текущий ремонт праздничных украшений в количестве 1 024 </w:t>
      </w:r>
      <w:proofErr w:type="spellStart"/>
      <w:r w:rsidRPr="00555562">
        <w:rPr>
          <w:sz w:val="28"/>
          <w:szCs w:val="28"/>
        </w:rPr>
        <w:t>светоточки</w:t>
      </w:r>
      <w:proofErr w:type="spellEnd"/>
      <w:r w:rsidRPr="00555562">
        <w:rPr>
          <w:sz w:val="28"/>
          <w:szCs w:val="28"/>
        </w:rPr>
        <w:t>;</w:t>
      </w:r>
    </w:p>
    <w:p w:rsidR="00555562" w:rsidRPr="00555562" w:rsidRDefault="00555562" w:rsidP="00555562">
      <w:pPr>
        <w:spacing w:after="0"/>
        <w:ind w:right="-1" w:firstLine="709"/>
        <w:jc w:val="both"/>
        <w:rPr>
          <w:sz w:val="28"/>
          <w:szCs w:val="28"/>
        </w:rPr>
      </w:pPr>
      <w:r w:rsidRPr="00555562">
        <w:rPr>
          <w:sz w:val="28"/>
          <w:szCs w:val="28"/>
        </w:rPr>
        <w:t>- содержание и текущий ремонт уличных тумб для размещения афиш и объявлений 15 единиц;</w:t>
      </w:r>
    </w:p>
    <w:p w:rsidR="00555562" w:rsidRPr="00555562" w:rsidRDefault="00555562" w:rsidP="00555562">
      <w:pPr>
        <w:spacing w:after="0"/>
        <w:ind w:right="-1" w:firstLine="709"/>
        <w:jc w:val="both"/>
        <w:rPr>
          <w:sz w:val="28"/>
          <w:szCs w:val="28"/>
        </w:rPr>
      </w:pPr>
      <w:r w:rsidRPr="00555562">
        <w:rPr>
          <w:sz w:val="28"/>
          <w:szCs w:val="28"/>
        </w:rPr>
        <w:t xml:space="preserve">- содержание и текущий ремонт </w:t>
      </w:r>
      <w:proofErr w:type="spellStart"/>
      <w:r w:rsidRPr="00555562">
        <w:rPr>
          <w:sz w:val="28"/>
          <w:szCs w:val="28"/>
        </w:rPr>
        <w:t>медиакомплексов</w:t>
      </w:r>
      <w:proofErr w:type="spellEnd"/>
      <w:r w:rsidRPr="00555562">
        <w:rPr>
          <w:sz w:val="28"/>
          <w:szCs w:val="28"/>
        </w:rPr>
        <w:t xml:space="preserve"> (светодиодных видеоэкранов) 5 единиц;</w:t>
      </w:r>
    </w:p>
    <w:p w:rsidR="00555562" w:rsidRPr="00555562" w:rsidRDefault="00555562" w:rsidP="00555562">
      <w:pPr>
        <w:spacing w:after="0"/>
        <w:ind w:right="-1" w:firstLine="709"/>
        <w:jc w:val="both"/>
        <w:rPr>
          <w:sz w:val="28"/>
          <w:szCs w:val="28"/>
        </w:rPr>
      </w:pPr>
      <w:r w:rsidRPr="00555562">
        <w:rPr>
          <w:sz w:val="28"/>
          <w:szCs w:val="28"/>
        </w:rPr>
        <w:t>- содержание и текущий ремонт остановочных комплексов (модулей ожидания) 7 единиц.</w:t>
      </w:r>
    </w:p>
    <w:p w:rsidR="00555562" w:rsidRPr="00555562" w:rsidRDefault="00555562" w:rsidP="00555562">
      <w:pPr>
        <w:spacing w:after="0"/>
        <w:ind w:firstLine="709"/>
        <w:jc w:val="both"/>
        <w:rPr>
          <w:sz w:val="28"/>
          <w:szCs w:val="24"/>
        </w:rPr>
      </w:pPr>
      <w:r w:rsidRPr="00555562">
        <w:rPr>
          <w:sz w:val="28"/>
          <w:szCs w:val="28"/>
        </w:rPr>
        <w:t xml:space="preserve">2.3. Обеспечение и организация работ (услуг) по улучшению и сохранению архитектурного облика административного </w:t>
      </w:r>
      <w:r w:rsidR="00E847AF">
        <w:rPr>
          <w:sz w:val="28"/>
          <w:szCs w:val="28"/>
        </w:rPr>
        <w:t>центра. План 4 847,3 тыс. рублей</w:t>
      </w:r>
      <w:r w:rsidRPr="00555562">
        <w:rPr>
          <w:sz w:val="28"/>
          <w:szCs w:val="28"/>
        </w:rPr>
        <w:t xml:space="preserve"> исполнен</w:t>
      </w:r>
      <w:r w:rsidR="00E847AF">
        <w:rPr>
          <w:sz w:val="28"/>
          <w:szCs w:val="28"/>
        </w:rPr>
        <w:t xml:space="preserve"> на</w:t>
      </w:r>
      <w:r w:rsidRPr="00555562">
        <w:rPr>
          <w:sz w:val="28"/>
          <w:szCs w:val="28"/>
        </w:rPr>
        <w:t xml:space="preserve"> 100%. </w:t>
      </w:r>
      <w:r w:rsidRPr="00555562">
        <w:rPr>
          <w:sz w:val="28"/>
          <w:szCs w:val="24"/>
        </w:rPr>
        <w:t>В рамках данного мероприятия выполнены и оплачены работы по монтажу трех остановочных комплексов по ул. Мира (район ЮНИИТ – 2 шт., и район ГИБДД – 1 шт.).</w:t>
      </w:r>
    </w:p>
    <w:p w:rsidR="00555562" w:rsidRPr="00555562" w:rsidRDefault="00555562" w:rsidP="00555562">
      <w:pPr>
        <w:spacing w:after="0"/>
        <w:ind w:right="-1" w:firstLine="567"/>
        <w:jc w:val="both"/>
        <w:rPr>
          <w:sz w:val="28"/>
          <w:szCs w:val="28"/>
        </w:rPr>
      </w:pPr>
      <w:r w:rsidRPr="00555562">
        <w:rPr>
          <w:sz w:val="28"/>
          <w:szCs w:val="28"/>
        </w:rPr>
        <w:t>2.4. Обеспечение и организация работ (услуг) по ремонту, благоустройству санитарному содержанию объектов социальной инфраструктуры, мест отдыха и массового пребывания гостей и жителей административного центра Ханты-Мансийского автономного округа – Югры. При плане 15 258,8 тыс. рублей исполнение составило 100%. Выполнен</w:t>
      </w:r>
      <w:r w:rsidR="00E847AF">
        <w:rPr>
          <w:sz w:val="28"/>
          <w:szCs w:val="28"/>
        </w:rPr>
        <w:t>ы</w:t>
      </w:r>
      <w:r w:rsidRPr="00555562">
        <w:rPr>
          <w:sz w:val="28"/>
          <w:szCs w:val="28"/>
        </w:rPr>
        <w:t>:</w:t>
      </w:r>
    </w:p>
    <w:p w:rsidR="00555562" w:rsidRPr="00555562" w:rsidRDefault="00555562" w:rsidP="00555562">
      <w:pPr>
        <w:spacing w:after="0"/>
        <w:ind w:right="-1" w:firstLine="567"/>
        <w:jc w:val="both"/>
        <w:rPr>
          <w:sz w:val="28"/>
          <w:szCs w:val="28"/>
        </w:rPr>
      </w:pPr>
      <w:r w:rsidRPr="00555562">
        <w:rPr>
          <w:sz w:val="28"/>
          <w:szCs w:val="28"/>
        </w:rPr>
        <w:t>- работы по содержанию объектов внешнего благоустройства города           Ханты-Мансийска в район</w:t>
      </w:r>
      <w:r w:rsidR="00E847AF">
        <w:rPr>
          <w:sz w:val="28"/>
          <w:szCs w:val="28"/>
        </w:rPr>
        <w:t>ах</w:t>
      </w:r>
      <w:r w:rsidRPr="00555562">
        <w:rPr>
          <w:sz w:val="28"/>
          <w:szCs w:val="28"/>
        </w:rPr>
        <w:t xml:space="preserve"> КТК «</w:t>
      </w:r>
      <w:proofErr w:type="spellStart"/>
      <w:r w:rsidRPr="00555562">
        <w:rPr>
          <w:sz w:val="28"/>
          <w:szCs w:val="28"/>
        </w:rPr>
        <w:t>Археопарк</w:t>
      </w:r>
      <w:proofErr w:type="spellEnd"/>
      <w:r w:rsidRPr="00555562">
        <w:rPr>
          <w:sz w:val="28"/>
          <w:szCs w:val="28"/>
        </w:rPr>
        <w:t xml:space="preserve">» и </w:t>
      </w:r>
      <w:proofErr w:type="spellStart"/>
      <w:r w:rsidRPr="00555562">
        <w:rPr>
          <w:sz w:val="28"/>
          <w:szCs w:val="28"/>
        </w:rPr>
        <w:t>Берегоукрепления</w:t>
      </w:r>
      <w:proofErr w:type="spellEnd"/>
      <w:r w:rsidRPr="00555562">
        <w:rPr>
          <w:sz w:val="28"/>
          <w:szCs w:val="28"/>
        </w:rPr>
        <w:t xml:space="preserve"> реки Иртыш;</w:t>
      </w:r>
    </w:p>
    <w:p w:rsidR="00555562" w:rsidRPr="00555562" w:rsidRDefault="00555562" w:rsidP="00555562">
      <w:pPr>
        <w:spacing w:after="0"/>
        <w:ind w:right="-1" w:firstLine="567"/>
        <w:jc w:val="both"/>
        <w:rPr>
          <w:sz w:val="28"/>
          <w:szCs w:val="28"/>
        </w:rPr>
      </w:pPr>
      <w:r w:rsidRPr="00555562">
        <w:rPr>
          <w:sz w:val="28"/>
          <w:szCs w:val="28"/>
        </w:rPr>
        <w:lastRenderedPageBreak/>
        <w:t xml:space="preserve">- работы по объекту: «Благоустройство </w:t>
      </w:r>
      <w:r w:rsidR="00E847AF">
        <w:rPr>
          <w:sz w:val="28"/>
          <w:szCs w:val="28"/>
        </w:rPr>
        <w:t>Н</w:t>
      </w:r>
      <w:r w:rsidRPr="00555562">
        <w:rPr>
          <w:sz w:val="28"/>
          <w:szCs w:val="28"/>
        </w:rPr>
        <w:t>абережной реки Иртыш. 2 этап». На территории, площадью 1 252 м2, осуществлены работы по устройству спортивной площадки с резиновым покрытием, устройству тротуаров, установке малых архитектурных форм, освещение территории.</w:t>
      </w:r>
    </w:p>
    <w:p w:rsidR="00555562" w:rsidRPr="00555562" w:rsidRDefault="00555562" w:rsidP="00555562">
      <w:pPr>
        <w:spacing w:after="0"/>
        <w:ind w:right="-1" w:firstLine="567"/>
        <w:jc w:val="both"/>
        <w:rPr>
          <w:sz w:val="28"/>
          <w:szCs w:val="28"/>
        </w:rPr>
      </w:pPr>
      <w:r w:rsidRPr="00555562">
        <w:rPr>
          <w:sz w:val="28"/>
          <w:szCs w:val="28"/>
        </w:rPr>
        <w:t xml:space="preserve">2.5. Обеспечение и организация работ (услуг) по содержанию, ремонту и благоустройству улиц, проездов, дорог, парковок, автостоянок, эстакад, тротуаров, </w:t>
      </w:r>
      <w:proofErr w:type="spellStart"/>
      <w:r w:rsidRPr="00555562">
        <w:rPr>
          <w:sz w:val="28"/>
          <w:szCs w:val="28"/>
        </w:rPr>
        <w:t>водопропусков</w:t>
      </w:r>
      <w:proofErr w:type="spellEnd"/>
      <w:r w:rsidRPr="00555562">
        <w:rPr>
          <w:sz w:val="28"/>
          <w:szCs w:val="28"/>
        </w:rPr>
        <w:t xml:space="preserve">, светофорных и иных объектов. При плане </w:t>
      </w:r>
      <w:r w:rsidR="00E847AF">
        <w:rPr>
          <w:sz w:val="28"/>
          <w:szCs w:val="28"/>
        </w:rPr>
        <w:t xml:space="preserve">              </w:t>
      </w:r>
      <w:r w:rsidRPr="00555562">
        <w:rPr>
          <w:sz w:val="28"/>
          <w:szCs w:val="28"/>
        </w:rPr>
        <w:t>262 430,0 тыс. рублей испо</w:t>
      </w:r>
      <w:r w:rsidR="00E847AF">
        <w:rPr>
          <w:sz w:val="28"/>
          <w:szCs w:val="28"/>
        </w:rPr>
        <w:t>лнение составило 100%. Выполнены</w:t>
      </w:r>
      <w:r w:rsidRPr="00555562">
        <w:rPr>
          <w:sz w:val="28"/>
          <w:szCs w:val="28"/>
        </w:rPr>
        <w:t>:</w:t>
      </w:r>
    </w:p>
    <w:p w:rsidR="00555562" w:rsidRPr="00555562" w:rsidRDefault="00555562" w:rsidP="00555562">
      <w:pPr>
        <w:spacing w:after="0"/>
        <w:ind w:right="-1" w:firstLine="567"/>
        <w:jc w:val="both"/>
        <w:rPr>
          <w:sz w:val="28"/>
          <w:szCs w:val="28"/>
        </w:rPr>
      </w:pPr>
      <w:r w:rsidRPr="00555562">
        <w:rPr>
          <w:sz w:val="28"/>
          <w:szCs w:val="28"/>
        </w:rPr>
        <w:t>- работы по содержанию проезжей части дорог 1 855,1 тыс.м</w:t>
      </w:r>
      <w:r w:rsidRPr="00555562">
        <w:rPr>
          <w:sz w:val="28"/>
          <w:szCs w:val="28"/>
          <w:vertAlign w:val="superscript"/>
        </w:rPr>
        <w:t>2</w:t>
      </w:r>
      <w:r w:rsidRPr="00555562">
        <w:rPr>
          <w:sz w:val="28"/>
          <w:szCs w:val="28"/>
        </w:rPr>
        <w:t xml:space="preserve">; </w:t>
      </w:r>
    </w:p>
    <w:p w:rsidR="00555562" w:rsidRDefault="00555562" w:rsidP="008C2E7A">
      <w:pPr>
        <w:spacing w:after="0"/>
        <w:ind w:right="-1" w:firstLine="567"/>
        <w:jc w:val="both"/>
        <w:rPr>
          <w:sz w:val="28"/>
          <w:szCs w:val="28"/>
        </w:rPr>
      </w:pPr>
      <w:r w:rsidRPr="00555562">
        <w:rPr>
          <w:sz w:val="28"/>
          <w:szCs w:val="28"/>
        </w:rPr>
        <w:t>- работы по содержанию подземных пешеходных переходов (перекресток ул. Чехова – ул. Дзержинского, перекресток ул. Чехова – ул. Гагарина, ул. Мира – ул. Энгельса, ул. Студенческая (район дома №1), ул. Мира (район дома №118), ул. Мира гостиничный комплекс «Русский двор», надземный пешеходный переход по ул. Объездная (район дома №12).</w:t>
      </w:r>
    </w:p>
    <w:p w:rsidR="008C2E7A" w:rsidRDefault="008C2E7A" w:rsidP="008C2E7A">
      <w:pPr>
        <w:spacing w:after="0"/>
        <w:ind w:right="-1" w:firstLine="567"/>
        <w:jc w:val="both"/>
        <w:rPr>
          <w:sz w:val="28"/>
          <w:szCs w:val="28"/>
        </w:rPr>
      </w:pPr>
      <w:bookmarkStart w:id="3" w:name="_GoBack"/>
      <w:bookmarkEnd w:id="3"/>
    </w:p>
    <w:sectPr w:rsidR="008C2E7A" w:rsidSect="00F638DE">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10" w:rsidRDefault="00BB3D10" w:rsidP="00FF5332">
      <w:pPr>
        <w:spacing w:after="0" w:line="240" w:lineRule="auto"/>
      </w:pPr>
      <w:r>
        <w:separator/>
      </w:r>
    </w:p>
  </w:endnote>
  <w:endnote w:type="continuationSeparator" w:id="0">
    <w:p w:rsidR="00BB3D10" w:rsidRDefault="00BB3D10"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10" w:rsidRDefault="00BB3D10" w:rsidP="00FF5332">
      <w:pPr>
        <w:spacing w:after="0" w:line="240" w:lineRule="auto"/>
      </w:pPr>
      <w:r>
        <w:separator/>
      </w:r>
    </w:p>
  </w:footnote>
  <w:footnote w:type="continuationSeparator" w:id="0">
    <w:p w:rsidR="00BB3D10" w:rsidRDefault="00BB3D10"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5"/>
  </w:num>
  <w:num w:numId="4">
    <w:abstractNumId w:val="27"/>
  </w:num>
  <w:num w:numId="5">
    <w:abstractNumId w:val="11"/>
  </w:num>
  <w:num w:numId="6">
    <w:abstractNumId w:val="3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3"/>
  </w:num>
  <w:num w:numId="11">
    <w:abstractNumId w:val="25"/>
  </w:num>
  <w:num w:numId="12">
    <w:abstractNumId w:val="8"/>
  </w:num>
  <w:num w:numId="13">
    <w:abstractNumId w:val="22"/>
  </w:num>
  <w:num w:numId="14">
    <w:abstractNumId w:val="26"/>
  </w:num>
  <w:num w:numId="15">
    <w:abstractNumId w:val="40"/>
  </w:num>
  <w:num w:numId="16">
    <w:abstractNumId w:val="10"/>
  </w:num>
  <w:num w:numId="17">
    <w:abstractNumId w:val="19"/>
  </w:num>
  <w:num w:numId="18">
    <w:abstractNumId w:val="38"/>
  </w:num>
  <w:num w:numId="19">
    <w:abstractNumId w:val="35"/>
  </w:num>
  <w:num w:numId="20">
    <w:abstractNumId w:val="28"/>
  </w:num>
  <w:num w:numId="21">
    <w:abstractNumId w:val="33"/>
  </w:num>
  <w:num w:numId="22">
    <w:abstractNumId w:val="9"/>
  </w:num>
  <w:num w:numId="23">
    <w:abstractNumId w:val="7"/>
  </w:num>
  <w:num w:numId="24">
    <w:abstractNumId w:val="36"/>
  </w:num>
  <w:num w:numId="25">
    <w:abstractNumId w:val="0"/>
  </w:num>
  <w:num w:numId="26">
    <w:abstractNumId w:val="1"/>
  </w:num>
  <w:num w:numId="27">
    <w:abstractNumId w:val="1"/>
    <w:lvlOverride w:ilvl="0">
      <w:startOverride w:val="1"/>
    </w:lvlOverride>
  </w:num>
  <w:num w:numId="28">
    <w:abstractNumId w:val="14"/>
  </w:num>
  <w:num w:numId="29">
    <w:abstractNumId w:val="23"/>
  </w:num>
  <w:num w:numId="30">
    <w:abstractNumId w:val="34"/>
  </w:num>
  <w:num w:numId="31">
    <w:abstractNumId w:val="16"/>
  </w:num>
  <w:num w:numId="32">
    <w:abstractNumId w:val="44"/>
  </w:num>
  <w:num w:numId="33">
    <w:abstractNumId w:val="20"/>
  </w:num>
  <w:num w:numId="34">
    <w:abstractNumId w:val="18"/>
  </w:num>
  <w:num w:numId="35">
    <w:abstractNumId w:val="24"/>
  </w:num>
  <w:num w:numId="36">
    <w:abstractNumId w:val="37"/>
  </w:num>
  <w:num w:numId="37">
    <w:abstractNumId w:val="39"/>
  </w:num>
  <w:num w:numId="38">
    <w:abstractNumId w:val="41"/>
  </w:num>
  <w:num w:numId="39">
    <w:abstractNumId w:val="12"/>
  </w:num>
  <w:num w:numId="40">
    <w:abstractNumId w:val="17"/>
  </w:num>
  <w:num w:numId="41">
    <w:abstractNumId w:val="43"/>
  </w:num>
  <w:num w:numId="42">
    <w:abstractNumId w:val="13"/>
  </w:num>
  <w:num w:numId="43">
    <w:abstractNumId w:val="21"/>
  </w:num>
  <w:num w:numId="44">
    <w:abstractNumId w:val="29"/>
  </w:num>
  <w:num w:numId="45">
    <w:abstractNumId w:val="31"/>
  </w:num>
  <w:num w:numId="4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2AD"/>
    <w:rsid w:val="00000690"/>
    <w:rsid w:val="000027A9"/>
    <w:rsid w:val="0000305E"/>
    <w:rsid w:val="00003AF7"/>
    <w:rsid w:val="00004A0D"/>
    <w:rsid w:val="00005B0B"/>
    <w:rsid w:val="00007597"/>
    <w:rsid w:val="00007838"/>
    <w:rsid w:val="000114FD"/>
    <w:rsid w:val="000120B3"/>
    <w:rsid w:val="00013A6F"/>
    <w:rsid w:val="00015711"/>
    <w:rsid w:val="00016A75"/>
    <w:rsid w:val="00017FD2"/>
    <w:rsid w:val="00020360"/>
    <w:rsid w:val="00022414"/>
    <w:rsid w:val="0002293D"/>
    <w:rsid w:val="00022BB0"/>
    <w:rsid w:val="00023182"/>
    <w:rsid w:val="000239B0"/>
    <w:rsid w:val="00023C06"/>
    <w:rsid w:val="000249FD"/>
    <w:rsid w:val="00030B7B"/>
    <w:rsid w:val="00031E1E"/>
    <w:rsid w:val="00032232"/>
    <w:rsid w:val="00033EEB"/>
    <w:rsid w:val="000346CF"/>
    <w:rsid w:val="0003627A"/>
    <w:rsid w:val="00036EFD"/>
    <w:rsid w:val="00037551"/>
    <w:rsid w:val="00037FD4"/>
    <w:rsid w:val="000400DA"/>
    <w:rsid w:val="00040656"/>
    <w:rsid w:val="00040EAD"/>
    <w:rsid w:val="000412B3"/>
    <w:rsid w:val="0004168A"/>
    <w:rsid w:val="00041B18"/>
    <w:rsid w:val="000439D1"/>
    <w:rsid w:val="00043D7D"/>
    <w:rsid w:val="00043E35"/>
    <w:rsid w:val="00051491"/>
    <w:rsid w:val="00051E8E"/>
    <w:rsid w:val="00053363"/>
    <w:rsid w:val="0005796D"/>
    <w:rsid w:val="00061A5B"/>
    <w:rsid w:val="00062DF0"/>
    <w:rsid w:val="00063175"/>
    <w:rsid w:val="00063B09"/>
    <w:rsid w:val="00064D26"/>
    <w:rsid w:val="00065CD6"/>
    <w:rsid w:val="00066464"/>
    <w:rsid w:val="00067393"/>
    <w:rsid w:val="00070A50"/>
    <w:rsid w:val="00072490"/>
    <w:rsid w:val="000724F9"/>
    <w:rsid w:val="0007503D"/>
    <w:rsid w:val="00075990"/>
    <w:rsid w:val="00075EDE"/>
    <w:rsid w:val="0008090E"/>
    <w:rsid w:val="00081652"/>
    <w:rsid w:val="000816A3"/>
    <w:rsid w:val="0008178E"/>
    <w:rsid w:val="0008276B"/>
    <w:rsid w:val="000829D9"/>
    <w:rsid w:val="00083916"/>
    <w:rsid w:val="00084644"/>
    <w:rsid w:val="00084D98"/>
    <w:rsid w:val="00090006"/>
    <w:rsid w:val="00090413"/>
    <w:rsid w:val="0009141D"/>
    <w:rsid w:val="00092BF3"/>
    <w:rsid w:val="00093133"/>
    <w:rsid w:val="00094974"/>
    <w:rsid w:val="00094A25"/>
    <w:rsid w:val="00095213"/>
    <w:rsid w:val="00095ACA"/>
    <w:rsid w:val="000965D3"/>
    <w:rsid w:val="0009715C"/>
    <w:rsid w:val="00097714"/>
    <w:rsid w:val="000A03B2"/>
    <w:rsid w:val="000A3532"/>
    <w:rsid w:val="000A3B6C"/>
    <w:rsid w:val="000A4F5C"/>
    <w:rsid w:val="000A566D"/>
    <w:rsid w:val="000A6854"/>
    <w:rsid w:val="000A6FD6"/>
    <w:rsid w:val="000A7281"/>
    <w:rsid w:val="000B25B0"/>
    <w:rsid w:val="000B41CD"/>
    <w:rsid w:val="000B5D9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2E12"/>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06CA"/>
    <w:rsid w:val="00141D48"/>
    <w:rsid w:val="0014218B"/>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292D"/>
    <w:rsid w:val="00163661"/>
    <w:rsid w:val="00163B2F"/>
    <w:rsid w:val="0016445D"/>
    <w:rsid w:val="001661BD"/>
    <w:rsid w:val="00166736"/>
    <w:rsid w:val="001712F2"/>
    <w:rsid w:val="00172E9B"/>
    <w:rsid w:val="001734E4"/>
    <w:rsid w:val="00173814"/>
    <w:rsid w:val="00174537"/>
    <w:rsid w:val="00174FB6"/>
    <w:rsid w:val="00180239"/>
    <w:rsid w:val="00182627"/>
    <w:rsid w:val="00182B12"/>
    <w:rsid w:val="001835FE"/>
    <w:rsid w:val="00185CE6"/>
    <w:rsid w:val="00187034"/>
    <w:rsid w:val="00187662"/>
    <w:rsid w:val="00187D7A"/>
    <w:rsid w:val="001907CA"/>
    <w:rsid w:val="00195A87"/>
    <w:rsid w:val="00195C1B"/>
    <w:rsid w:val="00197160"/>
    <w:rsid w:val="001972BF"/>
    <w:rsid w:val="00197B41"/>
    <w:rsid w:val="001A1BC8"/>
    <w:rsid w:val="001B00BA"/>
    <w:rsid w:val="001B02DA"/>
    <w:rsid w:val="001B0B9F"/>
    <w:rsid w:val="001B3669"/>
    <w:rsid w:val="001C2E86"/>
    <w:rsid w:val="001C3DB0"/>
    <w:rsid w:val="001C5167"/>
    <w:rsid w:val="001C56A5"/>
    <w:rsid w:val="001C6E95"/>
    <w:rsid w:val="001C6FD1"/>
    <w:rsid w:val="001D0D60"/>
    <w:rsid w:val="001D1196"/>
    <w:rsid w:val="001D2E29"/>
    <w:rsid w:val="001D2F92"/>
    <w:rsid w:val="001D3B95"/>
    <w:rsid w:val="001D5E9E"/>
    <w:rsid w:val="001D6949"/>
    <w:rsid w:val="001E0131"/>
    <w:rsid w:val="001E3BFD"/>
    <w:rsid w:val="001E4100"/>
    <w:rsid w:val="001E5837"/>
    <w:rsid w:val="001E645C"/>
    <w:rsid w:val="001E66EB"/>
    <w:rsid w:val="001F0538"/>
    <w:rsid w:val="001F16E0"/>
    <w:rsid w:val="001F357B"/>
    <w:rsid w:val="001F406D"/>
    <w:rsid w:val="001F60F5"/>
    <w:rsid w:val="001F774F"/>
    <w:rsid w:val="00200101"/>
    <w:rsid w:val="00202218"/>
    <w:rsid w:val="00205873"/>
    <w:rsid w:val="00206245"/>
    <w:rsid w:val="0020670E"/>
    <w:rsid w:val="002072EE"/>
    <w:rsid w:val="0021177E"/>
    <w:rsid w:val="00215838"/>
    <w:rsid w:val="0021633F"/>
    <w:rsid w:val="00220890"/>
    <w:rsid w:val="00222136"/>
    <w:rsid w:val="002224E4"/>
    <w:rsid w:val="00223600"/>
    <w:rsid w:val="00223C8C"/>
    <w:rsid w:val="00225E29"/>
    <w:rsid w:val="00225E49"/>
    <w:rsid w:val="00226935"/>
    <w:rsid w:val="00226EB6"/>
    <w:rsid w:val="00227331"/>
    <w:rsid w:val="002278AD"/>
    <w:rsid w:val="0023071A"/>
    <w:rsid w:val="00230D09"/>
    <w:rsid w:val="00233FF4"/>
    <w:rsid w:val="00235B66"/>
    <w:rsid w:val="00236506"/>
    <w:rsid w:val="00236E3F"/>
    <w:rsid w:val="00237957"/>
    <w:rsid w:val="002379F1"/>
    <w:rsid w:val="0024166C"/>
    <w:rsid w:val="00242075"/>
    <w:rsid w:val="002435F8"/>
    <w:rsid w:val="002449F3"/>
    <w:rsid w:val="00244B6E"/>
    <w:rsid w:val="0025435E"/>
    <w:rsid w:val="00255852"/>
    <w:rsid w:val="0025615A"/>
    <w:rsid w:val="00257942"/>
    <w:rsid w:val="002579EE"/>
    <w:rsid w:val="00261227"/>
    <w:rsid w:val="00262250"/>
    <w:rsid w:val="0026386F"/>
    <w:rsid w:val="00264FBA"/>
    <w:rsid w:val="00266323"/>
    <w:rsid w:val="002666A5"/>
    <w:rsid w:val="00266EBE"/>
    <w:rsid w:val="00267674"/>
    <w:rsid w:val="0027025F"/>
    <w:rsid w:val="002703C5"/>
    <w:rsid w:val="002720EE"/>
    <w:rsid w:val="00273B95"/>
    <w:rsid w:val="0027788C"/>
    <w:rsid w:val="0027795F"/>
    <w:rsid w:val="00277A45"/>
    <w:rsid w:val="002801E6"/>
    <w:rsid w:val="00281D80"/>
    <w:rsid w:val="00283069"/>
    <w:rsid w:val="00284705"/>
    <w:rsid w:val="00285D0E"/>
    <w:rsid w:val="00286C4E"/>
    <w:rsid w:val="00286FF9"/>
    <w:rsid w:val="0029033E"/>
    <w:rsid w:val="002905F7"/>
    <w:rsid w:val="002921A0"/>
    <w:rsid w:val="00292242"/>
    <w:rsid w:val="00294412"/>
    <w:rsid w:val="00294F38"/>
    <w:rsid w:val="0029552E"/>
    <w:rsid w:val="002956C5"/>
    <w:rsid w:val="0029648A"/>
    <w:rsid w:val="00296D8C"/>
    <w:rsid w:val="002972C1"/>
    <w:rsid w:val="002973A5"/>
    <w:rsid w:val="002977E9"/>
    <w:rsid w:val="002A09FA"/>
    <w:rsid w:val="002A172E"/>
    <w:rsid w:val="002A17C0"/>
    <w:rsid w:val="002A1856"/>
    <w:rsid w:val="002A39EF"/>
    <w:rsid w:val="002A435A"/>
    <w:rsid w:val="002A58A7"/>
    <w:rsid w:val="002A6C06"/>
    <w:rsid w:val="002B3698"/>
    <w:rsid w:val="002B4494"/>
    <w:rsid w:val="002B64C1"/>
    <w:rsid w:val="002C15FB"/>
    <w:rsid w:val="002C2173"/>
    <w:rsid w:val="002C220B"/>
    <w:rsid w:val="002C229C"/>
    <w:rsid w:val="002C273D"/>
    <w:rsid w:val="002C2A45"/>
    <w:rsid w:val="002C2B75"/>
    <w:rsid w:val="002C3530"/>
    <w:rsid w:val="002C36B0"/>
    <w:rsid w:val="002C6073"/>
    <w:rsid w:val="002C7A4E"/>
    <w:rsid w:val="002D5DF0"/>
    <w:rsid w:val="002E1063"/>
    <w:rsid w:val="002E1816"/>
    <w:rsid w:val="002E2E6B"/>
    <w:rsid w:val="002E4EEC"/>
    <w:rsid w:val="002E72A1"/>
    <w:rsid w:val="002F01CA"/>
    <w:rsid w:val="002F1B09"/>
    <w:rsid w:val="002F1DB0"/>
    <w:rsid w:val="002F2397"/>
    <w:rsid w:val="002F2A4D"/>
    <w:rsid w:val="002F5301"/>
    <w:rsid w:val="003005CB"/>
    <w:rsid w:val="00300A1A"/>
    <w:rsid w:val="00300BCF"/>
    <w:rsid w:val="0030104A"/>
    <w:rsid w:val="0030352B"/>
    <w:rsid w:val="00303878"/>
    <w:rsid w:val="00303999"/>
    <w:rsid w:val="00303B3A"/>
    <w:rsid w:val="0030462F"/>
    <w:rsid w:val="003046C9"/>
    <w:rsid w:val="003073A5"/>
    <w:rsid w:val="003103E4"/>
    <w:rsid w:val="003104BA"/>
    <w:rsid w:val="00310A50"/>
    <w:rsid w:val="00311840"/>
    <w:rsid w:val="00315D0E"/>
    <w:rsid w:val="003201C8"/>
    <w:rsid w:val="00320D06"/>
    <w:rsid w:val="00322319"/>
    <w:rsid w:val="00323062"/>
    <w:rsid w:val="00323F2F"/>
    <w:rsid w:val="00324227"/>
    <w:rsid w:val="00324654"/>
    <w:rsid w:val="00325B5D"/>
    <w:rsid w:val="003262AB"/>
    <w:rsid w:val="003278CE"/>
    <w:rsid w:val="003326FB"/>
    <w:rsid w:val="0033379E"/>
    <w:rsid w:val="003341D5"/>
    <w:rsid w:val="00334C36"/>
    <w:rsid w:val="00334CEE"/>
    <w:rsid w:val="00336B11"/>
    <w:rsid w:val="00336CF0"/>
    <w:rsid w:val="0033767F"/>
    <w:rsid w:val="00340E6E"/>
    <w:rsid w:val="00341809"/>
    <w:rsid w:val="00341AC1"/>
    <w:rsid w:val="003425F9"/>
    <w:rsid w:val="00342691"/>
    <w:rsid w:val="00342A40"/>
    <w:rsid w:val="0034341A"/>
    <w:rsid w:val="00343723"/>
    <w:rsid w:val="00343C3D"/>
    <w:rsid w:val="00345669"/>
    <w:rsid w:val="00350BB4"/>
    <w:rsid w:val="00352684"/>
    <w:rsid w:val="00354018"/>
    <w:rsid w:val="00355968"/>
    <w:rsid w:val="003600F5"/>
    <w:rsid w:val="003606F6"/>
    <w:rsid w:val="00360980"/>
    <w:rsid w:val="00360CF8"/>
    <w:rsid w:val="00360DAE"/>
    <w:rsid w:val="00364A7C"/>
    <w:rsid w:val="003652ED"/>
    <w:rsid w:val="003656AF"/>
    <w:rsid w:val="00367BF8"/>
    <w:rsid w:val="00367DFB"/>
    <w:rsid w:val="00370791"/>
    <w:rsid w:val="00370F36"/>
    <w:rsid w:val="0037155E"/>
    <w:rsid w:val="00371B75"/>
    <w:rsid w:val="00371F31"/>
    <w:rsid w:val="0037207E"/>
    <w:rsid w:val="00372BC6"/>
    <w:rsid w:val="003757D6"/>
    <w:rsid w:val="00376DB9"/>
    <w:rsid w:val="00377E62"/>
    <w:rsid w:val="003804FB"/>
    <w:rsid w:val="003826F7"/>
    <w:rsid w:val="00383CD7"/>
    <w:rsid w:val="00384035"/>
    <w:rsid w:val="003844EE"/>
    <w:rsid w:val="0038461D"/>
    <w:rsid w:val="00384FF7"/>
    <w:rsid w:val="00385959"/>
    <w:rsid w:val="00386521"/>
    <w:rsid w:val="0038724E"/>
    <w:rsid w:val="00390BBF"/>
    <w:rsid w:val="003922C5"/>
    <w:rsid w:val="003963DB"/>
    <w:rsid w:val="00396DA9"/>
    <w:rsid w:val="003A2A6D"/>
    <w:rsid w:val="003A44E8"/>
    <w:rsid w:val="003A4F57"/>
    <w:rsid w:val="003A550C"/>
    <w:rsid w:val="003A5748"/>
    <w:rsid w:val="003A5C93"/>
    <w:rsid w:val="003A7566"/>
    <w:rsid w:val="003A7E12"/>
    <w:rsid w:val="003B104F"/>
    <w:rsid w:val="003B234D"/>
    <w:rsid w:val="003B571E"/>
    <w:rsid w:val="003B6AEF"/>
    <w:rsid w:val="003B7D1E"/>
    <w:rsid w:val="003C0808"/>
    <w:rsid w:val="003C1982"/>
    <w:rsid w:val="003C3A1F"/>
    <w:rsid w:val="003C516E"/>
    <w:rsid w:val="003C71B3"/>
    <w:rsid w:val="003C7E50"/>
    <w:rsid w:val="003C7E78"/>
    <w:rsid w:val="003D0CB2"/>
    <w:rsid w:val="003D1265"/>
    <w:rsid w:val="003D5035"/>
    <w:rsid w:val="003D51B2"/>
    <w:rsid w:val="003D5646"/>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638"/>
    <w:rsid w:val="00412838"/>
    <w:rsid w:val="00414AC3"/>
    <w:rsid w:val="004211F6"/>
    <w:rsid w:val="00423016"/>
    <w:rsid w:val="00423D9C"/>
    <w:rsid w:val="00424E7A"/>
    <w:rsid w:val="00432C80"/>
    <w:rsid w:val="004338D6"/>
    <w:rsid w:val="00434995"/>
    <w:rsid w:val="00435896"/>
    <w:rsid w:val="00435A7C"/>
    <w:rsid w:val="00436AF6"/>
    <w:rsid w:val="0043790B"/>
    <w:rsid w:val="00437CD6"/>
    <w:rsid w:val="00440672"/>
    <w:rsid w:val="004410C3"/>
    <w:rsid w:val="00441679"/>
    <w:rsid w:val="004421DE"/>
    <w:rsid w:val="004452CF"/>
    <w:rsid w:val="00447048"/>
    <w:rsid w:val="00447A8F"/>
    <w:rsid w:val="00447CC9"/>
    <w:rsid w:val="00450178"/>
    <w:rsid w:val="0045077D"/>
    <w:rsid w:val="00451344"/>
    <w:rsid w:val="004519C2"/>
    <w:rsid w:val="00453132"/>
    <w:rsid w:val="00455638"/>
    <w:rsid w:val="004556C1"/>
    <w:rsid w:val="004558A8"/>
    <w:rsid w:val="004571F8"/>
    <w:rsid w:val="00460569"/>
    <w:rsid w:val="00461750"/>
    <w:rsid w:val="00462AC9"/>
    <w:rsid w:val="00463369"/>
    <w:rsid w:val="004643CE"/>
    <w:rsid w:val="0046455F"/>
    <w:rsid w:val="00465033"/>
    <w:rsid w:val="004659BD"/>
    <w:rsid w:val="00470B8F"/>
    <w:rsid w:val="00472026"/>
    <w:rsid w:val="00472AB1"/>
    <w:rsid w:val="00472AC4"/>
    <w:rsid w:val="004737D0"/>
    <w:rsid w:val="00476935"/>
    <w:rsid w:val="00477990"/>
    <w:rsid w:val="00480437"/>
    <w:rsid w:val="004808B9"/>
    <w:rsid w:val="00480DBD"/>
    <w:rsid w:val="00483BC5"/>
    <w:rsid w:val="004860E9"/>
    <w:rsid w:val="004861D7"/>
    <w:rsid w:val="00487123"/>
    <w:rsid w:val="00492E8D"/>
    <w:rsid w:val="00494C67"/>
    <w:rsid w:val="00494CE7"/>
    <w:rsid w:val="004A0DD1"/>
    <w:rsid w:val="004A1402"/>
    <w:rsid w:val="004A1C00"/>
    <w:rsid w:val="004A3BD4"/>
    <w:rsid w:val="004A5B8F"/>
    <w:rsid w:val="004A5B9E"/>
    <w:rsid w:val="004A6D8C"/>
    <w:rsid w:val="004A6F2E"/>
    <w:rsid w:val="004A7F28"/>
    <w:rsid w:val="004B1A13"/>
    <w:rsid w:val="004B26EA"/>
    <w:rsid w:val="004B5FD9"/>
    <w:rsid w:val="004B608E"/>
    <w:rsid w:val="004B762F"/>
    <w:rsid w:val="004C35FB"/>
    <w:rsid w:val="004C45B8"/>
    <w:rsid w:val="004C4DA6"/>
    <w:rsid w:val="004C4FEF"/>
    <w:rsid w:val="004C5157"/>
    <w:rsid w:val="004C5758"/>
    <w:rsid w:val="004C6BA5"/>
    <w:rsid w:val="004C6F0E"/>
    <w:rsid w:val="004C75BE"/>
    <w:rsid w:val="004C7EB5"/>
    <w:rsid w:val="004D0BFE"/>
    <w:rsid w:val="004D0C73"/>
    <w:rsid w:val="004D1394"/>
    <w:rsid w:val="004D246F"/>
    <w:rsid w:val="004D3E22"/>
    <w:rsid w:val="004D4C17"/>
    <w:rsid w:val="004E1095"/>
    <w:rsid w:val="004E36AE"/>
    <w:rsid w:val="004E62E3"/>
    <w:rsid w:val="004E67CC"/>
    <w:rsid w:val="004E69E1"/>
    <w:rsid w:val="004F01BC"/>
    <w:rsid w:val="004F0548"/>
    <w:rsid w:val="004F36BC"/>
    <w:rsid w:val="004F4C3A"/>
    <w:rsid w:val="004F54C1"/>
    <w:rsid w:val="004F667C"/>
    <w:rsid w:val="004F6A1D"/>
    <w:rsid w:val="004F72CC"/>
    <w:rsid w:val="0050106F"/>
    <w:rsid w:val="005013F6"/>
    <w:rsid w:val="00502B69"/>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0F68"/>
    <w:rsid w:val="00531058"/>
    <w:rsid w:val="00531E1A"/>
    <w:rsid w:val="005339FF"/>
    <w:rsid w:val="00535555"/>
    <w:rsid w:val="00535BC4"/>
    <w:rsid w:val="005364F9"/>
    <w:rsid w:val="00537BB7"/>
    <w:rsid w:val="00541CF8"/>
    <w:rsid w:val="00541E5D"/>
    <w:rsid w:val="005421BE"/>
    <w:rsid w:val="005431CD"/>
    <w:rsid w:val="00545370"/>
    <w:rsid w:val="005455AA"/>
    <w:rsid w:val="005458F7"/>
    <w:rsid w:val="00551E5C"/>
    <w:rsid w:val="00555562"/>
    <w:rsid w:val="00555807"/>
    <w:rsid w:val="00555BA6"/>
    <w:rsid w:val="00555C26"/>
    <w:rsid w:val="005561C7"/>
    <w:rsid w:val="0055657B"/>
    <w:rsid w:val="00561758"/>
    <w:rsid w:val="00562959"/>
    <w:rsid w:val="00563558"/>
    <w:rsid w:val="00564E80"/>
    <w:rsid w:val="00565FD2"/>
    <w:rsid w:val="00566D35"/>
    <w:rsid w:val="00570546"/>
    <w:rsid w:val="00571289"/>
    <w:rsid w:val="0057129E"/>
    <w:rsid w:val="00571523"/>
    <w:rsid w:val="005729F6"/>
    <w:rsid w:val="00572ABB"/>
    <w:rsid w:val="00572E84"/>
    <w:rsid w:val="00574D7C"/>
    <w:rsid w:val="00576316"/>
    <w:rsid w:val="00576954"/>
    <w:rsid w:val="005774C3"/>
    <w:rsid w:val="00580F3A"/>
    <w:rsid w:val="00584A21"/>
    <w:rsid w:val="00584C55"/>
    <w:rsid w:val="00585A86"/>
    <w:rsid w:val="00586229"/>
    <w:rsid w:val="00587ECE"/>
    <w:rsid w:val="00590484"/>
    <w:rsid w:val="00592FD6"/>
    <w:rsid w:val="00593A6D"/>
    <w:rsid w:val="005940C4"/>
    <w:rsid w:val="00594574"/>
    <w:rsid w:val="00594B32"/>
    <w:rsid w:val="00595415"/>
    <w:rsid w:val="00595AF1"/>
    <w:rsid w:val="00597B37"/>
    <w:rsid w:val="005A1A7D"/>
    <w:rsid w:val="005A1F36"/>
    <w:rsid w:val="005A2803"/>
    <w:rsid w:val="005A3489"/>
    <w:rsid w:val="005A75F7"/>
    <w:rsid w:val="005B170A"/>
    <w:rsid w:val="005B1DAA"/>
    <w:rsid w:val="005B2943"/>
    <w:rsid w:val="005B5C02"/>
    <w:rsid w:val="005B64F3"/>
    <w:rsid w:val="005B7028"/>
    <w:rsid w:val="005C0EC0"/>
    <w:rsid w:val="005C4E97"/>
    <w:rsid w:val="005C582E"/>
    <w:rsid w:val="005C697E"/>
    <w:rsid w:val="005C71FA"/>
    <w:rsid w:val="005D1CA9"/>
    <w:rsid w:val="005D310F"/>
    <w:rsid w:val="005D35D4"/>
    <w:rsid w:val="005D51AB"/>
    <w:rsid w:val="005D636D"/>
    <w:rsid w:val="005D6C4A"/>
    <w:rsid w:val="005D72F7"/>
    <w:rsid w:val="005D7434"/>
    <w:rsid w:val="005D7B24"/>
    <w:rsid w:val="005E067A"/>
    <w:rsid w:val="005E2A73"/>
    <w:rsid w:val="005E33E5"/>
    <w:rsid w:val="005E583E"/>
    <w:rsid w:val="005E6B92"/>
    <w:rsid w:val="005E72F3"/>
    <w:rsid w:val="005E79F9"/>
    <w:rsid w:val="005F0D0B"/>
    <w:rsid w:val="005F138C"/>
    <w:rsid w:val="005F1ED1"/>
    <w:rsid w:val="005F202D"/>
    <w:rsid w:val="005F2B54"/>
    <w:rsid w:val="005F397F"/>
    <w:rsid w:val="005F4886"/>
    <w:rsid w:val="005F55FF"/>
    <w:rsid w:val="005F6C33"/>
    <w:rsid w:val="005F781C"/>
    <w:rsid w:val="006008D4"/>
    <w:rsid w:val="00600EFC"/>
    <w:rsid w:val="00600FD8"/>
    <w:rsid w:val="00603875"/>
    <w:rsid w:val="00605165"/>
    <w:rsid w:val="006069AF"/>
    <w:rsid w:val="00606A30"/>
    <w:rsid w:val="00611937"/>
    <w:rsid w:val="00612521"/>
    <w:rsid w:val="00612599"/>
    <w:rsid w:val="00613BF1"/>
    <w:rsid w:val="0061449E"/>
    <w:rsid w:val="0061705C"/>
    <w:rsid w:val="00617479"/>
    <w:rsid w:val="0061749C"/>
    <w:rsid w:val="00617A68"/>
    <w:rsid w:val="00620809"/>
    <w:rsid w:val="0062139B"/>
    <w:rsid w:val="006216A3"/>
    <w:rsid w:val="00623F18"/>
    <w:rsid w:val="006249F6"/>
    <w:rsid w:val="006250CA"/>
    <w:rsid w:val="00625CE6"/>
    <w:rsid w:val="00626821"/>
    <w:rsid w:val="006307CE"/>
    <w:rsid w:val="006307FD"/>
    <w:rsid w:val="00630F61"/>
    <w:rsid w:val="006323E7"/>
    <w:rsid w:val="00634A1A"/>
    <w:rsid w:val="0063792F"/>
    <w:rsid w:val="00637C0D"/>
    <w:rsid w:val="006411B2"/>
    <w:rsid w:val="00641A0F"/>
    <w:rsid w:val="00641B1F"/>
    <w:rsid w:val="00641E33"/>
    <w:rsid w:val="00644E64"/>
    <w:rsid w:val="00647776"/>
    <w:rsid w:val="0065187C"/>
    <w:rsid w:val="00654673"/>
    <w:rsid w:val="00655ED7"/>
    <w:rsid w:val="00661A8D"/>
    <w:rsid w:val="006633D2"/>
    <w:rsid w:val="00664901"/>
    <w:rsid w:val="00664AC2"/>
    <w:rsid w:val="00664E19"/>
    <w:rsid w:val="00665385"/>
    <w:rsid w:val="00665BF4"/>
    <w:rsid w:val="00665F22"/>
    <w:rsid w:val="006671CF"/>
    <w:rsid w:val="00672442"/>
    <w:rsid w:val="006730F9"/>
    <w:rsid w:val="00674353"/>
    <w:rsid w:val="00674E4E"/>
    <w:rsid w:val="006754E4"/>
    <w:rsid w:val="006759EF"/>
    <w:rsid w:val="0067672E"/>
    <w:rsid w:val="006808A5"/>
    <w:rsid w:val="00682EB8"/>
    <w:rsid w:val="00683C24"/>
    <w:rsid w:val="00683E34"/>
    <w:rsid w:val="00683E85"/>
    <w:rsid w:val="0068576C"/>
    <w:rsid w:val="0068601C"/>
    <w:rsid w:val="006861F3"/>
    <w:rsid w:val="00686A07"/>
    <w:rsid w:val="006878B8"/>
    <w:rsid w:val="00687A6B"/>
    <w:rsid w:val="00690EB0"/>
    <w:rsid w:val="00692BB3"/>
    <w:rsid w:val="00693FEB"/>
    <w:rsid w:val="00695292"/>
    <w:rsid w:val="00695590"/>
    <w:rsid w:val="00696872"/>
    <w:rsid w:val="0069693B"/>
    <w:rsid w:val="006A0963"/>
    <w:rsid w:val="006A0E2F"/>
    <w:rsid w:val="006A1CBC"/>
    <w:rsid w:val="006A3486"/>
    <w:rsid w:val="006A40C3"/>
    <w:rsid w:val="006A7C7D"/>
    <w:rsid w:val="006B0C08"/>
    <w:rsid w:val="006B35AE"/>
    <w:rsid w:val="006B5740"/>
    <w:rsid w:val="006B5B5F"/>
    <w:rsid w:val="006B796B"/>
    <w:rsid w:val="006B7E0B"/>
    <w:rsid w:val="006C0AC1"/>
    <w:rsid w:val="006C1586"/>
    <w:rsid w:val="006C207F"/>
    <w:rsid w:val="006C2386"/>
    <w:rsid w:val="006C2FDF"/>
    <w:rsid w:val="006C3E17"/>
    <w:rsid w:val="006C4AF0"/>
    <w:rsid w:val="006C5D55"/>
    <w:rsid w:val="006D07E6"/>
    <w:rsid w:val="006D0DF4"/>
    <w:rsid w:val="006D2391"/>
    <w:rsid w:val="006D2E4F"/>
    <w:rsid w:val="006D594F"/>
    <w:rsid w:val="006D59AD"/>
    <w:rsid w:val="006D67CF"/>
    <w:rsid w:val="006D734B"/>
    <w:rsid w:val="006D7C39"/>
    <w:rsid w:val="006E055D"/>
    <w:rsid w:val="006E09F7"/>
    <w:rsid w:val="006E0F65"/>
    <w:rsid w:val="006E10AA"/>
    <w:rsid w:val="006E38CE"/>
    <w:rsid w:val="006E38F8"/>
    <w:rsid w:val="006E463A"/>
    <w:rsid w:val="006E4E4A"/>
    <w:rsid w:val="006E6789"/>
    <w:rsid w:val="006F0B19"/>
    <w:rsid w:val="006F2450"/>
    <w:rsid w:val="006F3A9D"/>
    <w:rsid w:val="006F4183"/>
    <w:rsid w:val="006F47EC"/>
    <w:rsid w:val="006F4984"/>
    <w:rsid w:val="006F6FE7"/>
    <w:rsid w:val="006F74A2"/>
    <w:rsid w:val="006F7BE4"/>
    <w:rsid w:val="006F7F3B"/>
    <w:rsid w:val="00700B72"/>
    <w:rsid w:val="0070160F"/>
    <w:rsid w:val="00702A0C"/>
    <w:rsid w:val="00702F22"/>
    <w:rsid w:val="007032B9"/>
    <w:rsid w:val="00704201"/>
    <w:rsid w:val="0070527B"/>
    <w:rsid w:val="00705CF1"/>
    <w:rsid w:val="007102E7"/>
    <w:rsid w:val="0071070F"/>
    <w:rsid w:val="007126BD"/>
    <w:rsid w:val="00712A1E"/>
    <w:rsid w:val="00713123"/>
    <w:rsid w:val="007138C9"/>
    <w:rsid w:val="0071432D"/>
    <w:rsid w:val="0071484C"/>
    <w:rsid w:val="0071600B"/>
    <w:rsid w:val="00716431"/>
    <w:rsid w:val="00720E8E"/>
    <w:rsid w:val="00722469"/>
    <w:rsid w:val="00722BB6"/>
    <w:rsid w:val="00722EF9"/>
    <w:rsid w:val="007243B8"/>
    <w:rsid w:val="00724698"/>
    <w:rsid w:val="007311BA"/>
    <w:rsid w:val="0073194A"/>
    <w:rsid w:val="0073602C"/>
    <w:rsid w:val="00740D91"/>
    <w:rsid w:val="0075386F"/>
    <w:rsid w:val="00756177"/>
    <w:rsid w:val="00760197"/>
    <w:rsid w:val="007602FB"/>
    <w:rsid w:val="00760C31"/>
    <w:rsid w:val="00762394"/>
    <w:rsid w:val="00762874"/>
    <w:rsid w:val="007647F8"/>
    <w:rsid w:val="00767D37"/>
    <w:rsid w:val="00774F3B"/>
    <w:rsid w:val="0078094F"/>
    <w:rsid w:val="00781D47"/>
    <w:rsid w:val="00781EAF"/>
    <w:rsid w:val="007833EE"/>
    <w:rsid w:val="00783E05"/>
    <w:rsid w:val="00784A7F"/>
    <w:rsid w:val="007868A2"/>
    <w:rsid w:val="00786A82"/>
    <w:rsid w:val="00787219"/>
    <w:rsid w:val="0079079A"/>
    <w:rsid w:val="00793EA1"/>
    <w:rsid w:val="00793FC8"/>
    <w:rsid w:val="00796002"/>
    <w:rsid w:val="007A0EC0"/>
    <w:rsid w:val="007A36AC"/>
    <w:rsid w:val="007A5DFB"/>
    <w:rsid w:val="007A7922"/>
    <w:rsid w:val="007B0AC8"/>
    <w:rsid w:val="007B13B0"/>
    <w:rsid w:val="007B240A"/>
    <w:rsid w:val="007B51E7"/>
    <w:rsid w:val="007B7DA2"/>
    <w:rsid w:val="007C0676"/>
    <w:rsid w:val="007C109A"/>
    <w:rsid w:val="007C1509"/>
    <w:rsid w:val="007C48FF"/>
    <w:rsid w:val="007D017F"/>
    <w:rsid w:val="007D054C"/>
    <w:rsid w:val="007D0920"/>
    <w:rsid w:val="007D1077"/>
    <w:rsid w:val="007D1789"/>
    <w:rsid w:val="007D281D"/>
    <w:rsid w:val="007D3D64"/>
    <w:rsid w:val="007D47B6"/>
    <w:rsid w:val="007D485F"/>
    <w:rsid w:val="007D55E1"/>
    <w:rsid w:val="007D56C3"/>
    <w:rsid w:val="007D697D"/>
    <w:rsid w:val="007D7085"/>
    <w:rsid w:val="007E0704"/>
    <w:rsid w:val="007E0F72"/>
    <w:rsid w:val="007E4125"/>
    <w:rsid w:val="007E4942"/>
    <w:rsid w:val="007E4E63"/>
    <w:rsid w:val="007E6374"/>
    <w:rsid w:val="007E7D7B"/>
    <w:rsid w:val="007F2FE6"/>
    <w:rsid w:val="007F30F7"/>
    <w:rsid w:val="007F5EFC"/>
    <w:rsid w:val="007F6274"/>
    <w:rsid w:val="007F6B01"/>
    <w:rsid w:val="007F6D0A"/>
    <w:rsid w:val="008024F4"/>
    <w:rsid w:val="0080558F"/>
    <w:rsid w:val="008100BC"/>
    <w:rsid w:val="008108C2"/>
    <w:rsid w:val="008109A4"/>
    <w:rsid w:val="00812E50"/>
    <w:rsid w:val="008137A3"/>
    <w:rsid w:val="00814F32"/>
    <w:rsid w:val="00815B40"/>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5AD6"/>
    <w:rsid w:val="00836E1F"/>
    <w:rsid w:val="008376C6"/>
    <w:rsid w:val="008413BF"/>
    <w:rsid w:val="00841A9E"/>
    <w:rsid w:val="0084585A"/>
    <w:rsid w:val="00845D68"/>
    <w:rsid w:val="0084683F"/>
    <w:rsid w:val="00850473"/>
    <w:rsid w:val="00851D58"/>
    <w:rsid w:val="008530CD"/>
    <w:rsid w:val="00856F57"/>
    <w:rsid w:val="00862C44"/>
    <w:rsid w:val="00864C78"/>
    <w:rsid w:val="00864FAC"/>
    <w:rsid w:val="008650E0"/>
    <w:rsid w:val="00865DB5"/>
    <w:rsid w:val="00867B97"/>
    <w:rsid w:val="008702FA"/>
    <w:rsid w:val="00871AC1"/>
    <w:rsid w:val="00872861"/>
    <w:rsid w:val="00872A43"/>
    <w:rsid w:val="00873284"/>
    <w:rsid w:val="0087493A"/>
    <w:rsid w:val="00876CD4"/>
    <w:rsid w:val="008771CD"/>
    <w:rsid w:val="008773B6"/>
    <w:rsid w:val="00877A77"/>
    <w:rsid w:val="00882387"/>
    <w:rsid w:val="0088413E"/>
    <w:rsid w:val="00886169"/>
    <w:rsid w:val="00886DB9"/>
    <w:rsid w:val="008879AA"/>
    <w:rsid w:val="00893D83"/>
    <w:rsid w:val="00894071"/>
    <w:rsid w:val="00895044"/>
    <w:rsid w:val="00895401"/>
    <w:rsid w:val="008A2010"/>
    <w:rsid w:val="008A49CB"/>
    <w:rsid w:val="008A52BE"/>
    <w:rsid w:val="008A5315"/>
    <w:rsid w:val="008A58CE"/>
    <w:rsid w:val="008A5BA6"/>
    <w:rsid w:val="008A77E2"/>
    <w:rsid w:val="008A7ADD"/>
    <w:rsid w:val="008A7CE3"/>
    <w:rsid w:val="008B264F"/>
    <w:rsid w:val="008B400D"/>
    <w:rsid w:val="008B5DE9"/>
    <w:rsid w:val="008B5F76"/>
    <w:rsid w:val="008B654E"/>
    <w:rsid w:val="008B7424"/>
    <w:rsid w:val="008C02B8"/>
    <w:rsid w:val="008C1D88"/>
    <w:rsid w:val="008C27A8"/>
    <w:rsid w:val="008C2E7A"/>
    <w:rsid w:val="008C3811"/>
    <w:rsid w:val="008C6E10"/>
    <w:rsid w:val="008C7B46"/>
    <w:rsid w:val="008C7FB4"/>
    <w:rsid w:val="008D0B52"/>
    <w:rsid w:val="008D1043"/>
    <w:rsid w:val="008D2F6F"/>
    <w:rsid w:val="008D3B92"/>
    <w:rsid w:val="008D46B0"/>
    <w:rsid w:val="008D65F1"/>
    <w:rsid w:val="008D6ABD"/>
    <w:rsid w:val="008D73C0"/>
    <w:rsid w:val="008E14F5"/>
    <w:rsid w:val="008E3DAB"/>
    <w:rsid w:val="008E6E48"/>
    <w:rsid w:val="008E74A5"/>
    <w:rsid w:val="008E7BE4"/>
    <w:rsid w:val="008E7C12"/>
    <w:rsid w:val="008E7C3D"/>
    <w:rsid w:val="008F17AE"/>
    <w:rsid w:val="008F23B8"/>
    <w:rsid w:val="008F4142"/>
    <w:rsid w:val="008F4AB4"/>
    <w:rsid w:val="008F5856"/>
    <w:rsid w:val="008F5B73"/>
    <w:rsid w:val="008F71F8"/>
    <w:rsid w:val="00900850"/>
    <w:rsid w:val="00902030"/>
    <w:rsid w:val="009043F3"/>
    <w:rsid w:val="009061EF"/>
    <w:rsid w:val="00907B02"/>
    <w:rsid w:val="00910184"/>
    <w:rsid w:val="00912CCA"/>
    <w:rsid w:val="009155E6"/>
    <w:rsid w:val="00915DCA"/>
    <w:rsid w:val="00920035"/>
    <w:rsid w:val="00923522"/>
    <w:rsid w:val="009248E6"/>
    <w:rsid w:val="00924A48"/>
    <w:rsid w:val="00924C01"/>
    <w:rsid w:val="0092598E"/>
    <w:rsid w:val="00926693"/>
    <w:rsid w:val="00926AB6"/>
    <w:rsid w:val="00926C7C"/>
    <w:rsid w:val="0092707D"/>
    <w:rsid w:val="00927AB4"/>
    <w:rsid w:val="00927B48"/>
    <w:rsid w:val="0093038B"/>
    <w:rsid w:val="00930556"/>
    <w:rsid w:val="00931DEC"/>
    <w:rsid w:val="009326C2"/>
    <w:rsid w:val="00935BA6"/>
    <w:rsid w:val="00936564"/>
    <w:rsid w:val="00937644"/>
    <w:rsid w:val="00937B39"/>
    <w:rsid w:val="00941CDF"/>
    <w:rsid w:val="009421A3"/>
    <w:rsid w:val="009427CD"/>
    <w:rsid w:val="00943FBC"/>
    <w:rsid w:val="00945437"/>
    <w:rsid w:val="009474C1"/>
    <w:rsid w:val="009477A4"/>
    <w:rsid w:val="00947A7B"/>
    <w:rsid w:val="00950942"/>
    <w:rsid w:val="00950E91"/>
    <w:rsid w:val="009520E6"/>
    <w:rsid w:val="00954103"/>
    <w:rsid w:val="009561A7"/>
    <w:rsid w:val="00960283"/>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38"/>
    <w:rsid w:val="009A4198"/>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5FA7"/>
    <w:rsid w:val="009D69A1"/>
    <w:rsid w:val="009D7418"/>
    <w:rsid w:val="009E0419"/>
    <w:rsid w:val="009E239F"/>
    <w:rsid w:val="009E270A"/>
    <w:rsid w:val="009E2E5A"/>
    <w:rsid w:val="009E43C0"/>
    <w:rsid w:val="009E4B0B"/>
    <w:rsid w:val="009E4C15"/>
    <w:rsid w:val="009E7B3D"/>
    <w:rsid w:val="009E7EE2"/>
    <w:rsid w:val="009F0A84"/>
    <w:rsid w:val="009F1F6A"/>
    <w:rsid w:val="009F420E"/>
    <w:rsid w:val="009F65D0"/>
    <w:rsid w:val="009F6E29"/>
    <w:rsid w:val="009F770F"/>
    <w:rsid w:val="00A019AF"/>
    <w:rsid w:val="00A02019"/>
    <w:rsid w:val="00A030D3"/>
    <w:rsid w:val="00A0434D"/>
    <w:rsid w:val="00A04492"/>
    <w:rsid w:val="00A06C33"/>
    <w:rsid w:val="00A0791E"/>
    <w:rsid w:val="00A07EFD"/>
    <w:rsid w:val="00A117F4"/>
    <w:rsid w:val="00A11CD9"/>
    <w:rsid w:val="00A122C4"/>
    <w:rsid w:val="00A12B6E"/>
    <w:rsid w:val="00A15039"/>
    <w:rsid w:val="00A15489"/>
    <w:rsid w:val="00A1625F"/>
    <w:rsid w:val="00A163D0"/>
    <w:rsid w:val="00A20E3D"/>
    <w:rsid w:val="00A221A9"/>
    <w:rsid w:val="00A223BC"/>
    <w:rsid w:val="00A22F56"/>
    <w:rsid w:val="00A22F69"/>
    <w:rsid w:val="00A23B6F"/>
    <w:rsid w:val="00A24404"/>
    <w:rsid w:val="00A25729"/>
    <w:rsid w:val="00A3015D"/>
    <w:rsid w:val="00A33D0C"/>
    <w:rsid w:val="00A34F2E"/>
    <w:rsid w:val="00A34FAE"/>
    <w:rsid w:val="00A36022"/>
    <w:rsid w:val="00A42305"/>
    <w:rsid w:val="00A42AED"/>
    <w:rsid w:val="00A42E94"/>
    <w:rsid w:val="00A43ABA"/>
    <w:rsid w:val="00A44D67"/>
    <w:rsid w:val="00A45A7B"/>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82C"/>
    <w:rsid w:val="00A57BBD"/>
    <w:rsid w:val="00A608CF"/>
    <w:rsid w:val="00A60C1D"/>
    <w:rsid w:val="00A61E33"/>
    <w:rsid w:val="00A6260D"/>
    <w:rsid w:val="00A63BF6"/>
    <w:rsid w:val="00A6424D"/>
    <w:rsid w:val="00A648FD"/>
    <w:rsid w:val="00A65AA0"/>
    <w:rsid w:val="00A667BE"/>
    <w:rsid w:val="00A6722B"/>
    <w:rsid w:val="00A70AC2"/>
    <w:rsid w:val="00A715B1"/>
    <w:rsid w:val="00A735EE"/>
    <w:rsid w:val="00A73A01"/>
    <w:rsid w:val="00A742C4"/>
    <w:rsid w:val="00A762DD"/>
    <w:rsid w:val="00A77D54"/>
    <w:rsid w:val="00A8000D"/>
    <w:rsid w:val="00A80585"/>
    <w:rsid w:val="00A820DB"/>
    <w:rsid w:val="00A842C3"/>
    <w:rsid w:val="00A85AFB"/>
    <w:rsid w:val="00A869DC"/>
    <w:rsid w:val="00A87866"/>
    <w:rsid w:val="00A91344"/>
    <w:rsid w:val="00A923F9"/>
    <w:rsid w:val="00A93458"/>
    <w:rsid w:val="00A9387F"/>
    <w:rsid w:val="00A93D50"/>
    <w:rsid w:val="00A93EF1"/>
    <w:rsid w:val="00A94D0B"/>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C34"/>
    <w:rsid w:val="00AC0763"/>
    <w:rsid w:val="00AC0BDC"/>
    <w:rsid w:val="00AC1460"/>
    <w:rsid w:val="00AC3326"/>
    <w:rsid w:val="00AC3A0F"/>
    <w:rsid w:val="00AC3C5E"/>
    <w:rsid w:val="00AC5029"/>
    <w:rsid w:val="00AC743C"/>
    <w:rsid w:val="00AC7BCD"/>
    <w:rsid w:val="00AC7FD4"/>
    <w:rsid w:val="00AD088C"/>
    <w:rsid w:val="00AD5A28"/>
    <w:rsid w:val="00AD5F2A"/>
    <w:rsid w:val="00AD63FF"/>
    <w:rsid w:val="00AD7D0F"/>
    <w:rsid w:val="00AE0DA3"/>
    <w:rsid w:val="00AE1854"/>
    <w:rsid w:val="00AE1BE5"/>
    <w:rsid w:val="00AE2337"/>
    <w:rsid w:val="00AE243C"/>
    <w:rsid w:val="00AE296A"/>
    <w:rsid w:val="00AF0D40"/>
    <w:rsid w:val="00AF2626"/>
    <w:rsid w:val="00AF307A"/>
    <w:rsid w:val="00AF4425"/>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472"/>
    <w:rsid w:val="00B125AF"/>
    <w:rsid w:val="00B12A80"/>
    <w:rsid w:val="00B17995"/>
    <w:rsid w:val="00B2056A"/>
    <w:rsid w:val="00B20BE2"/>
    <w:rsid w:val="00B21AD8"/>
    <w:rsid w:val="00B2333E"/>
    <w:rsid w:val="00B250A7"/>
    <w:rsid w:val="00B27661"/>
    <w:rsid w:val="00B27D58"/>
    <w:rsid w:val="00B31E8D"/>
    <w:rsid w:val="00B32A9B"/>
    <w:rsid w:val="00B34EC2"/>
    <w:rsid w:val="00B354BF"/>
    <w:rsid w:val="00B3633C"/>
    <w:rsid w:val="00B364C3"/>
    <w:rsid w:val="00B36F90"/>
    <w:rsid w:val="00B41423"/>
    <w:rsid w:val="00B43127"/>
    <w:rsid w:val="00B441E3"/>
    <w:rsid w:val="00B50491"/>
    <w:rsid w:val="00B5058B"/>
    <w:rsid w:val="00B5119A"/>
    <w:rsid w:val="00B52B6B"/>
    <w:rsid w:val="00B53660"/>
    <w:rsid w:val="00B541A4"/>
    <w:rsid w:val="00B54A27"/>
    <w:rsid w:val="00B55226"/>
    <w:rsid w:val="00B55782"/>
    <w:rsid w:val="00B55DB4"/>
    <w:rsid w:val="00B56BB5"/>
    <w:rsid w:val="00B56DCA"/>
    <w:rsid w:val="00B60310"/>
    <w:rsid w:val="00B60505"/>
    <w:rsid w:val="00B60A59"/>
    <w:rsid w:val="00B626F7"/>
    <w:rsid w:val="00B63026"/>
    <w:rsid w:val="00B6312F"/>
    <w:rsid w:val="00B63B69"/>
    <w:rsid w:val="00B66E1D"/>
    <w:rsid w:val="00B6762B"/>
    <w:rsid w:val="00B7153D"/>
    <w:rsid w:val="00B73BDC"/>
    <w:rsid w:val="00B76404"/>
    <w:rsid w:val="00B7666E"/>
    <w:rsid w:val="00B81735"/>
    <w:rsid w:val="00B82E70"/>
    <w:rsid w:val="00B82F38"/>
    <w:rsid w:val="00B83D04"/>
    <w:rsid w:val="00B84388"/>
    <w:rsid w:val="00B84501"/>
    <w:rsid w:val="00B85154"/>
    <w:rsid w:val="00B85206"/>
    <w:rsid w:val="00B85B0B"/>
    <w:rsid w:val="00B8601D"/>
    <w:rsid w:val="00B861B9"/>
    <w:rsid w:val="00B86FCB"/>
    <w:rsid w:val="00B879D9"/>
    <w:rsid w:val="00B87D0C"/>
    <w:rsid w:val="00B91C88"/>
    <w:rsid w:val="00B91D0A"/>
    <w:rsid w:val="00B92C32"/>
    <w:rsid w:val="00B95BBD"/>
    <w:rsid w:val="00B96430"/>
    <w:rsid w:val="00B97C89"/>
    <w:rsid w:val="00BA0C12"/>
    <w:rsid w:val="00BA20D7"/>
    <w:rsid w:val="00BA5EC9"/>
    <w:rsid w:val="00BA741A"/>
    <w:rsid w:val="00BA759F"/>
    <w:rsid w:val="00BA7966"/>
    <w:rsid w:val="00BB02A9"/>
    <w:rsid w:val="00BB0F6C"/>
    <w:rsid w:val="00BB1FE7"/>
    <w:rsid w:val="00BB216C"/>
    <w:rsid w:val="00BB2455"/>
    <w:rsid w:val="00BB2A85"/>
    <w:rsid w:val="00BB3D10"/>
    <w:rsid w:val="00BB5AB6"/>
    <w:rsid w:val="00BB6170"/>
    <w:rsid w:val="00BB7DB9"/>
    <w:rsid w:val="00BC12EF"/>
    <w:rsid w:val="00BC2A54"/>
    <w:rsid w:val="00BD1547"/>
    <w:rsid w:val="00BD4313"/>
    <w:rsid w:val="00BD56AE"/>
    <w:rsid w:val="00BD58F5"/>
    <w:rsid w:val="00BD6F9B"/>
    <w:rsid w:val="00BE2331"/>
    <w:rsid w:val="00BE2BF7"/>
    <w:rsid w:val="00BE6A40"/>
    <w:rsid w:val="00BE6D84"/>
    <w:rsid w:val="00BE6F4A"/>
    <w:rsid w:val="00BE79E7"/>
    <w:rsid w:val="00BF01E4"/>
    <w:rsid w:val="00BF11B7"/>
    <w:rsid w:val="00BF11C3"/>
    <w:rsid w:val="00BF2150"/>
    <w:rsid w:val="00BF2833"/>
    <w:rsid w:val="00BF29CD"/>
    <w:rsid w:val="00C0108B"/>
    <w:rsid w:val="00C01942"/>
    <w:rsid w:val="00C01EAB"/>
    <w:rsid w:val="00C03F4C"/>
    <w:rsid w:val="00C04323"/>
    <w:rsid w:val="00C04999"/>
    <w:rsid w:val="00C1185E"/>
    <w:rsid w:val="00C12944"/>
    <w:rsid w:val="00C146A1"/>
    <w:rsid w:val="00C147D2"/>
    <w:rsid w:val="00C15CA9"/>
    <w:rsid w:val="00C1621C"/>
    <w:rsid w:val="00C1670E"/>
    <w:rsid w:val="00C16F28"/>
    <w:rsid w:val="00C21030"/>
    <w:rsid w:val="00C2111C"/>
    <w:rsid w:val="00C22A49"/>
    <w:rsid w:val="00C23784"/>
    <w:rsid w:val="00C25FC5"/>
    <w:rsid w:val="00C3427A"/>
    <w:rsid w:val="00C35450"/>
    <w:rsid w:val="00C40206"/>
    <w:rsid w:val="00C40566"/>
    <w:rsid w:val="00C44E37"/>
    <w:rsid w:val="00C4611D"/>
    <w:rsid w:val="00C473AE"/>
    <w:rsid w:val="00C4776A"/>
    <w:rsid w:val="00C47AA6"/>
    <w:rsid w:val="00C47B2D"/>
    <w:rsid w:val="00C47FBA"/>
    <w:rsid w:val="00C5028D"/>
    <w:rsid w:val="00C521B6"/>
    <w:rsid w:val="00C55E5B"/>
    <w:rsid w:val="00C568DF"/>
    <w:rsid w:val="00C60022"/>
    <w:rsid w:val="00C64871"/>
    <w:rsid w:val="00C64EB3"/>
    <w:rsid w:val="00C65637"/>
    <w:rsid w:val="00C65EB6"/>
    <w:rsid w:val="00C67E1F"/>
    <w:rsid w:val="00C71949"/>
    <w:rsid w:val="00C737B3"/>
    <w:rsid w:val="00C73953"/>
    <w:rsid w:val="00C74648"/>
    <w:rsid w:val="00C75A10"/>
    <w:rsid w:val="00C75A2B"/>
    <w:rsid w:val="00C75C64"/>
    <w:rsid w:val="00C771B7"/>
    <w:rsid w:val="00C81749"/>
    <w:rsid w:val="00C8217D"/>
    <w:rsid w:val="00C827CF"/>
    <w:rsid w:val="00C83560"/>
    <w:rsid w:val="00C84F66"/>
    <w:rsid w:val="00C85B67"/>
    <w:rsid w:val="00C86304"/>
    <w:rsid w:val="00C86CFF"/>
    <w:rsid w:val="00C92EB0"/>
    <w:rsid w:val="00C938B8"/>
    <w:rsid w:val="00C94007"/>
    <w:rsid w:val="00C94180"/>
    <w:rsid w:val="00C966AA"/>
    <w:rsid w:val="00CA07A3"/>
    <w:rsid w:val="00CA0B01"/>
    <w:rsid w:val="00CA2D39"/>
    <w:rsid w:val="00CA3ACC"/>
    <w:rsid w:val="00CA5D92"/>
    <w:rsid w:val="00CA6A1A"/>
    <w:rsid w:val="00CA75E2"/>
    <w:rsid w:val="00CA7C82"/>
    <w:rsid w:val="00CB01D7"/>
    <w:rsid w:val="00CB05FC"/>
    <w:rsid w:val="00CB0738"/>
    <w:rsid w:val="00CB17D7"/>
    <w:rsid w:val="00CB2CBD"/>
    <w:rsid w:val="00CB7BE9"/>
    <w:rsid w:val="00CB7E10"/>
    <w:rsid w:val="00CC0851"/>
    <w:rsid w:val="00CC0DB0"/>
    <w:rsid w:val="00CC2471"/>
    <w:rsid w:val="00CC2862"/>
    <w:rsid w:val="00CC2D54"/>
    <w:rsid w:val="00CC441E"/>
    <w:rsid w:val="00CC4FD7"/>
    <w:rsid w:val="00CC67C7"/>
    <w:rsid w:val="00CC7FFB"/>
    <w:rsid w:val="00CD1954"/>
    <w:rsid w:val="00CD3926"/>
    <w:rsid w:val="00CD3D21"/>
    <w:rsid w:val="00CD44D3"/>
    <w:rsid w:val="00CD4F5C"/>
    <w:rsid w:val="00CD5534"/>
    <w:rsid w:val="00CD5607"/>
    <w:rsid w:val="00CD7249"/>
    <w:rsid w:val="00CD7403"/>
    <w:rsid w:val="00CE155A"/>
    <w:rsid w:val="00CE42CF"/>
    <w:rsid w:val="00CE5356"/>
    <w:rsid w:val="00CE603E"/>
    <w:rsid w:val="00CF3325"/>
    <w:rsid w:val="00CF39D1"/>
    <w:rsid w:val="00CF3D15"/>
    <w:rsid w:val="00CF46CE"/>
    <w:rsid w:val="00CF500B"/>
    <w:rsid w:val="00CF59D3"/>
    <w:rsid w:val="00CF5C3B"/>
    <w:rsid w:val="00CF7312"/>
    <w:rsid w:val="00D00F60"/>
    <w:rsid w:val="00D015EB"/>
    <w:rsid w:val="00D020FC"/>
    <w:rsid w:val="00D02139"/>
    <w:rsid w:val="00D0252B"/>
    <w:rsid w:val="00D03EE7"/>
    <w:rsid w:val="00D044CD"/>
    <w:rsid w:val="00D049DF"/>
    <w:rsid w:val="00D04C1F"/>
    <w:rsid w:val="00D04C29"/>
    <w:rsid w:val="00D07790"/>
    <w:rsid w:val="00D11256"/>
    <w:rsid w:val="00D122C1"/>
    <w:rsid w:val="00D136EE"/>
    <w:rsid w:val="00D13A53"/>
    <w:rsid w:val="00D13D91"/>
    <w:rsid w:val="00D141C6"/>
    <w:rsid w:val="00D1559E"/>
    <w:rsid w:val="00D159CB"/>
    <w:rsid w:val="00D253FE"/>
    <w:rsid w:val="00D25E3A"/>
    <w:rsid w:val="00D26360"/>
    <w:rsid w:val="00D34200"/>
    <w:rsid w:val="00D34A39"/>
    <w:rsid w:val="00D365E7"/>
    <w:rsid w:val="00D40EDF"/>
    <w:rsid w:val="00D41867"/>
    <w:rsid w:val="00D42AD6"/>
    <w:rsid w:val="00D430D8"/>
    <w:rsid w:val="00D453E1"/>
    <w:rsid w:val="00D46F25"/>
    <w:rsid w:val="00D57965"/>
    <w:rsid w:val="00D57F46"/>
    <w:rsid w:val="00D600A7"/>
    <w:rsid w:val="00D614C6"/>
    <w:rsid w:val="00D61A5F"/>
    <w:rsid w:val="00D626D5"/>
    <w:rsid w:val="00D62F03"/>
    <w:rsid w:val="00D63E4F"/>
    <w:rsid w:val="00D64B3B"/>
    <w:rsid w:val="00D67224"/>
    <w:rsid w:val="00D67E16"/>
    <w:rsid w:val="00D710FE"/>
    <w:rsid w:val="00D71362"/>
    <w:rsid w:val="00D719B7"/>
    <w:rsid w:val="00D71FA4"/>
    <w:rsid w:val="00D72F46"/>
    <w:rsid w:val="00D767C8"/>
    <w:rsid w:val="00D77677"/>
    <w:rsid w:val="00D81667"/>
    <w:rsid w:val="00D82B8F"/>
    <w:rsid w:val="00D83430"/>
    <w:rsid w:val="00D8344D"/>
    <w:rsid w:val="00D8365A"/>
    <w:rsid w:val="00D83FAA"/>
    <w:rsid w:val="00D846A4"/>
    <w:rsid w:val="00D84FF8"/>
    <w:rsid w:val="00D85B9F"/>
    <w:rsid w:val="00D85F08"/>
    <w:rsid w:val="00D871B9"/>
    <w:rsid w:val="00D877BD"/>
    <w:rsid w:val="00D90909"/>
    <w:rsid w:val="00D91F56"/>
    <w:rsid w:val="00D93D21"/>
    <w:rsid w:val="00D93DFF"/>
    <w:rsid w:val="00D9407D"/>
    <w:rsid w:val="00D94211"/>
    <w:rsid w:val="00D9468B"/>
    <w:rsid w:val="00D951B0"/>
    <w:rsid w:val="00D9609C"/>
    <w:rsid w:val="00D9730C"/>
    <w:rsid w:val="00DA172E"/>
    <w:rsid w:val="00DA317E"/>
    <w:rsid w:val="00DA3EFF"/>
    <w:rsid w:val="00DA4D0F"/>
    <w:rsid w:val="00DA570C"/>
    <w:rsid w:val="00DA6DD1"/>
    <w:rsid w:val="00DA6FB3"/>
    <w:rsid w:val="00DA74B4"/>
    <w:rsid w:val="00DA758A"/>
    <w:rsid w:val="00DA75BD"/>
    <w:rsid w:val="00DB245F"/>
    <w:rsid w:val="00DB28D3"/>
    <w:rsid w:val="00DB36C0"/>
    <w:rsid w:val="00DB3ABF"/>
    <w:rsid w:val="00DB4475"/>
    <w:rsid w:val="00DB4C1F"/>
    <w:rsid w:val="00DB65EA"/>
    <w:rsid w:val="00DC0686"/>
    <w:rsid w:val="00DC06AF"/>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0A12"/>
    <w:rsid w:val="00DF1C7C"/>
    <w:rsid w:val="00DF26EF"/>
    <w:rsid w:val="00DF2971"/>
    <w:rsid w:val="00DF299D"/>
    <w:rsid w:val="00DF4837"/>
    <w:rsid w:val="00DF62EB"/>
    <w:rsid w:val="00E0023F"/>
    <w:rsid w:val="00E11710"/>
    <w:rsid w:val="00E1451F"/>
    <w:rsid w:val="00E149C1"/>
    <w:rsid w:val="00E153AB"/>
    <w:rsid w:val="00E15CDC"/>
    <w:rsid w:val="00E16790"/>
    <w:rsid w:val="00E17056"/>
    <w:rsid w:val="00E2004F"/>
    <w:rsid w:val="00E21B97"/>
    <w:rsid w:val="00E21CF3"/>
    <w:rsid w:val="00E23BD7"/>
    <w:rsid w:val="00E243FC"/>
    <w:rsid w:val="00E246B5"/>
    <w:rsid w:val="00E255A9"/>
    <w:rsid w:val="00E300F7"/>
    <w:rsid w:val="00E30E92"/>
    <w:rsid w:val="00E30F37"/>
    <w:rsid w:val="00E31BB6"/>
    <w:rsid w:val="00E3399C"/>
    <w:rsid w:val="00E33A50"/>
    <w:rsid w:val="00E33E58"/>
    <w:rsid w:val="00E341BD"/>
    <w:rsid w:val="00E34784"/>
    <w:rsid w:val="00E35F51"/>
    <w:rsid w:val="00E43335"/>
    <w:rsid w:val="00E45CA1"/>
    <w:rsid w:val="00E478FD"/>
    <w:rsid w:val="00E5155E"/>
    <w:rsid w:val="00E5568D"/>
    <w:rsid w:val="00E57C0C"/>
    <w:rsid w:val="00E60698"/>
    <w:rsid w:val="00E60797"/>
    <w:rsid w:val="00E6609E"/>
    <w:rsid w:val="00E7181F"/>
    <w:rsid w:val="00E72467"/>
    <w:rsid w:val="00E74CEA"/>
    <w:rsid w:val="00E7667E"/>
    <w:rsid w:val="00E76B80"/>
    <w:rsid w:val="00E77E2F"/>
    <w:rsid w:val="00E77E55"/>
    <w:rsid w:val="00E80090"/>
    <w:rsid w:val="00E81859"/>
    <w:rsid w:val="00E8314E"/>
    <w:rsid w:val="00E835D3"/>
    <w:rsid w:val="00E8449E"/>
    <w:rsid w:val="00E847AF"/>
    <w:rsid w:val="00E85A4F"/>
    <w:rsid w:val="00E92C89"/>
    <w:rsid w:val="00E93F66"/>
    <w:rsid w:val="00E94E67"/>
    <w:rsid w:val="00E95D14"/>
    <w:rsid w:val="00E964C4"/>
    <w:rsid w:val="00E969AF"/>
    <w:rsid w:val="00EA0094"/>
    <w:rsid w:val="00EA110D"/>
    <w:rsid w:val="00EA11B6"/>
    <w:rsid w:val="00EA2D94"/>
    <w:rsid w:val="00EA33C1"/>
    <w:rsid w:val="00EA3AD3"/>
    <w:rsid w:val="00EA3BEF"/>
    <w:rsid w:val="00EA3CD3"/>
    <w:rsid w:val="00EA4BF8"/>
    <w:rsid w:val="00EA71E3"/>
    <w:rsid w:val="00EB012F"/>
    <w:rsid w:val="00EB10EE"/>
    <w:rsid w:val="00EB17A1"/>
    <w:rsid w:val="00EB1EFB"/>
    <w:rsid w:val="00EB2C70"/>
    <w:rsid w:val="00EB62BE"/>
    <w:rsid w:val="00EB67BC"/>
    <w:rsid w:val="00EB6866"/>
    <w:rsid w:val="00EB6E2F"/>
    <w:rsid w:val="00EC00CC"/>
    <w:rsid w:val="00EC5EEE"/>
    <w:rsid w:val="00ED06A9"/>
    <w:rsid w:val="00ED0F31"/>
    <w:rsid w:val="00ED2108"/>
    <w:rsid w:val="00ED24B9"/>
    <w:rsid w:val="00ED2D6A"/>
    <w:rsid w:val="00ED3767"/>
    <w:rsid w:val="00ED4124"/>
    <w:rsid w:val="00ED6B41"/>
    <w:rsid w:val="00ED7099"/>
    <w:rsid w:val="00ED7788"/>
    <w:rsid w:val="00ED795E"/>
    <w:rsid w:val="00EE02DB"/>
    <w:rsid w:val="00EE0486"/>
    <w:rsid w:val="00EE21E2"/>
    <w:rsid w:val="00EE223E"/>
    <w:rsid w:val="00EE3B5E"/>
    <w:rsid w:val="00EE5ECD"/>
    <w:rsid w:val="00EE6EA2"/>
    <w:rsid w:val="00EF0622"/>
    <w:rsid w:val="00EF0BE1"/>
    <w:rsid w:val="00EF1213"/>
    <w:rsid w:val="00EF231F"/>
    <w:rsid w:val="00EF2B05"/>
    <w:rsid w:val="00EF3502"/>
    <w:rsid w:val="00EF4832"/>
    <w:rsid w:val="00EF7715"/>
    <w:rsid w:val="00F01BF3"/>
    <w:rsid w:val="00F02057"/>
    <w:rsid w:val="00F023C9"/>
    <w:rsid w:val="00F06C02"/>
    <w:rsid w:val="00F06E3E"/>
    <w:rsid w:val="00F06F44"/>
    <w:rsid w:val="00F0708E"/>
    <w:rsid w:val="00F11E67"/>
    <w:rsid w:val="00F12D0C"/>
    <w:rsid w:val="00F1448B"/>
    <w:rsid w:val="00F16F69"/>
    <w:rsid w:val="00F17BAD"/>
    <w:rsid w:val="00F207A9"/>
    <w:rsid w:val="00F21408"/>
    <w:rsid w:val="00F22B77"/>
    <w:rsid w:val="00F23BE2"/>
    <w:rsid w:val="00F24189"/>
    <w:rsid w:val="00F25422"/>
    <w:rsid w:val="00F254FE"/>
    <w:rsid w:val="00F25A95"/>
    <w:rsid w:val="00F25C3F"/>
    <w:rsid w:val="00F26561"/>
    <w:rsid w:val="00F3033C"/>
    <w:rsid w:val="00F3084A"/>
    <w:rsid w:val="00F33D92"/>
    <w:rsid w:val="00F33E97"/>
    <w:rsid w:val="00F34389"/>
    <w:rsid w:val="00F3728F"/>
    <w:rsid w:val="00F40F77"/>
    <w:rsid w:val="00F45DF7"/>
    <w:rsid w:val="00F469D9"/>
    <w:rsid w:val="00F47116"/>
    <w:rsid w:val="00F4798D"/>
    <w:rsid w:val="00F511BF"/>
    <w:rsid w:val="00F51EBC"/>
    <w:rsid w:val="00F5731C"/>
    <w:rsid w:val="00F60603"/>
    <w:rsid w:val="00F60B64"/>
    <w:rsid w:val="00F60BB5"/>
    <w:rsid w:val="00F60CBE"/>
    <w:rsid w:val="00F61598"/>
    <w:rsid w:val="00F638DE"/>
    <w:rsid w:val="00F63ACB"/>
    <w:rsid w:val="00F64854"/>
    <w:rsid w:val="00F6580D"/>
    <w:rsid w:val="00F65940"/>
    <w:rsid w:val="00F703A9"/>
    <w:rsid w:val="00F706C8"/>
    <w:rsid w:val="00F71B9E"/>
    <w:rsid w:val="00F722B7"/>
    <w:rsid w:val="00F7330C"/>
    <w:rsid w:val="00F738C1"/>
    <w:rsid w:val="00F75131"/>
    <w:rsid w:val="00F7564A"/>
    <w:rsid w:val="00F75CA7"/>
    <w:rsid w:val="00F82604"/>
    <w:rsid w:val="00F82629"/>
    <w:rsid w:val="00F83D39"/>
    <w:rsid w:val="00F84898"/>
    <w:rsid w:val="00F84A92"/>
    <w:rsid w:val="00F87238"/>
    <w:rsid w:val="00F87939"/>
    <w:rsid w:val="00F91021"/>
    <w:rsid w:val="00F919FE"/>
    <w:rsid w:val="00F95342"/>
    <w:rsid w:val="00F959D0"/>
    <w:rsid w:val="00F97247"/>
    <w:rsid w:val="00FA03F5"/>
    <w:rsid w:val="00FA1546"/>
    <w:rsid w:val="00FA287C"/>
    <w:rsid w:val="00FA71FC"/>
    <w:rsid w:val="00FB0311"/>
    <w:rsid w:val="00FB06ED"/>
    <w:rsid w:val="00FB095A"/>
    <w:rsid w:val="00FB0C67"/>
    <w:rsid w:val="00FB15C2"/>
    <w:rsid w:val="00FB1910"/>
    <w:rsid w:val="00FB2860"/>
    <w:rsid w:val="00FB4A80"/>
    <w:rsid w:val="00FB4AD1"/>
    <w:rsid w:val="00FB4DEF"/>
    <w:rsid w:val="00FB5812"/>
    <w:rsid w:val="00FB62D1"/>
    <w:rsid w:val="00FC19D5"/>
    <w:rsid w:val="00FC234D"/>
    <w:rsid w:val="00FC2C37"/>
    <w:rsid w:val="00FC331E"/>
    <w:rsid w:val="00FC47C4"/>
    <w:rsid w:val="00FC4F4C"/>
    <w:rsid w:val="00FC5ED5"/>
    <w:rsid w:val="00FC5FF0"/>
    <w:rsid w:val="00FC67C0"/>
    <w:rsid w:val="00FC7231"/>
    <w:rsid w:val="00FC7248"/>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3AEA"/>
    <w:rsid w:val="00FF493F"/>
    <w:rsid w:val="00FF4A22"/>
    <w:rsid w:val="00FF5332"/>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740">
      <w:bodyDiv w:val="1"/>
      <w:marLeft w:val="0"/>
      <w:marRight w:val="0"/>
      <w:marTop w:val="0"/>
      <w:marBottom w:val="0"/>
      <w:divBdr>
        <w:top w:val="none" w:sz="0" w:space="0" w:color="auto"/>
        <w:left w:val="none" w:sz="0" w:space="0" w:color="auto"/>
        <w:bottom w:val="none" w:sz="0" w:space="0" w:color="auto"/>
        <w:right w:val="none" w:sz="0" w:space="0" w:color="auto"/>
      </w:divBdr>
    </w:div>
    <w:div w:id="194274418">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557712891">
      <w:bodyDiv w:val="1"/>
      <w:marLeft w:val="0"/>
      <w:marRight w:val="0"/>
      <w:marTop w:val="0"/>
      <w:marBottom w:val="0"/>
      <w:divBdr>
        <w:top w:val="none" w:sz="0" w:space="0" w:color="auto"/>
        <w:left w:val="none" w:sz="0" w:space="0" w:color="auto"/>
        <w:bottom w:val="none" w:sz="0" w:space="0" w:color="auto"/>
        <w:right w:val="none" w:sz="0" w:space="0" w:color="auto"/>
      </w:divBdr>
    </w:div>
    <w:div w:id="598029981">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5331065">
      <w:bodyDiv w:val="1"/>
      <w:marLeft w:val="0"/>
      <w:marRight w:val="0"/>
      <w:marTop w:val="0"/>
      <w:marBottom w:val="0"/>
      <w:divBdr>
        <w:top w:val="none" w:sz="0" w:space="0" w:color="auto"/>
        <w:left w:val="none" w:sz="0" w:space="0" w:color="auto"/>
        <w:bottom w:val="none" w:sz="0" w:space="0" w:color="auto"/>
        <w:right w:val="none" w:sz="0" w:space="0" w:color="auto"/>
      </w:divBdr>
    </w:div>
    <w:div w:id="772938676">
      <w:bodyDiv w:val="1"/>
      <w:marLeft w:val="0"/>
      <w:marRight w:val="0"/>
      <w:marTop w:val="0"/>
      <w:marBottom w:val="0"/>
      <w:divBdr>
        <w:top w:val="none" w:sz="0" w:space="0" w:color="auto"/>
        <w:left w:val="none" w:sz="0" w:space="0" w:color="auto"/>
        <w:bottom w:val="none" w:sz="0" w:space="0" w:color="auto"/>
        <w:right w:val="none" w:sz="0" w:space="0" w:color="auto"/>
      </w:divBdr>
    </w:div>
    <w:div w:id="867527453">
      <w:bodyDiv w:val="1"/>
      <w:marLeft w:val="0"/>
      <w:marRight w:val="0"/>
      <w:marTop w:val="0"/>
      <w:marBottom w:val="0"/>
      <w:divBdr>
        <w:top w:val="none" w:sz="0" w:space="0" w:color="auto"/>
        <w:left w:val="none" w:sz="0" w:space="0" w:color="auto"/>
        <w:bottom w:val="none" w:sz="0" w:space="0" w:color="auto"/>
        <w:right w:val="none" w:sz="0" w:space="0" w:color="auto"/>
      </w:divBdr>
    </w:div>
    <w:div w:id="87774158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85362155">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03940608">
      <w:bodyDiv w:val="1"/>
      <w:marLeft w:val="0"/>
      <w:marRight w:val="0"/>
      <w:marTop w:val="0"/>
      <w:marBottom w:val="0"/>
      <w:divBdr>
        <w:top w:val="none" w:sz="0" w:space="0" w:color="auto"/>
        <w:left w:val="none" w:sz="0" w:space="0" w:color="auto"/>
        <w:bottom w:val="none" w:sz="0" w:space="0" w:color="auto"/>
        <w:right w:val="none" w:sz="0" w:space="0" w:color="auto"/>
      </w:divBdr>
    </w:div>
    <w:div w:id="1411924244">
      <w:bodyDiv w:val="1"/>
      <w:marLeft w:val="0"/>
      <w:marRight w:val="0"/>
      <w:marTop w:val="0"/>
      <w:marBottom w:val="0"/>
      <w:divBdr>
        <w:top w:val="none" w:sz="0" w:space="0" w:color="auto"/>
        <w:left w:val="none" w:sz="0" w:space="0" w:color="auto"/>
        <w:bottom w:val="none" w:sz="0" w:space="0" w:color="auto"/>
        <w:right w:val="none" w:sz="0" w:space="0" w:color="auto"/>
      </w:divBdr>
    </w:div>
    <w:div w:id="1420179142">
      <w:bodyDiv w:val="1"/>
      <w:marLeft w:val="0"/>
      <w:marRight w:val="0"/>
      <w:marTop w:val="0"/>
      <w:marBottom w:val="0"/>
      <w:divBdr>
        <w:top w:val="none" w:sz="0" w:space="0" w:color="auto"/>
        <w:left w:val="none" w:sz="0" w:space="0" w:color="auto"/>
        <w:bottom w:val="none" w:sz="0" w:space="0" w:color="auto"/>
        <w:right w:val="none" w:sz="0" w:space="0" w:color="auto"/>
      </w:divBdr>
    </w:div>
    <w:div w:id="1447889063">
      <w:bodyDiv w:val="1"/>
      <w:marLeft w:val="0"/>
      <w:marRight w:val="0"/>
      <w:marTop w:val="0"/>
      <w:marBottom w:val="0"/>
      <w:divBdr>
        <w:top w:val="none" w:sz="0" w:space="0" w:color="auto"/>
        <w:left w:val="none" w:sz="0" w:space="0" w:color="auto"/>
        <w:bottom w:val="none" w:sz="0" w:space="0" w:color="auto"/>
        <w:right w:val="none" w:sz="0" w:space="0" w:color="auto"/>
      </w:divBdr>
    </w:div>
    <w:div w:id="1459488145">
      <w:bodyDiv w:val="1"/>
      <w:marLeft w:val="0"/>
      <w:marRight w:val="0"/>
      <w:marTop w:val="0"/>
      <w:marBottom w:val="0"/>
      <w:divBdr>
        <w:top w:val="none" w:sz="0" w:space="0" w:color="auto"/>
        <w:left w:val="none" w:sz="0" w:space="0" w:color="auto"/>
        <w:bottom w:val="none" w:sz="0" w:space="0" w:color="auto"/>
        <w:right w:val="none" w:sz="0" w:space="0" w:color="auto"/>
      </w:divBdr>
    </w:div>
    <w:div w:id="1542355182">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885942726">
      <w:bodyDiv w:val="1"/>
      <w:marLeft w:val="0"/>
      <w:marRight w:val="0"/>
      <w:marTop w:val="0"/>
      <w:marBottom w:val="0"/>
      <w:divBdr>
        <w:top w:val="none" w:sz="0" w:space="0" w:color="auto"/>
        <w:left w:val="none" w:sz="0" w:space="0" w:color="auto"/>
        <w:bottom w:val="none" w:sz="0" w:space="0" w:color="auto"/>
        <w:right w:val="none" w:sz="0" w:space="0" w:color="auto"/>
      </w:divBdr>
    </w:div>
    <w:div w:id="1940064477">
      <w:bodyDiv w:val="1"/>
      <w:marLeft w:val="0"/>
      <w:marRight w:val="0"/>
      <w:marTop w:val="0"/>
      <w:marBottom w:val="0"/>
      <w:divBdr>
        <w:top w:val="none" w:sz="0" w:space="0" w:color="auto"/>
        <w:left w:val="none" w:sz="0" w:space="0" w:color="auto"/>
        <w:bottom w:val="none" w:sz="0" w:space="0" w:color="auto"/>
        <w:right w:val="none" w:sz="0" w:space="0" w:color="auto"/>
      </w:divBdr>
    </w:div>
    <w:div w:id="19588300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26440544">
      <w:bodyDiv w:val="1"/>
      <w:marLeft w:val="0"/>
      <w:marRight w:val="0"/>
      <w:marTop w:val="0"/>
      <w:marBottom w:val="0"/>
      <w:divBdr>
        <w:top w:val="none" w:sz="0" w:space="0" w:color="auto"/>
        <w:left w:val="none" w:sz="0" w:space="0" w:color="auto"/>
        <w:bottom w:val="none" w:sz="0" w:space="0" w:color="auto"/>
        <w:right w:val="none" w:sz="0" w:space="0" w:color="auto"/>
      </w:divBdr>
    </w:div>
    <w:div w:id="20577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osninana\Documents\&#1057;&#1086;&#1089;&#1085;&#1080;&#1085;&#1072;\2023%20&#1075;&#1086;&#1076;\2023%20&#1075;&#1086;&#1076;%20&#1054;&#1058;&#1063;&#1045;&#1058;&#1067;\&#1043;&#1054;&#1044;&#1054;&#1042;&#1054;&#1049;%20&#1054;&#1058;&#1063;&#1045;&#1058;\&#1054;&#1090;&#1095;&#1077;&#1090;&#1099;%20&#1053;&#1040;&#1044;&#1071;\&#1087;&#1086;&#1103;&#1089;&#1085;&#1080;&#1090;&#1077;&#1083;&#1100;&#1085;&#1072;&#1103;\&#1044;&#1080;&#1072;&#1075;&#1088;&#1072;&#1084;&#1084;&#1099;%20&#1087;&#1086;%20&#1087;&#1088;&#1086;&#1075;&#1088;&#1072;&#1084;&#1084;&#1072;&#1084;%20-%20&#1080;&#1089;&#1087;&#1086;&#1083;&#1085;&#1077;&#1085;&#1080;&#1077;%202021%20&#1085;&#1072;&#1076;&#11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osninana\Documents\&#1057;&#1086;&#1089;&#1085;&#1080;&#1085;&#1072;\2023%20&#1075;&#1086;&#1076;\2023%20&#1075;&#1086;&#1076;%20&#1054;&#1058;&#1063;&#1045;&#1058;&#1067;\&#1043;&#1054;&#1044;&#1054;&#1042;&#1054;&#1049;%20&#1054;&#1058;&#1063;&#1045;&#1058;\&#1054;&#1090;&#1095;&#1077;&#1090;&#1099;%20&#1053;&#1040;&#1044;&#1071;\&#1087;&#1086;&#1103;&#1089;&#1085;&#1080;&#1090;&#1077;&#1083;&#1100;&#1085;&#1072;&#1103;\&#1044;&#1080;&#1072;&#1075;&#1088;&#1072;&#1084;&#1084;&#1099;%20&#1087;&#1086;%20&#1087;&#1088;&#1086;&#1075;&#1088;&#1072;&#1084;&#1084;&#1072;&#1084;%20-%20&#1080;&#1089;&#1087;&#1086;&#1083;&#1085;&#1077;&#1085;&#1080;&#1077;%202021%20&#1085;&#1072;&#1076;&#110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0087294813899339E-2"/>
          <c:y val="0.11969508384251924"/>
          <c:w val="0.96301325234903989"/>
          <c:h val="0.6619868559247006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'Столица 2022'!$B$4:$D$4</c:f>
              <c:strCache>
                <c:ptCount val="3"/>
                <c:pt idx="0">
                  <c:v>2021 год (исполнено)</c:v>
                </c:pt>
                <c:pt idx="1">
                  <c:v>2022 год (плановые назначения)</c:v>
                </c:pt>
                <c:pt idx="2">
                  <c:v>2022 (исполнено)</c:v>
                </c:pt>
              </c:strCache>
            </c:strRef>
          </c:cat>
          <c:val>
            <c:numRef>
              <c:f>'Столица 2022'!$B$5:$D$5</c:f>
              <c:numCache>
                <c:formatCode>#\ ##0.0_ ;[Red]\-#\ ##0.0\ </c:formatCode>
                <c:ptCount val="3"/>
                <c:pt idx="0">
                  <c:v>454545.5</c:v>
                </c:pt>
                <c:pt idx="1">
                  <c:v>454545.5</c:v>
                </c:pt>
                <c:pt idx="2">
                  <c:v>454545.5</c:v>
                </c:pt>
              </c:numCache>
            </c:numRef>
          </c:val>
        </c:ser>
        <c:dLbls>
          <c:showLegendKey val="0"/>
          <c:showVal val="0"/>
          <c:showCatName val="0"/>
          <c:showSerName val="0"/>
          <c:showPercent val="0"/>
          <c:showBubbleSize val="0"/>
        </c:dLbls>
        <c:gapWidth val="219"/>
        <c:overlap val="-27"/>
        <c:axId val="147832192"/>
        <c:axId val="147874944"/>
      </c:barChart>
      <c:catAx>
        <c:axId val="14783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874944"/>
        <c:crosses val="autoZero"/>
        <c:auto val="1"/>
        <c:lblAlgn val="ctr"/>
        <c:lblOffset val="100"/>
        <c:noMultiLvlLbl val="0"/>
      </c:catAx>
      <c:valAx>
        <c:axId val="147874944"/>
        <c:scaling>
          <c:orientation val="minMax"/>
        </c:scaling>
        <c:delete val="1"/>
        <c:axPos val="l"/>
        <c:numFmt formatCode="#\ ##0.0_ ;[Red]\-#\ ##0.0\ " sourceLinked="1"/>
        <c:majorTickMark val="none"/>
        <c:minorTickMark val="none"/>
        <c:tickLblPos val="none"/>
        <c:crossAx val="147832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'Столица 2022'!$B$1</c:f>
              <c:strCache>
                <c:ptCount val="1"/>
                <c:pt idx="0">
                  <c:v>2021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'Столица 2022'!$A$2:$A$3</c:f>
              <c:strCache>
                <c:ptCount val="2"/>
                <c:pt idx="0">
                  <c:v>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c:v>
                </c:pt>
                <c:pt idx="1">
                  <c:v>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c:v>
                </c:pt>
              </c:strCache>
            </c:strRef>
          </c:cat>
          <c:val>
            <c:numRef>
              <c:f>'Столица 2022'!$B$2:$B$3</c:f>
              <c:numCache>
                <c:formatCode>#\ ##0.0;[Red]\-#\ ##0.0;0.0</c:formatCode>
                <c:ptCount val="2"/>
                <c:pt idx="0">
                  <c:v>16714.2</c:v>
                </c:pt>
                <c:pt idx="1">
                  <c:v>437831.3</c:v>
                </c:pt>
              </c:numCache>
            </c:numRef>
          </c:val>
        </c:ser>
        <c:ser>
          <c:idx val="1"/>
          <c:order val="1"/>
          <c:tx>
            <c:strRef>
              <c:f>'Столица 2022'!$C$1</c:f>
              <c:strCache>
                <c:ptCount val="1"/>
                <c:pt idx="0">
                  <c:v>2022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'Столица 2022'!$A$2:$A$3</c:f>
              <c:strCache>
                <c:ptCount val="2"/>
                <c:pt idx="0">
                  <c:v>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c:v>
                </c:pt>
                <c:pt idx="1">
                  <c:v>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c:v>
                </c:pt>
              </c:strCache>
            </c:strRef>
          </c:cat>
          <c:val>
            <c:numRef>
              <c:f>'Столица 2022'!$C$2:$C$3</c:f>
              <c:numCache>
                <c:formatCode>#\ ##0.0;[Red]\-#\ ##0.0;0.0</c:formatCode>
                <c:ptCount val="2"/>
                <c:pt idx="0">
                  <c:v>19923.900000000001</c:v>
                </c:pt>
                <c:pt idx="1">
                  <c:v>434621.6</c:v>
                </c:pt>
              </c:numCache>
            </c:numRef>
          </c:val>
        </c:ser>
        <c:ser>
          <c:idx val="2"/>
          <c:order val="2"/>
          <c:tx>
            <c:strRef>
              <c:f>'Столица 2022'!$D$1</c:f>
              <c:strCache>
                <c:ptCount val="1"/>
                <c:pt idx="0">
                  <c:v>2022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'Столица 2022'!$A$2:$A$3</c:f>
              <c:strCache>
                <c:ptCount val="2"/>
                <c:pt idx="0">
                  <c:v>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c:v>
                </c:pt>
                <c:pt idx="1">
                  <c:v>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c:v>
                </c:pt>
              </c:strCache>
            </c:strRef>
          </c:cat>
          <c:val>
            <c:numRef>
              <c:f>'Столица 2022'!$D$2:$D$3</c:f>
              <c:numCache>
                <c:formatCode>#\ ##0.0;[Red]\-#\ ##0.0;0.0</c:formatCode>
                <c:ptCount val="2"/>
                <c:pt idx="0">
                  <c:v>19923.900000000001</c:v>
                </c:pt>
                <c:pt idx="1">
                  <c:v>434621.6</c:v>
                </c:pt>
              </c:numCache>
            </c:numRef>
          </c:val>
        </c:ser>
        <c:dLbls>
          <c:showLegendKey val="0"/>
          <c:showVal val="0"/>
          <c:showCatName val="0"/>
          <c:showSerName val="0"/>
          <c:showPercent val="0"/>
          <c:showBubbleSize val="0"/>
        </c:dLbls>
        <c:gapWidth val="182"/>
        <c:axId val="148626048"/>
        <c:axId val="148710528"/>
      </c:barChart>
      <c:catAx>
        <c:axId val="148626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710528"/>
        <c:crosses val="autoZero"/>
        <c:auto val="1"/>
        <c:lblAlgn val="ctr"/>
        <c:lblOffset val="100"/>
        <c:noMultiLvlLbl val="0"/>
      </c:catAx>
      <c:valAx>
        <c:axId val="148710528"/>
        <c:scaling>
          <c:orientation val="minMax"/>
        </c:scaling>
        <c:delete val="1"/>
        <c:axPos val="b"/>
        <c:numFmt formatCode="#\ ##0.0;[Red]\-#\ ##0.0;0.0" sourceLinked="1"/>
        <c:majorTickMark val="none"/>
        <c:minorTickMark val="none"/>
        <c:tickLblPos val="none"/>
        <c:crossAx val="14862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F7C5A6-6BC8-487A-BD43-743A7C84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9968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Серебренникова Елена Геннадьевна</cp:lastModifiedBy>
  <cp:revision>2</cp:revision>
  <cp:lastPrinted>2023-03-31T07:21:00Z</cp:lastPrinted>
  <dcterms:created xsi:type="dcterms:W3CDTF">2023-04-10T12:02:00Z</dcterms:created>
  <dcterms:modified xsi:type="dcterms:W3CDTF">2023-04-10T12:02:00Z</dcterms:modified>
</cp:coreProperties>
</file>