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E7" w:rsidRPr="00F07DD4" w:rsidRDefault="00EC27E7" w:rsidP="00EC27E7">
      <w:pPr>
        <w:keepNext/>
        <w:keepLines/>
        <w:spacing w:after="0" w:line="240" w:lineRule="auto"/>
        <w:ind w:right="424"/>
        <w:jc w:val="center"/>
        <w:outlineLvl w:val="0"/>
        <w:rPr>
          <w:rFonts w:eastAsiaTheme="majorEastAsia"/>
          <w:b/>
          <w:bCs/>
          <w:color w:val="C45911" w:themeColor="accent2" w:themeShade="BF"/>
          <w:sz w:val="32"/>
          <w:szCs w:val="32"/>
        </w:rPr>
      </w:pPr>
      <w:bookmarkStart w:id="0" w:name="_Toc131164265"/>
      <w:bookmarkStart w:id="1" w:name="_Toc130222741"/>
      <w:bookmarkStart w:id="2" w:name="_Toc161322871"/>
      <w:r w:rsidRPr="00F07DD4">
        <w:rPr>
          <w:rFonts w:eastAsiaTheme="majorEastAsia"/>
          <w:b/>
          <w:bCs/>
          <w:color w:val="C45911" w:themeColor="accent2" w:themeShade="BF"/>
          <w:sz w:val="32"/>
          <w:szCs w:val="32"/>
        </w:rPr>
        <w:t>3.10. Муниципальная программа</w:t>
      </w:r>
      <w:bookmarkEnd w:id="0"/>
      <w:r w:rsidRPr="00F07DD4">
        <w:rPr>
          <w:rFonts w:eastAsiaTheme="majorEastAsia"/>
          <w:b/>
          <w:bCs/>
          <w:color w:val="C45911" w:themeColor="accent2" w:themeShade="BF"/>
          <w:sz w:val="32"/>
          <w:szCs w:val="32"/>
        </w:rPr>
        <w:t xml:space="preserve"> </w:t>
      </w:r>
      <w:bookmarkStart w:id="3" w:name="_Toc131164266"/>
      <w:r w:rsidRPr="00F07DD4">
        <w:rPr>
          <w:rFonts w:eastAsiaTheme="majorEastAsia"/>
          <w:b/>
          <w:bCs/>
          <w:color w:val="C45911" w:themeColor="accent2" w:themeShade="BF"/>
          <w:sz w:val="32"/>
          <w:szCs w:val="32"/>
        </w:rPr>
        <w:t>«Осуществление городом Ханты-Мансийском функций административного центра Ханты-Мансийского автономного округа – Югры»</w:t>
      </w:r>
      <w:bookmarkEnd w:id="1"/>
      <w:bookmarkEnd w:id="2"/>
      <w:bookmarkEnd w:id="3"/>
    </w:p>
    <w:p w:rsidR="00EC27E7" w:rsidRPr="00F07DD4" w:rsidRDefault="00EC27E7" w:rsidP="00EC27E7">
      <w:pPr>
        <w:spacing w:after="0"/>
        <w:rPr>
          <w:sz w:val="28"/>
          <w:szCs w:val="28"/>
        </w:rPr>
      </w:pPr>
    </w:p>
    <w:p w:rsidR="00EC27E7" w:rsidRPr="00F07DD4" w:rsidRDefault="00EC27E7" w:rsidP="00EC27E7">
      <w:pPr>
        <w:spacing w:after="0"/>
        <w:ind w:firstLine="709"/>
        <w:jc w:val="both"/>
        <w:rPr>
          <w:sz w:val="28"/>
          <w:szCs w:val="28"/>
          <w:lang w:eastAsia="en-US"/>
        </w:rPr>
      </w:pPr>
      <w:r w:rsidRPr="00F07DD4">
        <w:rPr>
          <w:sz w:val="28"/>
          <w:szCs w:val="28"/>
          <w:lang w:eastAsia="en-US"/>
        </w:rPr>
        <w:t xml:space="preserve">Муниципальная программа «Осуществление городом                           Ханты-Мансийском функций административного центра Ханты-Мансийского автономного округа – Югры» </w:t>
      </w:r>
      <w:r w:rsidRPr="00F07DD4">
        <w:rPr>
          <w:rFonts w:eastAsia="Calibri"/>
          <w:sz w:val="28"/>
          <w:szCs w:val="28"/>
          <w:lang w:eastAsia="en-US"/>
        </w:rPr>
        <w:t xml:space="preserve">утверждена постановлением Администрации города Ханты-Мансийска </w:t>
      </w:r>
      <w:r w:rsidRPr="00F07DD4">
        <w:rPr>
          <w:sz w:val="28"/>
          <w:szCs w:val="28"/>
          <w:lang w:eastAsia="en-US"/>
        </w:rPr>
        <w:t xml:space="preserve">от 13.02.2015 </w:t>
      </w:r>
      <w:r w:rsidRPr="00F07DD4">
        <w:rPr>
          <w:rFonts w:eastAsia="Calibri"/>
          <w:sz w:val="28"/>
          <w:szCs w:val="28"/>
          <w:lang w:eastAsia="en-US"/>
        </w:rPr>
        <w:t xml:space="preserve">года </w:t>
      </w:r>
      <w:r w:rsidRPr="00F07DD4">
        <w:rPr>
          <w:sz w:val="28"/>
          <w:szCs w:val="28"/>
          <w:lang w:eastAsia="en-US"/>
        </w:rPr>
        <w:t>№ 359 (далее – муниципальная программа).</w:t>
      </w:r>
    </w:p>
    <w:p w:rsidR="00EC27E7" w:rsidRPr="00F07DD4" w:rsidRDefault="00EC27E7" w:rsidP="00EC27E7">
      <w:pPr>
        <w:spacing w:after="0"/>
        <w:ind w:firstLine="709"/>
        <w:jc w:val="both"/>
        <w:rPr>
          <w:sz w:val="28"/>
          <w:szCs w:val="28"/>
          <w:lang w:eastAsia="en-US"/>
        </w:rPr>
      </w:pPr>
      <w:r w:rsidRPr="00F07DD4">
        <w:rPr>
          <w:sz w:val="28"/>
          <w:szCs w:val="28"/>
          <w:lang w:eastAsia="en-US"/>
        </w:rPr>
        <w:t>Разработчиком и координатором муниципальной программы является управление экономического развития и инвестиций Администрации города Ханты-Мансийска.</w:t>
      </w:r>
    </w:p>
    <w:p w:rsidR="00EC27E7" w:rsidRPr="00F07DD4" w:rsidRDefault="00EC27E7" w:rsidP="00EC27E7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7DD4">
        <w:rPr>
          <w:rFonts w:eastAsia="Calibri"/>
          <w:sz w:val="28"/>
          <w:szCs w:val="28"/>
          <w:lang w:eastAsia="en-US"/>
        </w:rPr>
        <w:t>Целью муниципальной программы является:</w:t>
      </w:r>
    </w:p>
    <w:p w:rsidR="00EC27E7" w:rsidRPr="00F07DD4" w:rsidRDefault="00EC27E7" w:rsidP="00EC27E7">
      <w:pPr>
        <w:spacing w:after="0"/>
        <w:ind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Обеспечение исполнения городом Ханты-Мансийском функций административного центра Ханты-Мансийского автономного округа – Югры.</w:t>
      </w:r>
    </w:p>
    <w:p w:rsidR="00EC27E7" w:rsidRPr="00F07DD4" w:rsidRDefault="00EC27E7" w:rsidP="00EC27E7">
      <w:pPr>
        <w:spacing w:after="0"/>
        <w:ind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 xml:space="preserve">Задачи муниципальной программы: </w:t>
      </w:r>
    </w:p>
    <w:p w:rsidR="00EC27E7" w:rsidRPr="00F07DD4" w:rsidRDefault="00EC27E7" w:rsidP="00EC27E7">
      <w:pPr>
        <w:spacing w:after="0"/>
        <w:ind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– Югры.</w:t>
      </w:r>
    </w:p>
    <w:p w:rsidR="00EC27E7" w:rsidRPr="00F07DD4" w:rsidRDefault="00EC27E7" w:rsidP="00EC27E7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Общий объем финансирования на 2023 год составляет 454 545,5 тыс. рублей, в том числе средства окружного бюджета – 450 000,0 тыс. рублей, средства бюджета города Ханты-Мансийска – 4 545,5 тыс. рублей.</w:t>
      </w:r>
    </w:p>
    <w:p w:rsidR="00EC27E7" w:rsidRPr="00F07DD4" w:rsidRDefault="00EC27E7" w:rsidP="00EC27E7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F07DD4">
        <w:rPr>
          <w:sz w:val="28"/>
          <w:szCs w:val="28"/>
        </w:rPr>
        <w:t xml:space="preserve">Исполнение </w:t>
      </w:r>
      <w:r w:rsidRPr="00F07DD4">
        <w:rPr>
          <w:bCs/>
          <w:sz w:val="28"/>
          <w:szCs w:val="28"/>
        </w:rPr>
        <w:t>муниципальной программы</w:t>
      </w:r>
      <w:r w:rsidRPr="00F07DD4">
        <w:rPr>
          <w:sz w:val="28"/>
          <w:szCs w:val="28"/>
        </w:rPr>
        <w:t xml:space="preserve"> на отчетную дату составляет 454 545,5 тыс. рублей или 100 % от годового объема финансирования. </w:t>
      </w:r>
    </w:p>
    <w:p w:rsidR="00EC27E7" w:rsidRPr="00F07DD4" w:rsidRDefault="00EC27E7" w:rsidP="00EC27E7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  <w:highlight w:val="yellow"/>
        </w:rPr>
      </w:pPr>
    </w:p>
    <w:p w:rsidR="00EC27E7" w:rsidRPr="00F07DD4" w:rsidRDefault="00EC27E7" w:rsidP="00EC27E7">
      <w:pPr>
        <w:spacing w:after="0"/>
        <w:ind w:right="424" w:firstLine="708"/>
        <w:rPr>
          <w:sz w:val="24"/>
          <w:szCs w:val="24"/>
        </w:rPr>
      </w:pPr>
      <w:r w:rsidRPr="00F07DD4">
        <w:rPr>
          <w:sz w:val="24"/>
          <w:szCs w:val="24"/>
        </w:rPr>
        <w:t>Рисунок 3.10.1.</w:t>
      </w:r>
    </w:p>
    <w:p w:rsidR="00EC27E7" w:rsidRPr="00F07DD4" w:rsidRDefault="00EC27E7" w:rsidP="00EC27E7">
      <w:pPr>
        <w:autoSpaceDE w:val="0"/>
        <w:autoSpaceDN w:val="0"/>
        <w:adjustRightInd w:val="0"/>
        <w:spacing w:after="0"/>
        <w:ind w:right="424" w:firstLine="709"/>
        <w:jc w:val="center"/>
        <w:rPr>
          <w:b/>
          <w:bCs/>
          <w:sz w:val="28"/>
          <w:szCs w:val="28"/>
        </w:rPr>
      </w:pPr>
      <w:r w:rsidRPr="00F07DD4">
        <w:rPr>
          <w:b/>
          <w:sz w:val="28"/>
          <w:szCs w:val="28"/>
        </w:rPr>
        <w:t xml:space="preserve">Объёмы ассигнований на реализацию муниципальной программы </w:t>
      </w:r>
      <w:r w:rsidRPr="00F07DD4">
        <w:rPr>
          <w:b/>
          <w:bCs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</w:t>
      </w:r>
    </w:p>
    <w:p w:rsidR="00EC27E7" w:rsidRPr="00F07DD4" w:rsidRDefault="00EC27E7" w:rsidP="00EC27E7">
      <w:pPr>
        <w:autoSpaceDE w:val="0"/>
        <w:autoSpaceDN w:val="0"/>
        <w:adjustRightInd w:val="0"/>
        <w:spacing w:after="0"/>
        <w:ind w:right="424" w:firstLine="709"/>
        <w:jc w:val="center"/>
        <w:rPr>
          <w:b/>
          <w:bCs/>
          <w:sz w:val="28"/>
          <w:szCs w:val="28"/>
        </w:rPr>
      </w:pPr>
      <w:r w:rsidRPr="00F07DD4">
        <w:rPr>
          <w:b/>
          <w:bCs/>
          <w:sz w:val="28"/>
          <w:szCs w:val="28"/>
        </w:rPr>
        <w:t xml:space="preserve"> округа – Югры», тыс. рублей.</w:t>
      </w:r>
    </w:p>
    <w:p w:rsidR="00EC27E7" w:rsidRPr="00F07DD4" w:rsidRDefault="00EC27E7" w:rsidP="00EC27E7">
      <w:pPr>
        <w:autoSpaceDE w:val="0"/>
        <w:autoSpaceDN w:val="0"/>
        <w:adjustRightInd w:val="0"/>
        <w:spacing w:after="0"/>
        <w:ind w:right="424"/>
        <w:jc w:val="center"/>
        <w:rPr>
          <w:bCs/>
          <w:sz w:val="28"/>
          <w:szCs w:val="28"/>
          <w:highlight w:val="yellow"/>
        </w:rPr>
      </w:pPr>
      <w:r w:rsidRPr="00F07DD4">
        <w:rPr>
          <w:noProof/>
        </w:rPr>
        <w:drawing>
          <wp:inline distT="0" distB="0" distL="0" distR="0" wp14:anchorId="764F5757" wp14:editId="5CD69E36">
            <wp:extent cx="5939790" cy="1597660"/>
            <wp:effectExtent l="0" t="0" r="3810" b="2540"/>
            <wp:docPr id="673" name="Диаграмма 6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C27E7" w:rsidRPr="00F07DD4" w:rsidRDefault="00EC27E7" w:rsidP="00EC27E7">
      <w:pPr>
        <w:tabs>
          <w:tab w:val="left" w:pos="0"/>
        </w:tabs>
        <w:suppressAutoHyphens/>
        <w:spacing w:after="0" w:line="360" w:lineRule="auto"/>
        <w:ind w:right="-2" w:firstLine="709"/>
        <w:jc w:val="left"/>
        <w:rPr>
          <w:sz w:val="28"/>
          <w:szCs w:val="28"/>
        </w:rPr>
      </w:pPr>
      <w:r w:rsidRPr="00F07DD4">
        <w:rPr>
          <w:sz w:val="28"/>
          <w:szCs w:val="28"/>
        </w:rPr>
        <w:lastRenderedPageBreak/>
        <w:t>Объемы бюджетных ассигнований распределены следующим образом:</w:t>
      </w:r>
    </w:p>
    <w:p w:rsidR="00EC27E7" w:rsidRPr="00F07DD4" w:rsidRDefault="00EC27E7" w:rsidP="00EC27E7">
      <w:pPr>
        <w:tabs>
          <w:tab w:val="left" w:pos="8647"/>
        </w:tabs>
        <w:ind w:right="-2"/>
        <w:rPr>
          <w:sz w:val="24"/>
          <w:szCs w:val="24"/>
        </w:rPr>
      </w:pPr>
      <w:r w:rsidRPr="00F07DD4">
        <w:rPr>
          <w:sz w:val="24"/>
          <w:szCs w:val="24"/>
        </w:rPr>
        <w:t>Таблица 3.10.1.</w:t>
      </w:r>
    </w:p>
    <w:p w:rsidR="00EC27E7" w:rsidRPr="00F07DD4" w:rsidRDefault="00EC27E7" w:rsidP="00EC27E7">
      <w:pPr>
        <w:tabs>
          <w:tab w:val="left" w:pos="459"/>
          <w:tab w:val="left" w:pos="8647"/>
        </w:tabs>
        <w:suppressAutoHyphens/>
        <w:spacing w:after="0"/>
        <w:ind w:right="-2"/>
        <w:jc w:val="center"/>
        <w:rPr>
          <w:b/>
          <w:sz w:val="28"/>
          <w:szCs w:val="28"/>
        </w:rPr>
      </w:pPr>
      <w:r w:rsidRPr="00F07DD4">
        <w:rPr>
          <w:b/>
          <w:sz w:val="28"/>
          <w:szCs w:val="28"/>
        </w:rPr>
        <w:t xml:space="preserve">Объем бюджетных ассигнований за 2023 год по основному исполнителю и соисполнителям муниципальной программы «Осуществление городом Ханты-Мансийском функций административного центра </w:t>
      </w:r>
    </w:p>
    <w:p w:rsidR="00EC27E7" w:rsidRPr="00F07DD4" w:rsidRDefault="00EC27E7" w:rsidP="00EC27E7">
      <w:pPr>
        <w:tabs>
          <w:tab w:val="left" w:pos="459"/>
          <w:tab w:val="left" w:pos="8647"/>
        </w:tabs>
        <w:suppressAutoHyphens/>
        <w:spacing w:after="0"/>
        <w:ind w:right="-2"/>
        <w:jc w:val="center"/>
        <w:rPr>
          <w:b/>
          <w:sz w:val="28"/>
          <w:szCs w:val="28"/>
        </w:rPr>
      </w:pPr>
      <w:r w:rsidRPr="00F07DD4">
        <w:rPr>
          <w:b/>
          <w:sz w:val="28"/>
          <w:szCs w:val="28"/>
        </w:rPr>
        <w:t>Ханты-Мансийского автономного округа – Югры»</w:t>
      </w:r>
    </w:p>
    <w:p w:rsidR="00EC27E7" w:rsidRPr="00F07DD4" w:rsidRDefault="00EC27E7" w:rsidP="00EC27E7">
      <w:pPr>
        <w:tabs>
          <w:tab w:val="left" w:pos="459"/>
          <w:tab w:val="left" w:pos="8647"/>
        </w:tabs>
        <w:suppressAutoHyphens/>
        <w:spacing w:after="0" w:line="360" w:lineRule="auto"/>
        <w:ind w:right="-2"/>
        <w:rPr>
          <w:sz w:val="24"/>
          <w:szCs w:val="24"/>
        </w:rPr>
      </w:pPr>
      <w:r w:rsidRPr="00F07DD4">
        <w:rPr>
          <w:sz w:val="20"/>
          <w:szCs w:val="20"/>
        </w:rPr>
        <w:t xml:space="preserve"> </w:t>
      </w:r>
      <w:r w:rsidRPr="00F07DD4">
        <w:rPr>
          <w:sz w:val="24"/>
          <w:szCs w:val="24"/>
        </w:rPr>
        <w:t>(тыс. рублей)</w:t>
      </w:r>
    </w:p>
    <w:tbl>
      <w:tblPr>
        <w:tblW w:w="9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1447"/>
        <w:gridCol w:w="1305"/>
        <w:gridCol w:w="1276"/>
      </w:tblGrid>
      <w:tr w:rsidR="00EC27E7" w:rsidRPr="00F07DD4" w:rsidTr="00CA1120">
        <w:trPr>
          <w:trHeight w:val="300"/>
          <w:tblHeader/>
        </w:trPr>
        <w:tc>
          <w:tcPr>
            <w:tcW w:w="567" w:type="dxa"/>
            <w:vMerge w:val="restart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ind w:right="424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 xml:space="preserve">2022 год  </w:t>
            </w:r>
          </w:p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 xml:space="preserve">   (отчет)</w:t>
            </w:r>
          </w:p>
        </w:tc>
        <w:tc>
          <w:tcPr>
            <w:tcW w:w="4028" w:type="dxa"/>
            <w:gridSpan w:val="3"/>
            <w:shd w:val="clear" w:color="auto" w:fill="auto"/>
            <w:noWrap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 xml:space="preserve">2023 год </w:t>
            </w:r>
          </w:p>
        </w:tc>
      </w:tr>
      <w:tr w:rsidR="00EC27E7" w:rsidRPr="00F07DD4" w:rsidTr="00CA1120">
        <w:trPr>
          <w:trHeight w:val="475"/>
          <w:tblHeader/>
        </w:trPr>
        <w:tc>
          <w:tcPr>
            <w:tcW w:w="567" w:type="dxa"/>
            <w:vMerge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ind w:right="4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305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EC27E7" w:rsidRPr="00F07DD4" w:rsidTr="00CA1120">
        <w:trPr>
          <w:trHeight w:val="300"/>
        </w:trPr>
        <w:tc>
          <w:tcPr>
            <w:tcW w:w="567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ind w:right="4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EC27E7" w:rsidRPr="00F07DD4" w:rsidRDefault="00EC27E7" w:rsidP="00CA1120">
            <w:pPr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454 545,5</w:t>
            </w:r>
          </w:p>
        </w:tc>
        <w:tc>
          <w:tcPr>
            <w:tcW w:w="1447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454 545,5</w:t>
            </w:r>
          </w:p>
        </w:tc>
        <w:tc>
          <w:tcPr>
            <w:tcW w:w="1305" w:type="dxa"/>
            <w:shd w:val="clear" w:color="auto" w:fill="auto"/>
          </w:tcPr>
          <w:p w:rsidR="00EC27E7" w:rsidRPr="00F07DD4" w:rsidRDefault="00EC27E7" w:rsidP="00CA1120">
            <w:pPr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454 545,5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100%</w:t>
            </w:r>
          </w:p>
        </w:tc>
      </w:tr>
      <w:tr w:rsidR="00EC27E7" w:rsidRPr="00F07DD4" w:rsidTr="00CA1120">
        <w:trPr>
          <w:trHeight w:val="653"/>
        </w:trPr>
        <w:tc>
          <w:tcPr>
            <w:tcW w:w="567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ind w:right="424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left"/>
              <w:rPr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 xml:space="preserve">МКУ «Управление капитального строительства города </w:t>
            </w:r>
          </w:p>
          <w:p w:rsidR="00EC27E7" w:rsidRPr="00F07DD4" w:rsidRDefault="00EC27E7" w:rsidP="00CA1120">
            <w:pPr>
              <w:spacing w:after="0" w:line="240" w:lineRule="auto"/>
              <w:ind w:right="34"/>
              <w:jc w:val="left"/>
              <w:rPr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Ханты-Мансийска»</w:t>
            </w:r>
          </w:p>
        </w:tc>
        <w:tc>
          <w:tcPr>
            <w:tcW w:w="1134" w:type="dxa"/>
            <w:shd w:val="clear" w:color="auto" w:fill="auto"/>
            <w:hideMark/>
          </w:tcPr>
          <w:p w:rsidR="00EC27E7" w:rsidRPr="00F07DD4" w:rsidRDefault="00EC27E7" w:rsidP="00CA1120">
            <w:pPr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15 258,8</w:t>
            </w:r>
          </w:p>
        </w:tc>
        <w:tc>
          <w:tcPr>
            <w:tcW w:w="1447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EC27E7" w:rsidRPr="00F07DD4" w:rsidRDefault="00EC27E7" w:rsidP="00CA1120">
            <w:pPr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0%</w:t>
            </w:r>
          </w:p>
        </w:tc>
      </w:tr>
      <w:tr w:rsidR="00EC27E7" w:rsidRPr="00F07DD4" w:rsidTr="00CA1120">
        <w:trPr>
          <w:trHeight w:val="531"/>
        </w:trPr>
        <w:tc>
          <w:tcPr>
            <w:tcW w:w="567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ind w:right="424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left"/>
              <w:rPr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hideMark/>
          </w:tcPr>
          <w:p w:rsidR="00EC27E7" w:rsidRPr="00F07DD4" w:rsidRDefault="00EC27E7" w:rsidP="00CA1120">
            <w:pPr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60 929,9</w:t>
            </w:r>
          </w:p>
        </w:tc>
        <w:tc>
          <w:tcPr>
            <w:tcW w:w="1447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54 781,9</w:t>
            </w:r>
          </w:p>
        </w:tc>
        <w:tc>
          <w:tcPr>
            <w:tcW w:w="1305" w:type="dxa"/>
            <w:shd w:val="clear" w:color="auto" w:fill="auto"/>
          </w:tcPr>
          <w:p w:rsidR="00EC27E7" w:rsidRPr="00F07DD4" w:rsidRDefault="00EC27E7" w:rsidP="00CA1120">
            <w:pPr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54 781,9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100%</w:t>
            </w:r>
          </w:p>
        </w:tc>
      </w:tr>
      <w:tr w:rsidR="00EC27E7" w:rsidRPr="00F07DD4" w:rsidTr="00CA1120">
        <w:trPr>
          <w:trHeight w:val="315"/>
        </w:trPr>
        <w:tc>
          <w:tcPr>
            <w:tcW w:w="567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ind w:right="424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left"/>
              <w:rPr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МКУ «Служба муниципального заказа в ЖКХ»</w:t>
            </w:r>
          </w:p>
        </w:tc>
        <w:tc>
          <w:tcPr>
            <w:tcW w:w="1134" w:type="dxa"/>
            <w:shd w:val="clear" w:color="auto" w:fill="auto"/>
            <w:hideMark/>
          </w:tcPr>
          <w:p w:rsidR="00EC27E7" w:rsidRPr="00F07DD4" w:rsidRDefault="00EC27E7" w:rsidP="00CA1120">
            <w:pPr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378 206,3</w:t>
            </w:r>
          </w:p>
        </w:tc>
        <w:tc>
          <w:tcPr>
            <w:tcW w:w="1447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399 613,6</w:t>
            </w:r>
          </w:p>
        </w:tc>
        <w:tc>
          <w:tcPr>
            <w:tcW w:w="1305" w:type="dxa"/>
            <w:shd w:val="clear" w:color="auto" w:fill="auto"/>
          </w:tcPr>
          <w:p w:rsidR="00EC27E7" w:rsidRPr="00F07DD4" w:rsidRDefault="00EC27E7" w:rsidP="00CA1120">
            <w:pPr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399 613,6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100%</w:t>
            </w:r>
          </w:p>
        </w:tc>
      </w:tr>
      <w:tr w:rsidR="00EC27E7" w:rsidRPr="00F07DD4" w:rsidTr="00CA1120">
        <w:trPr>
          <w:trHeight w:val="315"/>
        </w:trPr>
        <w:tc>
          <w:tcPr>
            <w:tcW w:w="567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ind w:right="424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left"/>
              <w:rPr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 xml:space="preserve">Управление физической культуры, спорта и молодежной политики Администрации города </w:t>
            </w:r>
          </w:p>
          <w:p w:rsidR="00EC27E7" w:rsidRPr="00F07DD4" w:rsidRDefault="00EC27E7" w:rsidP="00CA1120">
            <w:pPr>
              <w:spacing w:after="0" w:line="240" w:lineRule="auto"/>
              <w:ind w:right="34"/>
              <w:jc w:val="left"/>
              <w:rPr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Ханты-Мансийска</w:t>
            </w:r>
          </w:p>
        </w:tc>
        <w:tc>
          <w:tcPr>
            <w:tcW w:w="1134" w:type="dxa"/>
            <w:shd w:val="clear" w:color="auto" w:fill="auto"/>
            <w:hideMark/>
          </w:tcPr>
          <w:p w:rsidR="00EC27E7" w:rsidRPr="00F07DD4" w:rsidRDefault="00EC27E7" w:rsidP="00CA1120">
            <w:pPr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150,5</w:t>
            </w:r>
          </w:p>
        </w:tc>
        <w:tc>
          <w:tcPr>
            <w:tcW w:w="1447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150,0</w:t>
            </w:r>
          </w:p>
        </w:tc>
        <w:tc>
          <w:tcPr>
            <w:tcW w:w="1305" w:type="dxa"/>
            <w:shd w:val="clear" w:color="auto" w:fill="auto"/>
          </w:tcPr>
          <w:p w:rsidR="00EC27E7" w:rsidRPr="00F07DD4" w:rsidRDefault="00EC27E7" w:rsidP="00CA1120">
            <w:pPr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100%</w:t>
            </w:r>
          </w:p>
        </w:tc>
      </w:tr>
    </w:tbl>
    <w:p w:rsidR="00EC27E7" w:rsidRPr="00F07DD4" w:rsidRDefault="00EC27E7" w:rsidP="00EC27E7">
      <w:pPr>
        <w:tabs>
          <w:tab w:val="left" w:pos="0"/>
        </w:tabs>
        <w:suppressAutoHyphens/>
        <w:spacing w:after="0" w:line="360" w:lineRule="auto"/>
        <w:ind w:right="424" w:firstLine="709"/>
        <w:jc w:val="both"/>
        <w:rPr>
          <w:highlight w:val="yellow"/>
        </w:rPr>
      </w:pPr>
    </w:p>
    <w:p w:rsidR="00EC27E7" w:rsidRPr="00F07DD4" w:rsidRDefault="00EC27E7" w:rsidP="00EC27E7">
      <w:pPr>
        <w:tabs>
          <w:tab w:val="left" w:pos="8505"/>
        </w:tabs>
        <w:autoSpaceDE w:val="0"/>
        <w:autoSpaceDN w:val="0"/>
        <w:adjustRightInd w:val="0"/>
        <w:spacing w:after="0"/>
        <w:ind w:right="-2" w:firstLine="708"/>
        <w:rPr>
          <w:sz w:val="24"/>
          <w:szCs w:val="24"/>
        </w:rPr>
      </w:pPr>
      <w:r w:rsidRPr="00F07DD4">
        <w:rPr>
          <w:sz w:val="24"/>
          <w:szCs w:val="24"/>
        </w:rPr>
        <w:t>Рисунок 3.10.2.</w:t>
      </w:r>
    </w:p>
    <w:p w:rsidR="00EC27E7" w:rsidRPr="00F07DD4" w:rsidRDefault="00EC27E7" w:rsidP="00EC27E7">
      <w:pPr>
        <w:tabs>
          <w:tab w:val="left" w:pos="8505"/>
        </w:tabs>
        <w:autoSpaceDE w:val="0"/>
        <w:autoSpaceDN w:val="0"/>
        <w:adjustRightInd w:val="0"/>
        <w:spacing w:after="0"/>
        <w:ind w:right="-2" w:firstLine="708"/>
        <w:rPr>
          <w:sz w:val="24"/>
          <w:szCs w:val="24"/>
        </w:rPr>
      </w:pPr>
    </w:p>
    <w:p w:rsidR="00EC27E7" w:rsidRPr="00F07DD4" w:rsidRDefault="00EC27E7" w:rsidP="00EC27E7">
      <w:pPr>
        <w:tabs>
          <w:tab w:val="left" w:pos="459"/>
          <w:tab w:val="left" w:pos="8505"/>
        </w:tabs>
        <w:suppressAutoHyphens/>
        <w:spacing w:after="0"/>
        <w:ind w:right="-2"/>
        <w:jc w:val="center"/>
        <w:rPr>
          <w:b/>
          <w:sz w:val="28"/>
          <w:szCs w:val="28"/>
        </w:rPr>
      </w:pPr>
      <w:r w:rsidRPr="00F07DD4">
        <w:rPr>
          <w:b/>
          <w:sz w:val="28"/>
          <w:szCs w:val="28"/>
        </w:rPr>
        <w:t>Структура расходов муниципальной программы «Осуществление городом Ханты-Мансийском функций административного центра Ханты-Мансийского автономного округа – Югры», тыс. рублей</w:t>
      </w:r>
    </w:p>
    <w:p w:rsidR="00EC27E7" w:rsidRPr="00F07DD4" w:rsidRDefault="00EC27E7" w:rsidP="00EC27E7">
      <w:pPr>
        <w:ind w:right="424"/>
        <w:jc w:val="center"/>
        <w:rPr>
          <w:sz w:val="24"/>
          <w:szCs w:val="24"/>
          <w:highlight w:val="yellow"/>
        </w:rPr>
      </w:pPr>
      <w:r w:rsidRPr="00F07DD4">
        <w:rPr>
          <w:noProof/>
        </w:rPr>
        <w:drawing>
          <wp:inline distT="0" distB="0" distL="0" distR="0" wp14:anchorId="30807654" wp14:editId="4B483FE5">
            <wp:extent cx="5939790" cy="3125470"/>
            <wp:effectExtent l="0" t="0" r="3810" b="0"/>
            <wp:docPr id="674" name="Диаграмма 6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27E7" w:rsidRPr="00F07DD4" w:rsidRDefault="00EC27E7" w:rsidP="00EC27E7">
      <w:pPr>
        <w:ind w:right="-2"/>
        <w:rPr>
          <w:sz w:val="24"/>
          <w:szCs w:val="24"/>
        </w:rPr>
      </w:pPr>
      <w:r w:rsidRPr="00F07DD4">
        <w:rPr>
          <w:sz w:val="24"/>
          <w:szCs w:val="24"/>
        </w:rPr>
        <w:t>Таблица 3.10.2.</w:t>
      </w:r>
    </w:p>
    <w:p w:rsidR="00EC27E7" w:rsidRPr="00F07DD4" w:rsidRDefault="00EC27E7" w:rsidP="00EC27E7">
      <w:pPr>
        <w:tabs>
          <w:tab w:val="left" w:pos="459"/>
        </w:tabs>
        <w:suppressAutoHyphens/>
        <w:spacing w:after="0"/>
        <w:ind w:right="-2"/>
        <w:jc w:val="center"/>
        <w:rPr>
          <w:b/>
          <w:sz w:val="28"/>
          <w:szCs w:val="28"/>
        </w:rPr>
      </w:pPr>
      <w:r w:rsidRPr="00F07DD4">
        <w:rPr>
          <w:b/>
          <w:sz w:val="28"/>
          <w:szCs w:val="28"/>
        </w:rPr>
        <w:lastRenderedPageBreak/>
        <w:t xml:space="preserve">Структура расходов муниципальной программы «Осуществление городом Ханты-Мансийском функций административного центра Ханты-Мансийского автономного округа – Югры» </w:t>
      </w:r>
    </w:p>
    <w:p w:rsidR="00EC27E7" w:rsidRPr="00F07DD4" w:rsidRDefault="00EC27E7" w:rsidP="00EC27E7">
      <w:pPr>
        <w:tabs>
          <w:tab w:val="left" w:pos="459"/>
        </w:tabs>
        <w:suppressAutoHyphens/>
        <w:spacing w:after="0" w:line="360" w:lineRule="auto"/>
        <w:ind w:right="-2"/>
        <w:rPr>
          <w:sz w:val="24"/>
          <w:szCs w:val="24"/>
        </w:rPr>
      </w:pPr>
      <w:r w:rsidRPr="00F07DD4">
        <w:rPr>
          <w:sz w:val="24"/>
          <w:szCs w:val="24"/>
        </w:rPr>
        <w:t xml:space="preserve"> (тыс. рублей)</w:t>
      </w:r>
    </w:p>
    <w:tbl>
      <w:tblPr>
        <w:tblW w:w="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5"/>
        <w:gridCol w:w="1339"/>
        <w:gridCol w:w="1311"/>
        <w:gridCol w:w="1276"/>
      </w:tblGrid>
      <w:tr w:rsidR="00EC27E7" w:rsidRPr="00F07DD4" w:rsidTr="00CA1120">
        <w:trPr>
          <w:trHeight w:val="300"/>
          <w:tblHeader/>
        </w:trPr>
        <w:tc>
          <w:tcPr>
            <w:tcW w:w="4077" w:type="dxa"/>
            <w:vMerge w:val="restart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2022 год (отчет)</w:t>
            </w:r>
          </w:p>
        </w:tc>
        <w:tc>
          <w:tcPr>
            <w:tcW w:w="3926" w:type="dxa"/>
            <w:gridSpan w:val="3"/>
            <w:shd w:val="clear" w:color="auto" w:fill="auto"/>
            <w:noWrap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 xml:space="preserve">2023 год </w:t>
            </w:r>
          </w:p>
        </w:tc>
      </w:tr>
      <w:tr w:rsidR="00EC27E7" w:rsidRPr="00F07DD4" w:rsidTr="00CA1120">
        <w:trPr>
          <w:trHeight w:val="458"/>
          <w:tblHeader/>
        </w:trPr>
        <w:tc>
          <w:tcPr>
            <w:tcW w:w="4077" w:type="dxa"/>
            <w:vMerge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11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% исполнения</w:t>
            </w:r>
          </w:p>
        </w:tc>
      </w:tr>
      <w:tr w:rsidR="00EC27E7" w:rsidRPr="00F07DD4" w:rsidTr="00CA1120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Всего по муниципальной программе, всего 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454 545,5</w:t>
            </w:r>
          </w:p>
        </w:tc>
        <w:tc>
          <w:tcPr>
            <w:tcW w:w="1339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454 545,5</w:t>
            </w:r>
          </w:p>
        </w:tc>
        <w:tc>
          <w:tcPr>
            <w:tcW w:w="1311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454 545,5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100%</w:t>
            </w:r>
          </w:p>
        </w:tc>
      </w:tr>
      <w:tr w:rsidR="00EC27E7" w:rsidRPr="00F07DD4" w:rsidTr="00CA1120">
        <w:trPr>
          <w:trHeight w:val="273"/>
        </w:trPr>
        <w:tc>
          <w:tcPr>
            <w:tcW w:w="4077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4 545,5</w:t>
            </w:r>
          </w:p>
        </w:tc>
        <w:tc>
          <w:tcPr>
            <w:tcW w:w="1339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4 545,5</w:t>
            </w:r>
          </w:p>
        </w:tc>
        <w:tc>
          <w:tcPr>
            <w:tcW w:w="1311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4 545,5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100%</w:t>
            </w:r>
          </w:p>
        </w:tc>
      </w:tr>
      <w:tr w:rsidR="00EC27E7" w:rsidRPr="00F07DD4" w:rsidTr="00CA1120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5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450 000,0</w:t>
            </w:r>
          </w:p>
        </w:tc>
        <w:tc>
          <w:tcPr>
            <w:tcW w:w="1339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450 000,0</w:t>
            </w:r>
          </w:p>
        </w:tc>
        <w:tc>
          <w:tcPr>
            <w:tcW w:w="1311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450 000,0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100%</w:t>
            </w:r>
          </w:p>
        </w:tc>
      </w:tr>
      <w:tr w:rsidR="00EC27E7" w:rsidRPr="00F07DD4" w:rsidTr="00CA1120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Основное мероприятие «Обеспечение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проведения», всего, 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19 923,9</w:t>
            </w:r>
          </w:p>
        </w:tc>
        <w:tc>
          <w:tcPr>
            <w:tcW w:w="1339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23 418,5</w:t>
            </w:r>
          </w:p>
        </w:tc>
        <w:tc>
          <w:tcPr>
            <w:tcW w:w="1311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23 418,5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100%</w:t>
            </w:r>
          </w:p>
        </w:tc>
      </w:tr>
      <w:tr w:rsidR="00EC27E7" w:rsidRPr="00F07DD4" w:rsidTr="00CA1120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199,2</w:t>
            </w:r>
          </w:p>
        </w:tc>
        <w:tc>
          <w:tcPr>
            <w:tcW w:w="1339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234,2</w:t>
            </w:r>
          </w:p>
        </w:tc>
        <w:tc>
          <w:tcPr>
            <w:tcW w:w="1311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234,2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100%</w:t>
            </w:r>
          </w:p>
        </w:tc>
      </w:tr>
      <w:tr w:rsidR="00EC27E7" w:rsidRPr="00F07DD4" w:rsidTr="00CA1120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5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19 724,7</w:t>
            </w:r>
          </w:p>
        </w:tc>
        <w:tc>
          <w:tcPr>
            <w:tcW w:w="1339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23 184,3</w:t>
            </w:r>
          </w:p>
        </w:tc>
        <w:tc>
          <w:tcPr>
            <w:tcW w:w="1311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23 184,3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100%</w:t>
            </w:r>
          </w:p>
        </w:tc>
      </w:tr>
      <w:tr w:rsidR="00EC27E7" w:rsidRPr="00F07DD4" w:rsidTr="00CA1120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Основное мероприятие «Создание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Югры», всего, 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434 621,6</w:t>
            </w:r>
          </w:p>
        </w:tc>
        <w:tc>
          <w:tcPr>
            <w:tcW w:w="1339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431 127,0</w:t>
            </w:r>
          </w:p>
        </w:tc>
        <w:tc>
          <w:tcPr>
            <w:tcW w:w="1311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431 127,0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100%</w:t>
            </w:r>
          </w:p>
        </w:tc>
      </w:tr>
      <w:tr w:rsidR="00EC27E7" w:rsidRPr="00F07DD4" w:rsidTr="00CA1120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4 346,3</w:t>
            </w:r>
          </w:p>
        </w:tc>
        <w:tc>
          <w:tcPr>
            <w:tcW w:w="1339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4 311,3</w:t>
            </w:r>
          </w:p>
        </w:tc>
        <w:tc>
          <w:tcPr>
            <w:tcW w:w="1311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4 311,3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100%</w:t>
            </w:r>
          </w:p>
        </w:tc>
      </w:tr>
      <w:tr w:rsidR="00EC27E7" w:rsidRPr="00F07DD4" w:rsidTr="00CA1120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F07DD4">
              <w:rPr>
                <w:bCs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5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430 275,3</w:t>
            </w:r>
          </w:p>
        </w:tc>
        <w:tc>
          <w:tcPr>
            <w:tcW w:w="1339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426 815,7</w:t>
            </w:r>
          </w:p>
        </w:tc>
        <w:tc>
          <w:tcPr>
            <w:tcW w:w="1311" w:type="dxa"/>
            <w:shd w:val="clear" w:color="auto" w:fill="auto"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426 815,7</w:t>
            </w:r>
          </w:p>
        </w:tc>
        <w:tc>
          <w:tcPr>
            <w:tcW w:w="1276" w:type="dxa"/>
            <w:shd w:val="clear" w:color="auto" w:fill="auto"/>
            <w:hideMark/>
          </w:tcPr>
          <w:p w:rsidR="00EC27E7" w:rsidRPr="00F07DD4" w:rsidRDefault="00EC27E7" w:rsidP="00CA1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DD4">
              <w:rPr>
                <w:sz w:val="20"/>
                <w:szCs w:val="20"/>
              </w:rPr>
              <w:t>100%</w:t>
            </w:r>
          </w:p>
        </w:tc>
      </w:tr>
    </w:tbl>
    <w:p w:rsidR="00EC27E7" w:rsidRPr="00F07DD4" w:rsidRDefault="00EC27E7" w:rsidP="00EC27E7">
      <w:pPr>
        <w:widowControl w:val="0"/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Для достижения целей муниципальной программы осуществлялась реализация основных мероприятий:</w:t>
      </w:r>
    </w:p>
    <w:p w:rsidR="00EC27E7" w:rsidRPr="00F07DD4" w:rsidRDefault="00EC27E7" w:rsidP="00EC27E7">
      <w:pPr>
        <w:numPr>
          <w:ilvl w:val="0"/>
          <w:numId w:val="2"/>
        </w:numPr>
        <w:spacing w:after="0"/>
        <w:ind w:left="0" w:right="-1" w:firstLine="567"/>
        <w:contextualSpacing/>
        <w:jc w:val="both"/>
        <w:rPr>
          <w:sz w:val="28"/>
          <w:szCs w:val="28"/>
        </w:rPr>
      </w:pPr>
      <w:r w:rsidRPr="00F07DD4">
        <w:rPr>
          <w:sz w:val="28"/>
          <w:szCs w:val="28"/>
        </w:rPr>
        <w:t xml:space="preserve">«Обеспечение культурной программы мероприятий и организация праздничного оформления административного центра Ханты-Мансийского автономного округа – Югры, в период их проведения» на общую сумму 23 418,5 тыс. рублей исполнение составило 100%, из них: 23 184,3 тыс. рублей - субсидии бюджета автономного округа; 234,2 тыс. рублей доля </w:t>
      </w:r>
      <w:proofErr w:type="spellStart"/>
      <w:r w:rsidRPr="00F07DD4">
        <w:rPr>
          <w:sz w:val="28"/>
          <w:szCs w:val="28"/>
        </w:rPr>
        <w:t>софинансирования</w:t>
      </w:r>
      <w:proofErr w:type="spellEnd"/>
      <w:r w:rsidRPr="00F07DD4">
        <w:rPr>
          <w:sz w:val="28"/>
          <w:szCs w:val="28"/>
        </w:rPr>
        <w:t xml:space="preserve"> городского бюджета. </w:t>
      </w:r>
    </w:p>
    <w:p w:rsidR="00EC27E7" w:rsidRPr="00F07DD4" w:rsidRDefault="00EC27E7" w:rsidP="00EC27E7">
      <w:pPr>
        <w:spacing w:after="0"/>
        <w:ind w:right="-1" w:firstLine="567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Средства направлены на обеспечение и организацию работ (услуг) по праздничному оформлению административного центра Ханты-Мансийского автономного округа – Югры, в том числе выполнены следующие работы по мероприятию:</w:t>
      </w:r>
    </w:p>
    <w:p w:rsidR="00EC27E7" w:rsidRPr="00F07DD4" w:rsidRDefault="00EC27E7" w:rsidP="00EC27E7">
      <w:pPr>
        <w:spacing w:after="0"/>
        <w:ind w:right="-1" w:firstLine="567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- оказаны и оплачены услуги по доставке, монтажу, оформлению, содержанию и охране, демонтажу и вывозу новогодних искусственных елей, разработка эскизов, новогоднее оформление, подключение декоративного освещения, монтаж прожекторов и светильников, содержание ледовых городков на площадях Центральной, Свободы и Славянской письменности, а также украшение фонтана «Ротонда»;</w:t>
      </w:r>
    </w:p>
    <w:p w:rsidR="00EC27E7" w:rsidRPr="00F07DD4" w:rsidRDefault="00EC27E7" w:rsidP="00EC27E7">
      <w:pPr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lastRenderedPageBreak/>
        <w:t>- организована группа поддержки в период проведения «Чемпионата России по лыжероллерам».</w:t>
      </w:r>
    </w:p>
    <w:p w:rsidR="00EC27E7" w:rsidRPr="00F07DD4" w:rsidRDefault="00EC27E7" w:rsidP="00EC27E7">
      <w:pPr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 xml:space="preserve"> 2. «Создание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Югры» на общую сумму 431 127,0 тыс. рублей исполнение составило 100%, из них: 426 815,7 тыс. рублей - субсидии бюджета автономного округа, 4 311,3 тыс. рублей - доля </w:t>
      </w:r>
      <w:proofErr w:type="spellStart"/>
      <w:r w:rsidRPr="00F07DD4">
        <w:rPr>
          <w:sz w:val="28"/>
          <w:szCs w:val="28"/>
        </w:rPr>
        <w:t>софинансирования</w:t>
      </w:r>
      <w:proofErr w:type="spellEnd"/>
      <w:r w:rsidRPr="00F07DD4">
        <w:rPr>
          <w:sz w:val="28"/>
          <w:szCs w:val="28"/>
        </w:rPr>
        <w:t xml:space="preserve"> городского бюджета. Реализация мероприятия заключалась в обеспечении и организации работ (услуг):</w:t>
      </w:r>
    </w:p>
    <w:p w:rsidR="00EC27E7" w:rsidRPr="00F07DD4" w:rsidRDefault="00EC27E7" w:rsidP="00EC27E7">
      <w:pPr>
        <w:autoSpaceDE w:val="0"/>
        <w:autoSpaceDN w:val="0"/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 xml:space="preserve">2.1. По обеспечению и организации работ (услуг) по содержанию объектов внешнего благоустройства, сохранению и улучшению внешнего облика административного центра Ханты-Мансийского автономного округа – Югры: при плане 98 573,4 тыс. рублей исполнение составило 100%. </w:t>
      </w:r>
    </w:p>
    <w:p w:rsidR="00EC27E7" w:rsidRPr="00F07DD4" w:rsidRDefault="00EC27E7" w:rsidP="00EC27E7">
      <w:pPr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Перечень объектов внешнего благоустройства: площади: «Центральная» «Свободы», «Спортивной славы», «Славянской письменности», площадь по ул. Гагарина д. 284 с фонтаном (напротив площади «Свободы»); парки: «Победы», «им. Бориса Лосева», культурно-туристический комплекс «</w:t>
      </w:r>
      <w:proofErr w:type="spellStart"/>
      <w:r w:rsidRPr="00F07DD4">
        <w:rPr>
          <w:sz w:val="28"/>
          <w:szCs w:val="28"/>
        </w:rPr>
        <w:t>Археопарк</w:t>
      </w:r>
      <w:proofErr w:type="spellEnd"/>
      <w:r w:rsidRPr="00F07DD4">
        <w:rPr>
          <w:sz w:val="28"/>
          <w:szCs w:val="28"/>
        </w:rPr>
        <w:t>»; скверы: «Сиреневый», «Черемуховый», «</w:t>
      </w:r>
      <w:proofErr w:type="spellStart"/>
      <w:r w:rsidRPr="00F07DD4">
        <w:rPr>
          <w:sz w:val="28"/>
          <w:szCs w:val="28"/>
        </w:rPr>
        <w:t>Гидронамыв</w:t>
      </w:r>
      <w:proofErr w:type="spellEnd"/>
      <w:r w:rsidRPr="00F07DD4">
        <w:rPr>
          <w:sz w:val="28"/>
          <w:szCs w:val="28"/>
        </w:rPr>
        <w:t xml:space="preserve">», «Студенческий»; Одуванчики по ул. Гагарина, 193; район </w:t>
      </w:r>
      <w:proofErr w:type="spellStart"/>
      <w:r w:rsidRPr="00F07DD4">
        <w:rPr>
          <w:sz w:val="28"/>
          <w:szCs w:val="28"/>
        </w:rPr>
        <w:t>Гидронамыва</w:t>
      </w:r>
      <w:proofErr w:type="spellEnd"/>
      <w:r w:rsidRPr="00F07DD4">
        <w:rPr>
          <w:sz w:val="28"/>
          <w:szCs w:val="28"/>
        </w:rPr>
        <w:t xml:space="preserve"> по ул. </w:t>
      </w:r>
      <w:proofErr w:type="spellStart"/>
      <w:r w:rsidRPr="00F07DD4">
        <w:rPr>
          <w:sz w:val="28"/>
          <w:szCs w:val="28"/>
        </w:rPr>
        <w:t>Зеленодольской</w:t>
      </w:r>
      <w:proofErr w:type="spellEnd"/>
      <w:r w:rsidRPr="00F07DD4">
        <w:rPr>
          <w:sz w:val="28"/>
          <w:szCs w:val="28"/>
        </w:rPr>
        <w:t xml:space="preserve">; памятники: «Жертвам политических репрессий», Ф. Салманову по ул. Чехова, Х. Лопареву по ул. Свободы, А.В. </w:t>
      </w:r>
      <w:proofErr w:type="spellStart"/>
      <w:r w:rsidRPr="00F07DD4">
        <w:rPr>
          <w:sz w:val="28"/>
          <w:szCs w:val="28"/>
        </w:rPr>
        <w:t>Маргелову</w:t>
      </w:r>
      <w:proofErr w:type="spellEnd"/>
      <w:r w:rsidRPr="00F07DD4">
        <w:rPr>
          <w:sz w:val="28"/>
          <w:szCs w:val="28"/>
        </w:rPr>
        <w:t xml:space="preserve">, В.Ф. </w:t>
      </w:r>
      <w:proofErr w:type="spellStart"/>
      <w:r w:rsidRPr="00F07DD4">
        <w:rPr>
          <w:sz w:val="28"/>
          <w:szCs w:val="28"/>
        </w:rPr>
        <w:t>Маргелову</w:t>
      </w:r>
      <w:proofErr w:type="spellEnd"/>
      <w:r w:rsidRPr="00F07DD4">
        <w:rPr>
          <w:sz w:val="28"/>
          <w:szCs w:val="28"/>
        </w:rPr>
        <w:t xml:space="preserve">, танк Т-34 в мемориальном парке Победы, основателям города на площади Свободы; территория бюста П.И. Лопареву по ул. Чехова; монументальная композиция «Югра» по ул. Дзержинского - ул. К. Маркса; «Вечная память войнам Югры» по ул. Мира – ул. Дзержинского; архитектурная композиция «Герб Ханты-Мансийского автономного округа – Югры» </w:t>
      </w:r>
      <w:proofErr w:type="spellStart"/>
      <w:r w:rsidRPr="00F07DD4">
        <w:rPr>
          <w:sz w:val="28"/>
          <w:szCs w:val="28"/>
        </w:rPr>
        <w:t>велоскверы</w:t>
      </w:r>
      <w:proofErr w:type="spellEnd"/>
      <w:r w:rsidRPr="00F07DD4">
        <w:rPr>
          <w:sz w:val="28"/>
          <w:szCs w:val="28"/>
        </w:rPr>
        <w:t xml:space="preserve"> по: ул. Мира, ул. Энгельса, ул. Объездной, ул. Восточной объездной, ул. Гагарина; стоянки по: ул. Свердлова, ул. Лопарева, ул. Дзержинского, ул. Коминтерна, ул. Мира, ул. Чехова, ул. Свободы, ул. </w:t>
      </w:r>
      <w:proofErr w:type="spellStart"/>
      <w:r w:rsidRPr="00F07DD4">
        <w:rPr>
          <w:sz w:val="28"/>
          <w:szCs w:val="28"/>
        </w:rPr>
        <w:t>Зеленодольская</w:t>
      </w:r>
      <w:proofErr w:type="spellEnd"/>
      <w:r w:rsidRPr="00F07DD4">
        <w:rPr>
          <w:sz w:val="28"/>
          <w:szCs w:val="28"/>
        </w:rPr>
        <w:t xml:space="preserve">, ул. </w:t>
      </w:r>
      <w:proofErr w:type="spellStart"/>
      <w:r w:rsidRPr="00F07DD4">
        <w:rPr>
          <w:sz w:val="28"/>
          <w:szCs w:val="28"/>
        </w:rPr>
        <w:t>Самаровская</w:t>
      </w:r>
      <w:proofErr w:type="spellEnd"/>
      <w:r w:rsidRPr="00F07DD4">
        <w:rPr>
          <w:sz w:val="28"/>
          <w:szCs w:val="28"/>
        </w:rPr>
        <w:t xml:space="preserve">, ул. Луговая, ул. Мичурина, ул. Карла Маркса – ул. Дзержинского, ул. Калинина – ул. Комсомольская, ул. Студенческая, 19; въездной знак со стороны автодороги «Тюмень-Ханты-Мансийск»; Тропа здоровья и подъезд к Тропе здоровья; территория стоянки выставочного центра «Югра-Экспо», пассажирский причал в составе комплекса пассажирского вокзала с прогулочной набережной, набережная и </w:t>
      </w:r>
      <w:proofErr w:type="spellStart"/>
      <w:r w:rsidRPr="00F07DD4">
        <w:rPr>
          <w:sz w:val="28"/>
          <w:szCs w:val="28"/>
        </w:rPr>
        <w:t>берегоукрепление</w:t>
      </w:r>
      <w:proofErr w:type="spellEnd"/>
      <w:r w:rsidRPr="00F07DD4">
        <w:rPr>
          <w:sz w:val="28"/>
          <w:szCs w:val="28"/>
        </w:rPr>
        <w:t xml:space="preserve"> р. Иртыша (территории жилой застройки в районе </w:t>
      </w:r>
      <w:proofErr w:type="spellStart"/>
      <w:r w:rsidRPr="00F07DD4">
        <w:rPr>
          <w:sz w:val="28"/>
          <w:szCs w:val="28"/>
        </w:rPr>
        <w:t>Самарово</w:t>
      </w:r>
      <w:proofErr w:type="spellEnd"/>
      <w:r w:rsidRPr="00F07DD4">
        <w:rPr>
          <w:sz w:val="28"/>
          <w:szCs w:val="28"/>
        </w:rPr>
        <w:t xml:space="preserve">); территория у Стеллы, посвященной великим сибирским экспедициям; детский городок по ул. Мира, д. 63-65; территория от моста «Красный дракон» до микрорайона береговой зоны «Иртыш»; прилегающие </w:t>
      </w:r>
      <w:r w:rsidRPr="00F07DD4">
        <w:rPr>
          <w:sz w:val="28"/>
          <w:szCs w:val="28"/>
        </w:rPr>
        <w:lastRenderedPageBreak/>
        <w:t xml:space="preserve">территории вдоль: ул. Мира, ул. Гагарина, ул. Чехова, ул. Доронина, ул. Чкалова, ул. Дзержинского, ул. Шевченко, ул. Маяковского, ул. Восточной объездной, ул. Объездной, ул. Уральской, ул. Энгельса, ул. Пионерской, ул. Ленина, ул. Калинина, ул. Комсомольской, ул. </w:t>
      </w:r>
      <w:proofErr w:type="spellStart"/>
      <w:r w:rsidRPr="00F07DD4">
        <w:rPr>
          <w:sz w:val="28"/>
          <w:szCs w:val="28"/>
        </w:rPr>
        <w:t>Рознина</w:t>
      </w:r>
      <w:proofErr w:type="spellEnd"/>
      <w:r w:rsidRPr="00F07DD4">
        <w:rPr>
          <w:sz w:val="28"/>
          <w:szCs w:val="28"/>
        </w:rPr>
        <w:t>, ул. Коминтерна, ул. Строителей, ул. Красноармейской, ул. Студенческой; объекты зеленого хозяйства, в том числе обочины и газоны, прилегающие к объектам внешнего благоустройства и улицам города Ханты-Мансийска.</w:t>
      </w:r>
    </w:p>
    <w:p w:rsidR="00EC27E7" w:rsidRPr="00F07DD4" w:rsidRDefault="00EC27E7" w:rsidP="00EC27E7">
      <w:pPr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Содержание и сохранение объектов внешнего благоустройства заключалось в выполнении работ по очистке от снега в зимнее время и очистке от мусора в остальное время года механизированным и ручным способом площадей, тротуаров в парках, памятников и т.п., в том числе: в зимнее время  сбор, погрузка, организация размещения и вывоз снега; в летнее время - мойка; внесение удобрений, скашивание и восстановление газонов, очистка и мойка в летний период урн на площадях, в парках и чаш фонтанов на площадях; замена (ремонт) облицовки из природного камня; спиливание деревьев, содержание кустарников в живой изгороди, цветочных вазонов, клумб и прочих объектов зеленого хозяйства.</w:t>
      </w:r>
    </w:p>
    <w:p w:rsidR="00EC27E7" w:rsidRPr="00F07DD4" w:rsidRDefault="00EC27E7" w:rsidP="00EC27E7">
      <w:pPr>
        <w:shd w:val="clear" w:color="auto" w:fill="FFFFFF"/>
        <w:spacing w:after="0"/>
        <w:ind w:right="-1" w:firstLine="709"/>
        <w:jc w:val="both"/>
        <w:rPr>
          <w:sz w:val="28"/>
          <w:szCs w:val="28"/>
          <w:highlight w:val="yellow"/>
          <w:u w:val="single"/>
        </w:rPr>
      </w:pPr>
      <w:r w:rsidRPr="00F07DD4">
        <w:rPr>
          <w:sz w:val="28"/>
          <w:szCs w:val="28"/>
        </w:rPr>
        <w:t>2.2. По обеспечению работ (услуг) по содержанию объектов уличного освещения, архитектурно-художественной подсветки. План в сумме 48 274,2 тыс. рублей исполнен на 100%.</w:t>
      </w:r>
      <w:r w:rsidRPr="00F07DD4">
        <w:rPr>
          <w:sz w:val="28"/>
          <w:szCs w:val="28"/>
          <w:u w:val="single"/>
        </w:rPr>
        <w:t xml:space="preserve">  </w:t>
      </w:r>
    </w:p>
    <w:p w:rsidR="00EC27E7" w:rsidRPr="00F07DD4" w:rsidRDefault="00EC27E7" w:rsidP="00EC27E7">
      <w:pPr>
        <w:tabs>
          <w:tab w:val="left" w:pos="709"/>
        </w:tabs>
        <w:spacing w:after="0"/>
        <w:ind w:right="-1" w:firstLine="709"/>
        <w:jc w:val="both"/>
        <w:rPr>
          <w:sz w:val="28"/>
          <w:szCs w:val="28"/>
          <w:highlight w:val="yellow"/>
        </w:rPr>
      </w:pPr>
      <w:r w:rsidRPr="00F07DD4">
        <w:rPr>
          <w:sz w:val="28"/>
          <w:szCs w:val="28"/>
        </w:rPr>
        <w:t>В рамках данного мероприятия выполняются работы по бесперебойной и безаварийной работе объектов наружного освещения, содержание объектов наружного освещения, в том числе:</w:t>
      </w:r>
    </w:p>
    <w:p w:rsidR="00EC27E7" w:rsidRPr="00F07DD4" w:rsidRDefault="00EC27E7" w:rsidP="00EC27E7">
      <w:pPr>
        <w:tabs>
          <w:tab w:val="left" w:pos="709"/>
        </w:tabs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 xml:space="preserve">- содержание и текущий ремонт светильников наружного освещения в количестве 12 143 </w:t>
      </w:r>
      <w:proofErr w:type="spellStart"/>
      <w:r w:rsidRPr="00F07DD4">
        <w:rPr>
          <w:sz w:val="28"/>
          <w:szCs w:val="28"/>
        </w:rPr>
        <w:t>светоточки</w:t>
      </w:r>
      <w:proofErr w:type="spellEnd"/>
      <w:r w:rsidRPr="00F07DD4">
        <w:rPr>
          <w:sz w:val="28"/>
          <w:szCs w:val="28"/>
        </w:rPr>
        <w:t>;</w:t>
      </w:r>
    </w:p>
    <w:p w:rsidR="00EC27E7" w:rsidRPr="00F07DD4" w:rsidRDefault="00EC27E7" w:rsidP="00EC27E7">
      <w:pPr>
        <w:tabs>
          <w:tab w:val="left" w:pos="709"/>
        </w:tabs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- содержание и текущий ремонт воздушных линий в количестве 106,45 км;</w:t>
      </w:r>
    </w:p>
    <w:p w:rsidR="00EC27E7" w:rsidRPr="00F07DD4" w:rsidRDefault="00EC27E7" w:rsidP="00EC27E7">
      <w:pPr>
        <w:tabs>
          <w:tab w:val="left" w:pos="709"/>
        </w:tabs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- текущий ремонт металлических опор в количестве 9 061 единиц;</w:t>
      </w:r>
    </w:p>
    <w:p w:rsidR="00EC27E7" w:rsidRPr="00F07DD4" w:rsidRDefault="00EC27E7" w:rsidP="00EC27E7">
      <w:pPr>
        <w:tabs>
          <w:tab w:val="left" w:pos="709"/>
        </w:tabs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- содержание и текущий ремонт кабельной линии в количестве 342,65 км;</w:t>
      </w:r>
    </w:p>
    <w:p w:rsidR="00EC27E7" w:rsidRPr="00F07DD4" w:rsidRDefault="00EC27E7" w:rsidP="00EC27E7">
      <w:pPr>
        <w:tabs>
          <w:tab w:val="left" w:pos="709"/>
        </w:tabs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- содержание и текущий ремонт пунктов питания наружного освещения в количестве 189 питающих пунктов;</w:t>
      </w:r>
    </w:p>
    <w:p w:rsidR="00EC27E7" w:rsidRPr="00F07DD4" w:rsidRDefault="00EC27E7" w:rsidP="00EC27E7">
      <w:pPr>
        <w:tabs>
          <w:tab w:val="left" w:pos="709"/>
        </w:tabs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 xml:space="preserve">- содержание и текущий ремонт архитектурно-художественной подсветки зданий и сооружений в количестве 2 942 </w:t>
      </w:r>
      <w:proofErr w:type="spellStart"/>
      <w:r w:rsidRPr="00F07DD4">
        <w:rPr>
          <w:sz w:val="28"/>
          <w:szCs w:val="28"/>
        </w:rPr>
        <w:t>светоточки</w:t>
      </w:r>
      <w:proofErr w:type="spellEnd"/>
      <w:r w:rsidRPr="00F07DD4">
        <w:rPr>
          <w:sz w:val="28"/>
          <w:szCs w:val="28"/>
        </w:rPr>
        <w:t>;</w:t>
      </w:r>
    </w:p>
    <w:p w:rsidR="00EC27E7" w:rsidRPr="00F07DD4" w:rsidRDefault="00EC27E7" w:rsidP="00EC27E7">
      <w:pPr>
        <w:tabs>
          <w:tab w:val="left" w:pos="709"/>
        </w:tabs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 xml:space="preserve">- содержание и текущий ремонт праздничной иллюминации в количестве 10 394 </w:t>
      </w:r>
      <w:proofErr w:type="spellStart"/>
      <w:r w:rsidRPr="00F07DD4">
        <w:rPr>
          <w:sz w:val="28"/>
          <w:szCs w:val="28"/>
        </w:rPr>
        <w:t>светоточек</w:t>
      </w:r>
      <w:proofErr w:type="spellEnd"/>
      <w:r w:rsidRPr="00F07DD4">
        <w:rPr>
          <w:sz w:val="28"/>
          <w:szCs w:val="28"/>
        </w:rPr>
        <w:t>;</w:t>
      </w:r>
    </w:p>
    <w:p w:rsidR="00EC27E7" w:rsidRPr="00F07DD4" w:rsidRDefault="00EC27E7" w:rsidP="00EC27E7">
      <w:pPr>
        <w:tabs>
          <w:tab w:val="left" w:pos="709"/>
        </w:tabs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 xml:space="preserve">- содержание и текущий ремонт световых коробов, щитовых конструкций, панель-кронштейнов на опорах наружного освещения в количестве 1 342 </w:t>
      </w:r>
      <w:proofErr w:type="spellStart"/>
      <w:r w:rsidRPr="00F07DD4">
        <w:rPr>
          <w:sz w:val="28"/>
          <w:szCs w:val="28"/>
        </w:rPr>
        <w:t>светоточек</w:t>
      </w:r>
      <w:proofErr w:type="spellEnd"/>
      <w:r w:rsidRPr="00F07DD4">
        <w:rPr>
          <w:sz w:val="28"/>
          <w:szCs w:val="28"/>
        </w:rPr>
        <w:t>;</w:t>
      </w:r>
    </w:p>
    <w:p w:rsidR="00EC27E7" w:rsidRPr="00F07DD4" w:rsidRDefault="00EC27E7" w:rsidP="00EC27E7">
      <w:pPr>
        <w:tabs>
          <w:tab w:val="left" w:pos="709"/>
        </w:tabs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lastRenderedPageBreak/>
        <w:t>- содержание и текущий ремонт аншлагов почтовой нумерации в количестве 242 ед.;</w:t>
      </w:r>
    </w:p>
    <w:p w:rsidR="00EC27E7" w:rsidRPr="00F07DD4" w:rsidRDefault="00EC27E7" w:rsidP="00EC27E7">
      <w:pPr>
        <w:tabs>
          <w:tab w:val="left" w:pos="709"/>
        </w:tabs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- содержание и текущий ремонт флагов ветерков и флагов расцвечивания в количестве 276 ед.;</w:t>
      </w:r>
    </w:p>
    <w:p w:rsidR="00EC27E7" w:rsidRPr="00F07DD4" w:rsidRDefault="00EC27E7" w:rsidP="00EC27E7">
      <w:pPr>
        <w:tabs>
          <w:tab w:val="left" w:pos="709"/>
        </w:tabs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- содержание и текущий ремонт комплектов автоматизации нерегулируемых пешеходных переходов в количестве 126 сигнальных фонарей;</w:t>
      </w:r>
    </w:p>
    <w:p w:rsidR="00EC27E7" w:rsidRPr="00F07DD4" w:rsidRDefault="00EC27E7" w:rsidP="00EC27E7">
      <w:pPr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 xml:space="preserve">- содержание и текущий ремонт праздничных украшений в количестве 1 024 </w:t>
      </w:r>
      <w:proofErr w:type="spellStart"/>
      <w:r w:rsidRPr="00F07DD4">
        <w:rPr>
          <w:sz w:val="28"/>
          <w:szCs w:val="28"/>
        </w:rPr>
        <w:t>светоточки</w:t>
      </w:r>
      <w:proofErr w:type="spellEnd"/>
      <w:r w:rsidRPr="00F07DD4">
        <w:rPr>
          <w:sz w:val="28"/>
          <w:szCs w:val="28"/>
        </w:rPr>
        <w:t>;</w:t>
      </w:r>
    </w:p>
    <w:p w:rsidR="00EC27E7" w:rsidRPr="00F07DD4" w:rsidRDefault="00EC27E7" w:rsidP="00EC27E7">
      <w:pPr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- содержание и текущий ремонт уличных тумб для размещения афиш и объявлений 15 единиц;</w:t>
      </w:r>
    </w:p>
    <w:p w:rsidR="00EC27E7" w:rsidRPr="00F07DD4" w:rsidRDefault="00EC27E7" w:rsidP="00EC27E7">
      <w:pPr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 xml:space="preserve">- содержание и текущий ремонт </w:t>
      </w:r>
      <w:proofErr w:type="spellStart"/>
      <w:r w:rsidRPr="00F07DD4">
        <w:rPr>
          <w:sz w:val="28"/>
          <w:szCs w:val="28"/>
        </w:rPr>
        <w:t>медиакомплексов</w:t>
      </w:r>
      <w:proofErr w:type="spellEnd"/>
      <w:r w:rsidRPr="00F07DD4">
        <w:rPr>
          <w:sz w:val="28"/>
          <w:szCs w:val="28"/>
        </w:rPr>
        <w:t xml:space="preserve"> (светодиодных видеоэкранов) 5 единиц;</w:t>
      </w:r>
    </w:p>
    <w:p w:rsidR="00EC27E7" w:rsidRPr="00F07DD4" w:rsidRDefault="00EC27E7" w:rsidP="00EC27E7">
      <w:pPr>
        <w:spacing w:after="0"/>
        <w:ind w:right="-1" w:firstLine="709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- содержание и текущий ремонт остановочных комплексов (модулей ожидания) 7 единиц.</w:t>
      </w:r>
    </w:p>
    <w:p w:rsidR="00EC27E7" w:rsidRPr="00F07DD4" w:rsidRDefault="00EC27E7" w:rsidP="00EC27E7">
      <w:pPr>
        <w:spacing w:after="0"/>
        <w:ind w:right="-1" w:firstLine="567"/>
        <w:jc w:val="both"/>
        <w:rPr>
          <w:sz w:val="28"/>
          <w:szCs w:val="28"/>
          <w:highlight w:val="yellow"/>
        </w:rPr>
      </w:pPr>
      <w:r w:rsidRPr="00F07DD4">
        <w:rPr>
          <w:sz w:val="28"/>
          <w:szCs w:val="28"/>
        </w:rPr>
        <w:t>2.3. Обеспечение и организация работ (услуг) по ремонту, благоустройству санитарному содержанию объектов социальной инфраструктуры, мест отдыха и массового пребывания гостей и жителей административного центра Ханты-Мансийского автономного округа – Югры. При плане 100,0 тыс. рублей исполнение составило 100%. Выполнены работы по содержанию объектов внешнего благоустройства города Ханты-Мансийска в районах КТК «</w:t>
      </w:r>
      <w:proofErr w:type="spellStart"/>
      <w:r w:rsidRPr="00F07DD4">
        <w:rPr>
          <w:sz w:val="28"/>
          <w:szCs w:val="28"/>
        </w:rPr>
        <w:t>Археопарк</w:t>
      </w:r>
      <w:proofErr w:type="spellEnd"/>
      <w:r w:rsidRPr="00F07DD4">
        <w:rPr>
          <w:sz w:val="28"/>
          <w:szCs w:val="28"/>
        </w:rPr>
        <w:t xml:space="preserve">» и </w:t>
      </w:r>
      <w:proofErr w:type="spellStart"/>
      <w:r w:rsidRPr="00F07DD4">
        <w:rPr>
          <w:sz w:val="28"/>
          <w:szCs w:val="28"/>
        </w:rPr>
        <w:t>Берегоукрепления</w:t>
      </w:r>
      <w:proofErr w:type="spellEnd"/>
      <w:r w:rsidRPr="00F07DD4">
        <w:rPr>
          <w:sz w:val="28"/>
          <w:szCs w:val="28"/>
        </w:rPr>
        <w:t xml:space="preserve"> реки Иртыш;</w:t>
      </w:r>
    </w:p>
    <w:p w:rsidR="00EC27E7" w:rsidRPr="00F07DD4" w:rsidRDefault="00EC27E7" w:rsidP="00EC27E7">
      <w:pPr>
        <w:spacing w:after="0"/>
        <w:ind w:right="-1" w:firstLine="567"/>
        <w:jc w:val="both"/>
        <w:rPr>
          <w:sz w:val="28"/>
          <w:szCs w:val="28"/>
          <w:highlight w:val="yellow"/>
        </w:rPr>
      </w:pPr>
      <w:r w:rsidRPr="00F07DD4">
        <w:rPr>
          <w:sz w:val="28"/>
          <w:szCs w:val="28"/>
        </w:rPr>
        <w:t xml:space="preserve">2.4. 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</w:r>
      <w:proofErr w:type="spellStart"/>
      <w:r w:rsidRPr="00F07DD4">
        <w:rPr>
          <w:sz w:val="28"/>
          <w:szCs w:val="28"/>
        </w:rPr>
        <w:t>водопропусков</w:t>
      </w:r>
      <w:proofErr w:type="spellEnd"/>
      <w:r w:rsidRPr="00F07DD4">
        <w:rPr>
          <w:sz w:val="28"/>
          <w:szCs w:val="28"/>
        </w:rPr>
        <w:t>, светофорных и иных объектов. При плане               284 179,4 тыс. рублей исполнение составило 100%. Выполнены:</w:t>
      </w:r>
    </w:p>
    <w:p w:rsidR="00EC27E7" w:rsidRPr="00F07DD4" w:rsidRDefault="00EC27E7" w:rsidP="00EC27E7">
      <w:pPr>
        <w:spacing w:after="0"/>
        <w:ind w:right="-1" w:firstLine="567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- работы по содержанию проезжей части дорог 1 843,7 тыс.м</w:t>
      </w:r>
      <w:r w:rsidRPr="00F07DD4">
        <w:rPr>
          <w:sz w:val="28"/>
          <w:szCs w:val="28"/>
          <w:vertAlign w:val="superscript"/>
        </w:rPr>
        <w:t>2</w:t>
      </w:r>
      <w:r w:rsidRPr="00F07DD4">
        <w:rPr>
          <w:sz w:val="28"/>
          <w:szCs w:val="28"/>
        </w:rPr>
        <w:t xml:space="preserve">; </w:t>
      </w:r>
    </w:p>
    <w:p w:rsidR="00EC27E7" w:rsidRPr="00F07DD4" w:rsidRDefault="00EC27E7" w:rsidP="00EC27E7">
      <w:pPr>
        <w:spacing w:after="0"/>
        <w:ind w:right="-1" w:firstLine="567"/>
        <w:jc w:val="both"/>
        <w:rPr>
          <w:sz w:val="28"/>
          <w:szCs w:val="28"/>
        </w:rPr>
      </w:pPr>
      <w:r w:rsidRPr="00F07DD4">
        <w:rPr>
          <w:sz w:val="28"/>
          <w:szCs w:val="28"/>
        </w:rPr>
        <w:t>- работы по содержанию подземных пешеходных переходов (перекресток ул. Чехова – ул. Дзержинского, перекресток ул. Чехова – ул. Гагарина, ул. Мира – ул. Энгельса, ул. Студенческая (район дома №1), ул. Мира (район дома №118), ул. Мира гостиничный комплекс «Русский двор», надземный пешеходный переход по ул. Объездная (район дома №12).</w:t>
      </w:r>
    </w:p>
    <w:p w:rsidR="00F07CCC" w:rsidRPr="00EC27E7" w:rsidRDefault="00F07CCC" w:rsidP="00EC27E7">
      <w:bookmarkStart w:id="4" w:name="_GoBack"/>
      <w:bookmarkEnd w:id="4"/>
    </w:p>
    <w:sectPr w:rsidR="00F07CCC" w:rsidRPr="00EC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B83"/>
    <w:multiLevelType w:val="multilevel"/>
    <w:tmpl w:val="45A642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 Unicode MS" w:hint="default"/>
      </w:rPr>
    </w:lvl>
  </w:abstractNum>
  <w:abstractNum w:abstractNumId="1" w15:restartNumberingAfterBreak="0">
    <w:nsid w:val="5171326C"/>
    <w:multiLevelType w:val="multilevel"/>
    <w:tmpl w:val="2E20CAF0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5"/>
    <w:rsid w:val="00B54FA5"/>
    <w:rsid w:val="00EC27E7"/>
    <w:rsid w:val="00F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898A-CDE3-4325-944B-3B553B1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A5"/>
    <w:pPr>
      <w:spacing w:after="200" w:line="276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0087294813899339E-2"/>
          <c:y val="0.11969508384251924"/>
          <c:w val="0.96301325234903989"/>
          <c:h val="0.661986855924700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'Столица 2023'!$B$4:$D$4</c:f>
              <c:strCache>
                <c:ptCount val="3"/>
                <c:pt idx="0">
                  <c:v>2022 год (исполнено)</c:v>
                </c:pt>
                <c:pt idx="1">
                  <c:v>2023 год (плановые назначения)</c:v>
                </c:pt>
                <c:pt idx="2">
                  <c:v>2023 (исполнено)</c:v>
                </c:pt>
              </c:strCache>
            </c:strRef>
          </c:cat>
          <c:val>
            <c:numRef>
              <c:f>'Столица 2023'!$B$5:$D$5</c:f>
              <c:numCache>
                <c:formatCode>#\ ##0.0_ ;[Red]\-#\ ##0.0\ </c:formatCode>
                <c:ptCount val="3"/>
                <c:pt idx="0">
                  <c:v>454545.5</c:v>
                </c:pt>
                <c:pt idx="1">
                  <c:v>454545.5</c:v>
                </c:pt>
                <c:pt idx="2">
                  <c:v>454545.5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3066624"/>
        <c:axId val="1533064992"/>
      </c:barChart>
      <c:catAx>
        <c:axId val="153306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3064992"/>
        <c:crosses val="autoZero"/>
        <c:auto val="1"/>
        <c:lblAlgn val="ctr"/>
        <c:lblOffset val="100"/>
        <c:noMultiLvlLbl val="0"/>
      </c:catAx>
      <c:valAx>
        <c:axId val="1533064992"/>
        <c:scaling>
          <c:orientation val="minMax"/>
        </c:scaling>
        <c:delete val="1"/>
        <c:axPos val="l"/>
        <c:numFmt formatCode="#\ ##0.0_ ;[Red]\-#\ ##0.0\ " sourceLinked="1"/>
        <c:majorTickMark val="none"/>
        <c:minorTickMark val="none"/>
        <c:tickLblPos val="none"/>
        <c:crossAx val="153306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'Столица 2023'!$B$1</c:f>
              <c:strCache>
                <c:ptCount val="1"/>
                <c:pt idx="0">
                  <c:v>2022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'Столица 2023'!$A$2:$A$3</c:f>
              <c:strCache>
                <c:ptCount val="2"/>
                <c:pt idx="0">
                  <c:v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c:v>
                </c:pt>
                <c:pt idx="1">
                  <c:v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</c:v>
                </c:pt>
              </c:strCache>
            </c:strRef>
          </c:cat>
          <c:val>
            <c:numRef>
              <c:f>'Столица 2023'!$B$2:$B$3</c:f>
              <c:numCache>
                <c:formatCode>#\ ##0.0;[Red]\-#\ ##0.0;0.0</c:formatCode>
                <c:ptCount val="2"/>
                <c:pt idx="0">
                  <c:v>19923.900000000001</c:v>
                </c:pt>
                <c:pt idx="1">
                  <c:v>434621.6</c:v>
                </c:pt>
              </c:numCache>
            </c:numRef>
          </c:val>
        </c:ser>
        <c:ser>
          <c:idx val="1"/>
          <c:order val="1"/>
          <c:tx>
            <c:strRef>
              <c:f>'Столица 2023'!$C$1</c:f>
              <c:strCache>
                <c:ptCount val="1"/>
                <c:pt idx="0">
                  <c:v>2023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'Столица 2023'!$A$2:$A$3</c:f>
              <c:strCache>
                <c:ptCount val="2"/>
                <c:pt idx="0">
                  <c:v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c:v>
                </c:pt>
                <c:pt idx="1">
                  <c:v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</c:v>
                </c:pt>
              </c:strCache>
            </c:strRef>
          </c:cat>
          <c:val>
            <c:numRef>
              <c:f>'Столица 2023'!$C$2:$C$3</c:f>
              <c:numCache>
                <c:formatCode>#\ ##0.0;[Red]\-#\ ##0.0;0.0</c:formatCode>
                <c:ptCount val="2"/>
                <c:pt idx="0">
                  <c:v>23418.5</c:v>
                </c:pt>
                <c:pt idx="1">
                  <c:v>431127</c:v>
                </c:pt>
              </c:numCache>
            </c:numRef>
          </c:val>
        </c:ser>
        <c:ser>
          <c:idx val="2"/>
          <c:order val="2"/>
          <c:tx>
            <c:strRef>
              <c:f>'Столица 2023'!$D$1</c:f>
              <c:strCache>
                <c:ptCount val="1"/>
                <c:pt idx="0">
                  <c:v>2023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'Столица 2023'!$A$2:$A$3</c:f>
              <c:strCache>
                <c:ptCount val="2"/>
                <c:pt idx="0">
                  <c:v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c:v>
                </c:pt>
                <c:pt idx="1">
                  <c:v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</c:v>
                </c:pt>
              </c:strCache>
            </c:strRef>
          </c:cat>
          <c:val>
            <c:numRef>
              <c:f>'Столица 2023'!$D$2:$D$3</c:f>
              <c:numCache>
                <c:formatCode>#\ ##0.0;[Red]\-#\ ##0.0;0.0</c:formatCode>
                <c:ptCount val="2"/>
                <c:pt idx="0">
                  <c:v>23418.5</c:v>
                </c:pt>
                <c:pt idx="1">
                  <c:v>431127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33069344"/>
        <c:axId val="1533062272"/>
      </c:barChart>
      <c:catAx>
        <c:axId val="1533069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3062272"/>
        <c:crosses val="autoZero"/>
        <c:auto val="1"/>
        <c:lblAlgn val="ctr"/>
        <c:lblOffset val="100"/>
        <c:noMultiLvlLbl val="0"/>
      </c:catAx>
      <c:valAx>
        <c:axId val="1533062272"/>
        <c:scaling>
          <c:orientation val="minMax"/>
        </c:scaling>
        <c:delete val="1"/>
        <c:axPos val="b"/>
        <c:numFmt formatCode="#\ ##0.0;[Red]\-#\ ##0.0;0.0" sourceLinked="1"/>
        <c:majorTickMark val="none"/>
        <c:minorTickMark val="none"/>
        <c:tickLblPos val="none"/>
        <c:crossAx val="153306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2</cp:revision>
  <dcterms:created xsi:type="dcterms:W3CDTF">2024-03-29T05:04:00Z</dcterms:created>
  <dcterms:modified xsi:type="dcterms:W3CDTF">2024-03-29T05:04:00Z</dcterms:modified>
</cp:coreProperties>
</file>