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Default="005E6A14" w:rsidP="005E6A14">
      <w:pPr>
        <w:spacing w:after="0"/>
        <w:ind w:right="-1" w:firstLine="709"/>
        <w:jc w:val="center"/>
        <w:rPr>
          <w:b/>
          <w:color w:val="C45911" w:themeColor="accent2" w:themeShade="BF"/>
          <w:sz w:val="32"/>
          <w:szCs w:val="32"/>
        </w:rPr>
      </w:pPr>
      <w:bookmarkStart w:id="0" w:name="_Toc508869948"/>
      <w:bookmarkStart w:id="1" w:name="_Toc509924552"/>
      <w:bookmarkStart w:id="2" w:name="_Toc3795539"/>
      <w:bookmarkStart w:id="3" w:name="_Toc4056101"/>
      <w:bookmarkStart w:id="4" w:name="_GoBack"/>
      <w:bookmarkEnd w:id="4"/>
      <w:r w:rsidRPr="00AE7191">
        <w:rPr>
          <w:b/>
          <w:color w:val="C45911" w:themeColor="accent2" w:themeShade="BF"/>
          <w:sz w:val="32"/>
          <w:szCs w:val="32"/>
        </w:rPr>
        <w:t xml:space="preserve">Муниципальная программа </w:t>
      </w:r>
      <w:r>
        <w:rPr>
          <w:b/>
          <w:color w:val="C45911" w:themeColor="accent2" w:themeShade="BF"/>
          <w:sz w:val="32"/>
          <w:szCs w:val="32"/>
        </w:rPr>
        <w:t>«</w:t>
      </w:r>
      <w:r w:rsidRPr="00AE7191">
        <w:rPr>
          <w:b/>
          <w:color w:val="C45911" w:themeColor="accent2" w:themeShade="BF"/>
          <w:sz w:val="32"/>
          <w:szCs w:val="32"/>
        </w:rPr>
        <w:t>Развитие транспортной системы города Ханты-Мансийска</w:t>
      </w:r>
      <w:r>
        <w:rPr>
          <w:b/>
          <w:color w:val="C45911" w:themeColor="accent2" w:themeShade="BF"/>
          <w:sz w:val="32"/>
          <w:szCs w:val="32"/>
        </w:rPr>
        <w:t>»</w:t>
      </w:r>
    </w:p>
    <w:p w:rsidR="005E6A14" w:rsidRPr="00AE7191" w:rsidRDefault="005E6A14" w:rsidP="005E6A14">
      <w:pPr>
        <w:spacing w:after="0"/>
        <w:ind w:right="-1" w:firstLine="709"/>
        <w:jc w:val="center"/>
        <w:rPr>
          <w:b/>
          <w:color w:val="C45911" w:themeColor="accent2" w:themeShade="BF"/>
          <w:sz w:val="32"/>
          <w:szCs w:val="32"/>
        </w:rPr>
      </w:pPr>
    </w:p>
    <w:p w:rsidR="005E6A14" w:rsidRPr="00AE7191" w:rsidRDefault="005E6A14" w:rsidP="005E6A14">
      <w:pPr>
        <w:spacing w:after="0"/>
        <w:ind w:right="-1" w:firstLine="709"/>
        <w:jc w:val="both"/>
        <w:rPr>
          <w:sz w:val="28"/>
          <w:szCs w:val="28"/>
        </w:rPr>
      </w:pPr>
      <w:r w:rsidRPr="00AE7191">
        <w:rPr>
          <w:sz w:val="28"/>
          <w:szCs w:val="28"/>
        </w:rPr>
        <w:t xml:space="preserve">Муниципальная программа утверждена постановлением Администрации города Ханты-Мансийска от 18.10.2013 №1346 «О муниципальной программе «Развитие транспортной системы города Ханты-Мансийска» </w:t>
      </w:r>
    </w:p>
    <w:p w:rsidR="005E6A14" w:rsidRPr="00AE7191" w:rsidRDefault="005E6A14" w:rsidP="005E6A14">
      <w:pPr>
        <w:spacing w:after="0"/>
        <w:ind w:right="-1" w:firstLine="709"/>
        <w:jc w:val="both"/>
        <w:rPr>
          <w:sz w:val="28"/>
          <w:szCs w:val="28"/>
        </w:rPr>
      </w:pPr>
      <w:r w:rsidRPr="00AE7191">
        <w:rPr>
          <w:sz w:val="28"/>
          <w:szCs w:val="28"/>
        </w:rPr>
        <w:t>Разработчиком и координатором муниципальной программы является управление транспорта, связи и дорог Администрации города Ханты-Мансийска.</w:t>
      </w:r>
    </w:p>
    <w:p w:rsidR="005E6A14" w:rsidRPr="00AE7191" w:rsidRDefault="005E6A14" w:rsidP="005E6A14">
      <w:pPr>
        <w:spacing w:after="0"/>
        <w:ind w:right="-1" w:firstLine="709"/>
        <w:jc w:val="both"/>
        <w:rPr>
          <w:rFonts w:eastAsia="Times New Roman"/>
          <w:sz w:val="28"/>
          <w:szCs w:val="28"/>
          <w:lang w:eastAsia="en-US"/>
        </w:rPr>
      </w:pPr>
      <w:r w:rsidRPr="00AE7191">
        <w:rPr>
          <w:rFonts w:eastAsia="Times New Roman"/>
          <w:sz w:val="28"/>
          <w:szCs w:val="28"/>
          <w:lang w:eastAsia="en-US"/>
        </w:rPr>
        <w:t>Целью муниципальной программы является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p w:rsidR="005E6A14" w:rsidRPr="00AE7191" w:rsidRDefault="005E6A14" w:rsidP="005E6A14">
      <w:pPr>
        <w:spacing w:after="0"/>
        <w:ind w:right="-1" w:firstLine="709"/>
        <w:jc w:val="both"/>
        <w:rPr>
          <w:rFonts w:eastAsia="Times New Roman"/>
          <w:sz w:val="28"/>
          <w:szCs w:val="28"/>
          <w:lang w:eastAsia="en-US"/>
        </w:rPr>
      </w:pPr>
      <w:r w:rsidRPr="00AE7191">
        <w:rPr>
          <w:sz w:val="28"/>
          <w:szCs w:val="28"/>
          <w:lang w:eastAsia="en-US"/>
        </w:rPr>
        <w:t>Задачи муниципальной программы:</w:t>
      </w:r>
      <w:r w:rsidRPr="00AE7191">
        <w:rPr>
          <w:rFonts w:eastAsia="Times New Roman"/>
          <w:sz w:val="28"/>
          <w:szCs w:val="28"/>
          <w:lang w:eastAsia="en-US"/>
        </w:rPr>
        <w:t xml:space="preserve"> </w:t>
      </w:r>
    </w:p>
    <w:p w:rsidR="005E6A14" w:rsidRPr="00AE7191" w:rsidRDefault="005E6A14" w:rsidP="005E6A14">
      <w:pPr>
        <w:spacing w:after="0"/>
        <w:ind w:right="-1" w:firstLine="709"/>
        <w:jc w:val="both"/>
        <w:rPr>
          <w:rFonts w:eastAsia="Times New Roman"/>
          <w:sz w:val="28"/>
          <w:szCs w:val="28"/>
          <w:lang w:eastAsia="en-US"/>
        </w:rPr>
      </w:pPr>
      <w:r w:rsidRPr="00AE7191">
        <w:rPr>
          <w:rFonts w:eastAsia="Times New Roman"/>
          <w:sz w:val="28"/>
          <w:szCs w:val="28"/>
          <w:lang w:eastAsia="en-US"/>
        </w:rPr>
        <w:t>1.Развитие улично-дорожной сети города.</w:t>
      </w:r>
    </w:p>
    <w:p w:rsidR="005E6A14" w:rsidRPr="00AE7191" w:rsidRDefault="005E6A14" w:rsidP="005E6A14">
      <w:pPr>
        <w:spacing w:after="0"/>
        <w:ind w:right="-1" w:firstLine="709"/>
        <w:jc w:val="both"/>
        <w:rPr>
          <w:rFonts w:eastAsia="Times New Roman"/>
          <w:sz w:val="28"/>
          <w:szCs w:val="28"/>
          <w:lang w:eastAsia="en-US"/>
        </w:rPr>
      </w:pPr>
      <w:r w:rsidRPr="00AE7191">
        <w:rPr>
          <w:rFonts w:eastAsia="Times New Roman"/>
          <w:sz w:val="28"/>
          <w:szCs w:val="28"/>
          <w:lang w:eastAsia="en-US"/>
        </w:rPr>
        <w:t>2.Обеспечение безопасности дорожного движения и функционирования дорожно-транспортной инфраструктуры.</w:t>
      </w:r>
    </w:p>
    <w:p w:rsidR="005E6A14" w:rsidRPr="00AE7191" w:rsidRDefault="005E6A14" w:rsidP="005E6A14">
      <w:pPr>
        <w:spacing w:after="0"/>
        <w:ind w:right="-1" w:firstLine="709"/>
        <w:jc w:val="both"/>
        <w:rPr>
          <w:rFonts w:eastAsia="Times New Roman"/>
          <w:sz w:val="28"/>
          <w:szCs w:val="28"/>
          <w:lang w:eastAsia="en-US"/>
        </w:rPr>
      </w:pPr>
      <w:r w:rsidRPr="00AE7191">
        <w:rPr>
          <w:rFonts w:eastAsia="Times New Roman"/>
          <w:sz w:val="28"/>
          <w:szCs w:val="28"/>
          <w:lang w:eastAsia="en-US"/>
        </w:rPr>
        <w:t xml:space="preserve">3.Обеспечение доступности и повышение качества транспортных услуг населению. </w:t>
      </w:r>
    </w:p>
    <w:p w:rsidR="005E6A14" w:rsidRPr="00AE7191" w:rsidRDefault="005E6A14" w:rsidP="005E6A14">
      <w:pPr>
        <w:spacing w:after="0"/>
        <w:ind w:right="-1" w:firstLine="709"/>
        <w:jc w:val="both"/>
        <w:rPr>
          <w:rFonts w:eastAsia="Times New Roman"/>
          <w:sz w:val="28"/>
          <w:szCs w:val="28"/>
          <w:lang w:eastAsia="en-US"/>
        </w:rPr>
      </w:pPr>
      <w:r w:rsidRPr="00AE7191">
        <w:rPr>
          <w:rFonts w:eastAsia="Times New Roman"/>
          <w:sz w:val="28"/>
          <w:szCs w:val="28"/>
          <w:lang w:eastAsia="en-US"/>
        </w:rPr>
        <w:t>4.Создание современной системы управления и регулирования дорожным движением.</w:t>
      </w:r>
    </w:p>
    <w:p w:rsidR="005E6A14" w:rsidRPr="00AE7191" w:rsidRDefault="005E6A14" w:rsidP="005E6A14">
      <w:pPr>
        <w:autoSpaceDE w:val="0"/>
        <w:autoSpaceDN w:val="0"/>
        <w:adjustRightInd w:val="0"/>
        <w:spacing w:after="0"/>
        <w:ind w:firstLine="709"/>
        <w:jc w:val="both"/>
        <w:rPr>
          <w:sz w:val="28"/>
          <w:szCs w:val="28"/>
        </w:rPr>
      </w:pPr>
      <w:r w:rsidRPr="00AE7191">
        <w:rPr>
          <w:sz w:val="28"/>
          <w:szCs w:val="28"/>
        </w:rPr>
        <w:t>На финансирование муниципальной программы в 2021 году предусмотрены средства в объеме 507603,9 тыс. рублей.</w:t>
      </w:r>
    </w:p>
    <w:p w:rsidR="005E6A14" w:rsidRDefault="005E6A14" w:rsidP="005E6A14">
      <w:pPr>
        <w:autoSpaceDE w:val="0"/>
        <w:autoSpaceDN w:val="0"/>
        <w:adjustRightInd w:val="0"/>
        <w:spacing w:after="0"/>
        <w:ind w:firstLine="709"/>
        <w:jc w:val="both"/>
        <w:rPr>
          <w:sz w:val="28"/>
          <w:szCs w:val="28"/>
        </w:rPr>
      </w:pPr>
      <w:r w:rsidRPr="00AE7191">
        <w:rPr>
          <w:sz w:val="28"/>
          <w:szCs w:val="28"/>
        </w:rPr>
        <w:t xml:space="preserve">Исполнение </w:t>
      </w:r>
      <w:r w:rsidRPr="00AE7191">
        <w:rPr>
          <w:bCs/>
          <w:sz w:val="28"/>
          <w:szCs w:val="28"/>
        </w:rPr>
        <w:t>муниципальной программы</w:t>
      </w:r>
      <w:r w:rsidRPr="00AE7191">
        <w:rPr>
          <w:sz w:val="28"/>
          <w:szCs w:val="28"/>
        </w:rPr>
        <w:t xml:space="preserve"> на отчетную дату составляет </w:t>
      </w:r>
      <w:r w:rsidRPr="00AE7191">
        <w:rPr>
          <w:bCs/>
          <w:sz w:val="28"/>
          <w:szCs w:val="28"/>
        </w:rPr>
        <w:t xml:space="preserve">464447,6 </w:t>
      </w:r>
      <w:r w:rsidRPr="00AE7191">
        <w:rPr>
          <w:sz w:val="28"/>
          <w:szCs w:val="28"/>
        </w:rPr>
        <w:t xml:space="preserve">тыс. рублей или 91,5% от годового объема финансирования. </w:t>
      </w:r>
    </w:p>
    <w:p w:rsidR="005E6A14" w:rsidRDefault="005E6A14"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C15B9C" w:rsidRDefault="00C15B9C" w:rsidP="005E6A14">
      <w:pPr>
        <w:autoSpaceDE w:val="0"/>
        <w:autoSpaceDN w:val="0"/>
        <w:adjustRightInd w:val="0"/>
        <w:spacing w:after="0"/>
        <w:ind w:firstLine="709"/>
        <w:jc w:val="both"/>
        <w:rPr>
          <w:sz w:val="28"/>
          <w:szCs w:val="28"/>
        </w:rPr>
      </w:pPr>
    </w:p>
    <w:p w:rsidR="005E6A14" w:rsidRDefault="005E6A14" w:rsidP="005E6A14">
      <w:pPr>
        <w:autoSpaceDE w:val="0"/>
        <w:autoSpaceDN w:val="0"/>
        <w:adjustRightInd w:val="0"/>
        <w:spacing w:after="0"/>
        <w:ind w:firstLine="709"/>
        <w:rPr>
          <w:sz w:val="24"/>
          <w:szCs w:val="24"/>
        </w:rPr>
      </w:pPr>
      <w:r w:rsidRPr="00AE7191">
        <w:rPr>
          <w:sz w:val="24"/>
          <w:szCs w:val="24"/>
        </w:rPr>
        <w:t>Рисунок 3.12.1.</w:t>
      </w:r>
    </w:p>
    <w:p w:rsidR="005E6A14" w:rsidRPr="00AE7191" w:rsidRDefault="005E6A14" w:rsidP="005E6A14">
      <w:pPr>
        <w:autoSpaceDE w:val="0"/>
        <w:autoSpaceDN w:val="0"/>
        <w:adjustRightInd w:val="0"/>
        <w:spacing w:after="0"/>
        <w:ind w:firstLine="709"/>
        <w:rPr>
          <w:sz w:val="24"/>
          <w:szCs w:val="24"/>
        </w:rPr>
      </w:pPr>
    </w:p>
    <w:p w:rsidR="005E6A14" w:rsidRPr="00AE7191" w:rsidRDefault="005E6A14" w:rsidP="005E6A14">
      <w:pPr>
        <w:autoSpaceDE w:val="0"/>
        <w:autoSpaceDN w:val="0"/>
        <w:adjustRightInd w:val="0"/>
        <w:spacing w:after="0"/>
        <w:ind w:right="-1" w:firstLine="709"/>
        <w:jc w:val="center"/>
        <w:rPr>
          <w:rFonts w:eastAsia="Times New Roman"/>
          <w:b/>
          <w:bCs/>
          <w:sz w:val="28"/>
          <w:szCs w:val="28"/>
        </w:rPr>
      </w:pPr>
      <w:r w:rsidRPr="00AE7191">
        <w:rPr>
          <w:b/>
          <w:sz w:val="28"/>
          <w:szCs w:val="28"/>
        </w:rPr>
        <w:lastRenderedPageBreak/>
        <w:t xml:space="preserve">Объёмы ассигнований на реализацию муниципальной программы </w:t>
      </w:r>
      <w:r w:rsidRPr="00AE7191">
        <w:rPr>
          <w:rFonts w:eastAsia="Times New Roman"/>
          <w:b/>
          <w:bCs/>
          <w:sz w:val="28"/>
          <w:szCs w:val="28"/>
        </w:rPr>
        <w:t>«Развитие транспортной системы города Ханты-Мансийска»,</w:t>
      </w:r>
    </w:p>
    <w:p w:rsidR="005E6A14" w:rsidRPr="00AE7191" w:rsidRDefault="005E6A14" w:rsidP="005E6A14">
      <w:pPr>
        <w:autoSpaceDE w:val="0"/>
        <w:autoSpaceDN w:val="0"/>
        <w:adjustRightInd w:val="0"/>
        <w:spacing w:after="0"/>
        <w:ind w:right="-1" w:firstLine="709"/>
        <w:rPr>
          <w:bCs/>
          <w:sz w:val="24"/>
          <w:szCs w:val="24"/>
        </w:rPr>
      </w:pPr>
      <w:r w:rsidRPr="00AE7191">
        <w:rPr>
          <w:rFonts w:eastAsia="Times New Roman"/>
          <w:bCs/>
          <w:sz w:val="24"/>
          <w:szCs w:val="24"/>
        </w:rPr>
        <w:t>тыс. рублей.</w:t>
      </w:r>
    </w:p>
    <w:p w:rsidR="005E6A14" w:rsidRPr="00AE7191" w:rsidRDefault="005E6A14" w:rsidP="005E6A14">
      <w:pPr>
        <w:autoSpaceDE w:val="0"/>
        <w:autoSpaceDN w:val="0"/>
        <w:adjustRightInd w:val="0"/>
        <w:spacing w:after="0"/>
        <w:ind w:right="-1"/>
        <w:jc w:val="both"/>
        <w:rPr>
          <w:rFonts w:ascii="Arial" w:hAnsi="Arial" w:cs="Arial"/>
          <w:b/>
          <w:bCs/>
          <w:noProof/>
          <w:sz w:val="20"/>
          <w:szCs w:val="20"/>
        </w:rPr>
      </w:pPr>
      <w:r w:rsidRPr="00AE7191">
        <w:rPr>
          <w:rFonts w:ascii="Arial" w:hAnsi="Arial" w:cs="Arial"/>
          <w:b/>
          <w:bCs/>
          <w:noProof/>
          <w:sz w:val="20"/>
          <w:szCs w:val="20"/>
        </w:rPr>
        <w:drawing>
          <wp:inline distT="0" distB="0" distL="0" distR="0" wp14:anchorId="39ED5162" wp14:editId="6057EFFF">
            <wp:extent cx="5934075" cy="174117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Pr="00AE7191" w:rsidRDefault="005E6A14" w:rsidP="005E6A14">
      <w:pPr>
        <w:autoSpaceDE w:val="0"/>
        <w:autoSpaceDN w:val="0"/>
        <w:adjustRightInd w:val="0"/>
        <w:spacing w:after="0"/>
        <w:ind w:right="-1" w:firstLine="709"/>
        <w:jc w:val="both"/>
        <w:rPr>
          <w:rFonts w:ascii="Arial" w:hAnsi="Arial" w:cs="Arial"/>
          <w:b/>
          <w:bCs/>
          <w:noProof/>
          <w:sz w:val="20"/>
          <w:szCs w:val="20"/>
          <w:highlight w:val="yellow"/>
        </w:rPr>
      </w:pPr>
    </w:p>
    <w:p w:rsidR="005E6A14" w:rsidRPr="00AE7191" w:rsidRDefault="005E6A14" w:rsidP="005E6A14">
      <w:pPr>
        <w:autoSpaceDE w:val="0"/>
        <w:autoSpaceDN w:val="0"/>
        <w:adjustRightInd w:val="0"/>
        <w:spacing w:after="0"/>
        <w:ind w:right="-1" w:firstLine="709"/>
        <w:jc w:val="both"/>
        <w:rPr>
          <w:sz w:val="28"/>
          <w:szCs w:val="28"/>
          <w:highlight w:val="yellow"/>
        </w:rPr>
      </w:pPr>
    </w:p>
    <w:p w:rsidR="005E6A14" w:rsidRPr="00AE7191" w:rsidRDefault="005E6A14" w:rsidP="005E6A14">
      <w:pPr>
        <w:spacing w:after="0"/>
        <w:ind w:firstLine="709"/>
        <w:jc w:val="both"/>
        <w:rPr>
          <w:rFonts w:eastAsia="Times New Roman"/>
          <w:sz w:val="28"/>
          <w:szCs w:val="28"/>
        </w:rPr>
      </w:pPr>
      <w:r w:rsidRPr="00AE7191">
        <w:rPr>
          <w:rFonts w:eastAsia="Times New Roman"/>
          <w:sz w:val="28"/>
          <w:szCs w:val="28"/>
        </w:rPr>
        <w:t xml:space="preserve"> Объемы бюджетных ассигнований распределены следующим образом:  </w:t>
      </w:r>
    </w:p>
    <w:p w:rsidR="005E6A14" w:rsidRPr="00AE7191" w:rsidRDefault="005E6A14" w:rsidP="005E6A14">
      <w:pPr>
        <w:spacing w:after="0"/>
        <w:ind w:firstLine="709"/>
        <w:rPr>
          <w:rFonts w:eastAsia="Times New Roman"/>
          <w:sz w:val="24"/>
          <w:szCs w:val="24"/>
          <w:highlight w:val="yellow"/>
        </w:rPr>
      </w:pPr>
    </w:p>
    <w:p w:rsidR="005E6A14" w:rsidRDefault="005E6A14" w:rsidP="005E6A14">
      <w:pPr>
        <w:spacing w:after="0"/>
        <w:ind w:firstLine="709"/>
        <w:rPr>
          <w:rFonts w:eastAsia="Times New Roman"/>
          <w:sz w:val="24"/>
          <w:szCs w:val="24"/>
        </w:rPr>
      </w:pPr>
      <w:r w:rsidRPr="00AE7191">
        <w:rPr>
          <w:rFonts w:eastAsia="Times New Roman"/>
          <w:sz w:val="24"/>
          <w:szCs w:val="24"/>
        </w:rPr>
        <w:t xml:space="preserve">Таблица 3.12.1 </w:t>
      </w:r>
    </w:p>
    <w:p w:rsidR="005E6A14" w:rsidRPr="00AE7191" w:rsidRDefault="005E6A14" w:rsidP="005E6A14">
      <w:pPr>
        <w:spacing w:after="0"/>
        <w:ind w:firstLine="709"/>
        <w:rPr>
          <w:rFonts w:eastAsia="Times New Roman"/>
          <w:sz w:val="24"/>
          <w:szCs w:val="24"/>
        </w:rPr>
      </w:pPr>
    </w:p>
    <w:p w:rsidR="005E6A14" w:rsidRDefault="005E6A14" w:rsidP="005E6A14">
      <w:pPr>
        <w:spacing w:after="0"/>
        <w:ind w:firstLine="709"/>
        <w:jc w:val="center"/>
        <w:rPr>
          <w:rFonts w:eastAsia="Times New Roman"/>
          <w:b/>
          <w:sz w:val="24"/>
          <w:szCs w:val="24"/>
        </w:rPr>
      </w:pPr>
      <w:r w:rsidRPr="00AE7191">
        <w:rPr>
          <w:rFonts w:eastAsia="Times New Roman"/>
          <w:b/>
          <w:sz w:val="28"/>
          <w:szCs w:val="28"/>
        </w:rPr>
        <w:t xml:space="preserve">Объем бюджетных ассигнований за 2021 год по основному исполнителю и соисполнителям муниципальной программы </w:t>
      </w:r>
      <w:r w:rsidRPr="00AE7191">
        <w:rPr>
          <w:rFonts w:eastAsia="Times New Roman"/>
          <w:b/>
          <w:sz w:val="28"/>
          <w:szCs w:val="28"/>
        </w:rPr>
        <w:br/>
        <w:t>«Развитие транспортной системы города Ханты-Мансийска»</w:t>
      </w:r>
      <w:r w:rsidRPr="00AE7191">
        <w:rPr>
          <w:rFonts w:eastAsia="Times New Roman"/>
          <w:b/>
          <w:sz w:val="24"/>
          <w:szCs w:val="24"/>
        </w:rPr>
        <w:t xml:space="preserve"> </w:t>
      </w:r>
    </w:p>
    <w:p w:rsidR="005E6A14" w:rsidRPr="00AE7191" w:rsidRDefault="005E6A14" w:rsidP="005E6A14">
      <w:pPr>
        <w:spacing w:after="0"/>
        <w:ind w:firstLine="709"/>
        <w:jc w:val="center"/>
        <w:rPr>
          <w:rFonts w:eastAsia="Times New Roman"/>
          <w:b/>
          <w:sz w:val="24"/>
          <w:szCs w:val="24"/>
        </w:rPr>
      </w:pPr>
    </w:p>
    <w:p w:rsidR="005E6A14" w:rsidRPr="00AE7191" w:rsidRDefault="005E6A14" w:rsidP="005E6A14">
      <w:pPr>
        <w:spacing w:after="0"/>
        <w:ind w:firstLine="709"/>
        <w:jc w:val="center"/>
        <w:rPr>
          <w:rFonts w:eastAsia="Times New Roman"/>
          <w:sz w:val="24"/>
          <w:szCs w:val="24"/>
        </w:rPr>
      </w:pPr>
      <w:r w:rsidRPr="00AE7191">
        <w:rPr>
          <w:rFonts w:eastAsia="Times New Roman"/>
          <w:sz w:val="24"/>
          <w:szCs w:val="24"/>
        </w:rPr>
        <w:t xml:space="preserve">                                                                                                                       тыс. рублей</w:t>
      </w:r>
    </w:p>
    <w:tbl>
      <w:tblPr>
        <w:tblW w:w="9328"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
        <w:gridCol w:w="3351"/>
        <w:gridCol w:w="1366"/>
        <w:gridCol w:w="1375"/>
        <w:gridCol w:w="1374"/>
        <w:gridCol w:w="1376"/>
      </w:tblGrid>
      <w:tr w:rsidR="005E6A14" w:rsidRPr="00AE7191" w:rsidTr="005E6A14">
        <w:trPr>
          <w:trHeight w:val="192"/>
        </w:trPr>
        <w:tc>
          <w:tcPr>
            <w:tcW w:w="486" w:type="dxa"/>
            <w:vMerge w:val="restart"/>
            <w:shd w:val="clear" w:color="auto" w:fill="auto"/>
            <w:noWrap/>
            <w:vAlign w:val="center"/>
            <w:hideMark/>
          </w:tcPr>
          <w:p w:rsidR="005E6A14" w:rsidRPr="00AE7191" w:rsidRDefault="005E6A14" w:rsidP="005E6A14">
            <w:pPr>
              <w:spacing w:after="0"/>
              <w:jc w:val="both"/>
              <w:rPr>
                <w:rFonts w:eastAsia="Times New Roman"/>
                <w:sz w:val="20"/>
                <w:szCs w:val="20"/>
              </w:rPr>
            </w:pPr>
            <w:r w:rsidRPr="00AE7191">
              <w:rPr>
                <w:rFonts w:eastAsia="Times New Roman"/>
                <w:sz w:val="20"/>
                <w:szCs w:val="20"/>
              </w:rPr>
              <w:t>№ п/п</w:t>
            </w:r>
          </w:p>
        </w:tc>
        <w:tc>
          <w:tcPr>
            <w:tcW w:w="3351" w:type="dxa"/>
            <w:vMerge w:val="restart"/>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Наименование основного исполнителя, соисполнителя муниципальной программы</w:t>
            </w:r>
          </w:p>
        </w:tc>
        <w:tc>
          <w:tcPr>
            <w:tcW w:w="1366" w:type="dxa"/>
            <w:vMerge w:val="restart"/>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2020 год (отчет)</w:t>
            </w:r>
          </w:p>
        </w:tc>
        <w:tc>
          <w:tcPr>
            <w:tcW w:w="4125" w:type="dxa"/>
            <w:gridSpan w:val="3"/>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2021 год</w:t>
            </w:r>
          </w:p>
        </w:tc>
      </w:tr>
      <w:tr w:rsidR="005E6A14" w:rsidRPr="00AE7191" w:rsidTr="005E6A14">
        <w:trPr>
          <w:trHeight w:val="577"/>
        </w:trPr>
        <w:tc>
          <w:tcPr>
            <w:tcW w:w="486" w:type="dxa"/>
            <w:vMerge/>
            <w:vAlign w:val="center"/>
            <w:hideMark/>
          </w:tcPr>
          <w:p w:rsidR="005E6A14" w:rsidRPr="00AE7191" w:rsidRDefault="005E6A14" w:rsidP="005E6A14">
            <w:pPr>
              <w:spacing w:after="0"/>
              <w:jc w:val="both"/>
              <w:rPr>
                <w:rFonts w:eastAsia="Times New Roman"/>
                <w:sz w:val="20"/>
                <w:szCs w:val="20"/>
              </w:rPr>
            </w:pPr>
          </w:p>
        </w:tc>
        <w:tc>
          <w:tcPr>
            <w:tcW w:w="3351" w:type="dxa"/>
            <w:vMerge/>
            <w:vAlign w:val="center"/>
            <w:hideMark/>
          </w:tcPr>
          <w:p w:rsidR="005E6A14" w:rsidRPr="00AE7191" w:rsidRDefault="005E6A14" w:rsidP="005E6A14">
            <w:pPr>
              <w:spacing w:after="0"/>
              <w:jc w:val="both"/>
              <w:rPr>
                <w:rFonts w:eastAsia="Times New Roman"/>
                <w:sz w:val="20"/>
                <w:szCs w:val="20"/>
              </w:rPr>
            </w:pPr>
          </w:p>
        </w:tc>
        <w:tc>
          <w:tcPr>
            <w:tcW w:w="1366" w:type="dxa"/>
            <w:vMerge/>
            <w:vAlign w:val="center"/>
            <w:hideMark/>
          </w:tcPr>
          <w:p w:rsidR="005E6A14" w:rsidRPr="00AE7191" w:rsidRDefault="005E6A14" w:rsidP="005E6A14">
            <w:pPr>
              <w:spacing w:after="0"/>
              <w:jc w:val="both"/>
              <w:rPr>
                <w:rFonts w:eastAsia="Times New Roman"/>
                <w:sz w:val="20"/>
                <w:szCs w:val="20"/>
              </w:rPr>
            </w:pPr>
          </w:p>
        </w:tc>
        <w:tc>
          <w:tcPr>
            <w:tcW w:w="1375" w:type="dxa"/>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Уточненный план</w:t>
            </w:r>
          </w:p>
        </w:tc>
        <w:tc>
          <w:tcPr>
            <w:tcW w:w="1374" w:type="dxa"/>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Исполнение</w:t>
            </w:r>
          </w:p>
        </w:tc>
        <w:tc>
          <w:tcPr>
            <w:tcW w:w="1376" w:type="dxa"/>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 исполнения</w:t>
            </w:r>
          </w:p>
        </w:tc>
      </w:tr>
      <w:tr w:rsidR="005E6A14" w:rsidRPr="00AE7191" w:rsidTr="005E6A14">
        <w:trPr>
          <w:trHeight w:val="130"/>
        </w:trPr>
        <w:tc>
          <w:tcPr>
            <w:tcW w:w="486" w:type="dxa"/>
            <w:shd w:val="clear" w:color="auto" w:fill="auto"/>
            <w:noWrap/>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1</w:t>
            </w:r>
          </w:p>
        </w:tc>
        <w:tc>
          <w:tcPr>
            <w:tcW w:w="3351" w:type="dxa"/>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2</w:t>
            </w:r>
          </w:p>
        </w:tc>
        <w:tc>
          <w:tcPr>
            <w:tcW w:w="1366" w:type="dxa"/>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3</w:t>
            </w:r>
          </w:p>
        </w:tc>
        <w:tc>
          <w:tcPr>
            <w:tcW w:w="1375" w:type="dxa"/>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4</w:t>
            </w:r>
          </w:p>
        </w:tc>
        <w:tc>
          <w:tcPr>
            <w:tcW w:w="1374" w:type="dxa"/>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5</w:t>
            </w:r>
          </w:p>
        </w:tc>
        <w:tc>
          <w:tcPr>
            <w:tcW w:w="1376" w:type="dxa"/>
            <w:shd w:val="clear" w:color="auto" w:fill="auto"/>
            <w:vAlign w:val="center"/>
            <w:hideMark/>
          </w:tcPr>
          <w:p w:rsidR="005E6A14" w:rsidRPr="00AE7191" w:rsidRDefault="005E6A14" w:rsidP="005E6A14">
            <w:pPr>
              <w:spacing w:after="0"/>
              <w:jc w:val="center"/>
              <w:rPr>
                <w:rFonts w:eastAsia="Times New Roman"/>
                <w:sz w:val="20"/>
                <w:szCs w:val="20"/>
              </w:rPr>
            </w:pPr>
            <w:r w:rsidRPr="00AE7191">
              <w:rPr>
                <w:rFonts w:eastAsia="Times New Roman"/>
                <w:sz w:val="20"/>
                <w:szCs w:val="20"/>
              </w:rPr>
              <w:t>6</w:t>
            </w:r>
          </w:p>
        </w:tc>
      </w:tr>
      <w:tr w:rsidR="005E6A14" w:rsidRPr="00AE7191" w:rsidTr="005E6A14">
        <w:trPr>
          <w:trHeight w:val="261"/>
        </w:trPr>
        <w:tc>
          <w:tcPr>
            <w:tcW w:w="486" w:type="dxa"/>
            <w:shd w:val="clear" w:color="auto" w:fill="auto"/>
            <w:noWrap/>
            <w:vAlign w:val="center"/>
            <w:hideMark/>
          </w:tcPr>
          <w:p w:rsidR="005E6A14" w:rsidRPr="00AE7191" w:rsidRDefault="005E6A14" w:rsidP="005E6A14">
            <w:pPr>
              <w:spacing w:after="0"/>
              <w:jc w:val="both"/>
              <w:rPr>
                <w:rFonts w:eastAsia="Times New Roman"/>
                <w:sz w:val="20"/>
                <w:szCs w:val="20"/>
              </w:rPr>
            </w:pPr>
            <w:r w:rsidRPr="00AE7191">
              <w:rPr>
                <w:rFonts w:eastAsia="Times New Roman"/>
                <w:sz w:val="20"/>
                <w:szCs w:val="20"/>
              </w:rPr>
              <w:t> </w:t>
            </w:r>
          </w:p>
        </w:tc>
        <w:tc>
          <w:tcPr>
            <w:tcW w:w="3351" w:type="dxa"/>
            <w:shd w:val="clear" w:color="auto" w:fill="auto"/>
            <w:vAlign w:val="center"/>
            <w:hideMark/>
          </w:tcPr>
          <w:p w:rsidR="005E6A14" w:rsidRPr="00AE7191" w:rsidRDefault="005E6A14" w:rsidP="005E6A14">
            <w:pPr>
              <w:spacing w:after="0" w:line="240" w:lineRule="auto"/>
              <w:jc w:val="left"/>
              <w:rPr>
                <w:rFonts w:eastAsia="Times New Roman"/>
                <w:sz w:val="20"/>
                <w:szCs w:val="20"/>
              </w:rPr>
            </w:pPr>
            <w:r w:rsidRPr="00AE7191">
              <w:rPr>
                <w:rFonts w:eastAsia="Times New Roman"/>
                <w:sz w:val="20"/>
                <w:szCs w:val="20"/>
              </w:rPr>
              <w:t>Всего по муниципальной программе, в том числе:</w:t>
            </w:r>
          </w:p>
        </w:tc>
        <w:tc>
          <w:tcPr>
            <w:tcW w:w="136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978 318,9</w:t>
            </w:r>
          </w:p>
        </w:tc>
        <w:tc>
          <w:tcPr>
            <w:tcW w:w="1375"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507 603,9</w:t>
            </w:r>
          </w:p>
        </w:tc>
        <w:tc>
          <w:tcPr>
            <w:tcW w:w="1374"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464 447,6</w:t>
            </w:r>
          </w:p>
        </w:tc>
        <w:tc>
          <w:tcPr>
            <w:tcW w:w="137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91,5%</w:t>
            </w:r>
          </w:p>
        </w:tc>
      </w:tr>
      <w:tr w:rsidR="005E6A14" w:rsidRPr="00AE7191" w:rsidTr="005E6A14">
        <w:trPr>
          <w:trHeight w:val="717"/>
        </w:trPr>
        <w:tc>
          <w:tcPr>
            <w:tcW w:w="486" w:type="dxa"/>
            <w:shd w:val="clear" w:color="auto" w:fill="auto"/>
            <w:noWrap/>
            <w:vAlign w:val="center"/>
            <w:hideMark/>
          </w:tcPr>
          <w:p w:rsidR="005E6A14" w:rsidRPr="00AE7191" w:rsidRDefault="005E6A14" w:rsidP="005E6A14">
            <w:pPr>
              <w:spacing w:after="0"/>
              <w:jc w:val="both"/>
              <w:rPr>
                <w:rFonts w:eastAsia="Times New Roman"/>
                <w:sz w:val="20"/>
                <w:szCs w:val="20"/>
              </w:rPr>
            </w:pPr>
            <w:r w:rsidRPr="00AE7191">
              <w:rPr>
                <w:rFonts w:eastAsia="Times New Roman"/>
                <w:sz w:val="20"/>
                <w:szCs w:val="20"/>
              </w:rPr>
              <w:t>1</w:t>
            </w:r>
          </w:p>
        </w:tc>
        <w:tc>
          <w:tcPr>
            <w:tcW w:w="3351" w:type="dxa"/>
            <w:shd w:val="clear" w:color="auto" w:fill="auto"/>
            <w:vAlign w:val="bottom"/>
            <w:hideMark/>
          </w:tcPr>
          <w:p w:rsidR="005E6A14" w:rsidRPr="00AE7191" w:rsidRDefault="005E6A14" w:rsidP="005E6A14">
            <w:pPr>
              <w:spacing w:after="0" w:line="240" w:lineRule="auto"/>
              <w:jc w:val="left"/>
              <w:rPr>
                <w:rFonts w:eastAsia="Times New Roman"/>
                <w:sz w:val="20"/>
                <w:szCs w:val="20"/>
              </w:rPr>
            </w:pPr>
            <w:r w:rsidRPr="00AE7191">
              <w:rPr>
                <w:rFonts w:eastAsia="Times New Roman"/>
                <w:sz w:val="20"/>
                <w:szCs w:val="20"/>
              </w:rPr>
              <w:t>Муниципальное казенное учреждение «Управление капитального строительства города Ханты-Мансийска»</w:t>
            </w:r>
          </w:p>
        </w:tc>
        <w:tc>
          <w:tcPr>
            <w:tcW w:w="136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439 579,8</w:t>
            </w:r>
          </w:p>
        </w:tc>
        <w:tc>
          <w:tcPr>
            <w:tcW w:w="1375"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149 618,3</w:t>
            </w:r>
          </w:p>
        </w:tc>
        <w:tc>
          <w:tcPr>
            <w:tcW w:w="1374"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121 029,2</w:t>
            </w:r>
          </w:p>
        </w:tc>
        <w:tc>
          <w:tcPr>
            <w:tcW w:w="137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80,9%</w:t>
            </w:r>
          </w:p>
        </w:tc>
      </w:tr>
      <w:tr w:rsidR="005E6A14" w:rsidRPr="00AE7191" w:rsidTr="005E6A14">
        <w:trPr>
          <w:trHeight w:val="538"/>
        </w:trPr>
        <w:tc>
          <w:tcPr>
            <w:tcW w:w="486" w:type="dxa"/>
            <w:shd w:val="clear" w:color="auto" w:fill="auto"/>
            <w:noWrap/>
            <w:vAlign w:val="center"/>
            <w:hideMark/>
          </w:tcPr>
          <w:p w:rsidR="005E6A14" w:rsidRPr="00AE7191" w:rsidRDefault="005E6A14" w:rsidP="005E6A14">
            <w:pPr>
              <w:spacing w:after="0"/>
              <w:jc w:val="both"/>
              <w:rPr>
                <w:rFonts w:eastAsia="Times New Roman"/>
                <w:sz w:val="20"/>
                <w:szCs w:val="20"/>
              </w:rPr>
            </w:pPr>
            <w:r w:rsidRPr="00AE7191">
              <w:rPr>
                <w:rFonts w:eastAsia="Times New Roman"/>
                <w:sz w:val="20"/>
                <w:szCs w:val="20"/>
              </w:rPr>
              <w:t>2</w:t>
            </w:r>
          </w:p>
        </w:tc>
        <w:tc>
          <w:tcPr>
            <w:tcW w:w="3351" w:type="dxa"/>
            <w:shd w:val="clear" w:color="auto" w:fill="auto"/>
            <w:vAlign w:val="bottom"/>
            <w:hideMark/>
          </w:tcPr>
          <w:p w:rsidR="005E6A14" w:rsidRPr="00AE7191" w:rsidRDefault="005E6A14" w:rsidP="005E6A14">
            <w:pPr>
              <w:spacing w:after="0" w:line="240" w:lineRule="auto"/>
              <w:jc w:val="left"/>
              <w:rPr>
                <w:rFonts w:eastAsia="Times New Roman"/>
                <w:sz w:val="20"/>
                <w:szCs w:val="20"/>
              </w:rPr>
            </w:pPr>
            <w:r w:rsidRPr="00AE7191">
              <w:rPr>
                <w:rFonts w:eastAsia="Times New Roman"/>
                <w:bCs/>
                <w:sz w:val="20"/>
                <w:szCs w:val="20"/>
              </w:rPr>
              <w:t>Муниципальное казенное учреждение «Служба муниципального заказа в ЖКХ»</w:t>
            </w:r>
          </w:p>
        </w:tc>
        <w:tc>
          <w:tcPr>
            <w:tcW w:w="136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397 591,9</w:t>
            </w:r>
          </w:p>
        </w:tc>
        <w:tc>
          <w:tcPr>
            <w:tcW w:w="1375"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150 574,4</w:t>
            </w:r>
          </w:p>
        </w:tc>
        <w:tc>
          <w:tcPr>
            <w:tcW w:w="1374"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150 385,6</w:t>
            </w:r>
          </w:p>
        </w:tc>
        <w:tc>
          <w:tcPr>
            <w:tcW w:w="137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99,9%</w:t>
            </w:r>
          </w:p>
        </w:tc>
      </w:tr>
      <w:tr w:rsidR="005E6A14" w:rsidRPr="00AE7191" w:rsidTr="005E6A14">
        <w:trPr>
          <w:trHeight w:val="538"/>
        </w:trPr>
        <w:tc>
          <w:tcPr>
            <w:tcW w:w="486" w:type="dxa"/>
            <w:shd w:val="clear" w:color="auto" w:fill="auto"/>
            <w:noWrap/>
            <w:vAlign w:val="center"/>
            <w:hideMark/>
          </w:tcPr>
          <w:p w:rsidR="005E6A14" w:rsidRPr="00AE7191" w:rsidRDefault="005E6A14" w:rsidP="005E6A14">
            <w:pPr>
              <w:spacing w:after="0"/>
              <w:jc w:val="both"/>
              <w:rPr>
                <w:rFonts w:eastAsia="Times New Roman"/>
                <w:sz w:val="20"/>
                <w:szCs w:val="20"/>
              </w:rPr>
            </w:pPr>
            <w:r w:rsidRPr="00AE7191">
              <w:rPr>
                <w:rFonts w:eastAsia="Times New Roman"/>
                <w:sz w:val="20"/>
                <w:szCs w:val="20"/>
              </w:rPr>
              <w:t>3</w:t>
            </w:r>
          </w:p>
        </w:tc>
        <w:tc>
          <w:tcPr>
            <w:tcW w:w="3351" w:type="dxa"/>
            <w:shd w:val="clear" w:color="auto" w:fill="auto"/>
            <w:vAlign w:val="bottom"/>
            <w:hideMark/>
          </w:tcPr>
          <w:p w:rsidR="005E6A14" w:rsidRPr="00AE7191" w:rsidRDefault="005E6A14" w:rsidP="005E6A14">
            <w:pPr>
              <w:spacing w:after="0" w:line="240" w:lineRule="auto"/>
              <w:jc w:val="left"/>
              <w:rPr>
                <w:rFonts w:eastAsia="Times New Roman"/>
                <w:sz w:val="20"/>
                <w:szCs w:val="20"/>
              </w:rPr>
            </w:pPr>
            <w:r w:rsidRPr="00AE7191">
              <w:rPr>
                <w:rFonts w:eastAsia="Times New Roman"/>
                <w:bCs/>
                <w:sz w:val="20"/>
                <w:szCs w:val="20"/>
              </w:rPr>
              <w:t>Муниципальное казенное учреждение «Управление логистики»</w:t>
            </w:r>
          </w:p>
        </w:tc>
        <w:tc>
          <w:tcPr>
            <w:tcW w:w="136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135 012,7</w:t>
            </w:r>
          </w:p>
        </w:tc>
        <w:tc>
          <w:tcPr>
            <w:tcW w:w="1375"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166 628,7</w:t>
            </w:r>
          </w:p>
        </w:tc>
        <w:tc>
          <w:tcPr>
            <w:tcW w:w="1374"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152 250,3</w:t>
            </w:r>
          </w:p>
        </w:tc>
        <w:tc>
          <w:tcPr>
            <w:tcW w:w="137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91,4%</w:t>
            </w:r>
          </w:p>
        </w:tc>
      </w:tr>
      <w:tr w:rsidR="005E6A14" w:rsidRPr="00AE7191" w:rsidTr="005E6A14">
        <w:trPr>
          <w:trHeight w:val="538"/>
        </w:trPr>
        <w:tc>
          <w:tcPr>
            <w:tcW w:w="486" w:type="dxa"/>
            <w:shd w:val="clear" w:color="auto" w:fill="auto"/>
            <w:noWrap/>
            <w:vAlign w:val="center"/>
            <w:hideMark/>
          </w:tcPr>
          <w:p w:rsidR="005E6A14" w:rsidRPr="00AE7191" w:rsidRDefault="005E6A14" w:rsidP="005E6A14">
            <w:pPr>
              <w:spacing w:after="0"/>
              <w:jc w:val="both"/>
              <w:rPr>
                <w:rFonts w:eastAsia="Times New Roman"/>
                <w:sz w:val="20"/>
                <w:szCs w:val="20"/>
              </w:rPr>
            </w:pPr>
            <w:r w:rsidRPr="00AE7191">
              <w:rPr>
                <w:rFonts w:eastAsia="Times New Roman"/>
                <w:sz w:val="20"/>
                <w:szCs w:val="20"/>
              </w:rPr>
              <w:t>4</w:t>
            </w:r>
          </w:p>
        </w:tc>
        <w:tc>
          <w:tcPr>
            <w:tcW w:w="3351" w:type="dxa"/>
            <w:shd w:val="clear" w:color="auto" w:fill="auto"/>
            <w:vAlign w:val="bottom"/>
            <w:hideMark/>
          </w:tcPr>
          <w:p w:rsidR="005E6A14" w:rsidRPr="00AE7191" w:rsidRDefault="005E6A14" w:rsidP="005E6A14">
            <w:pPr>
              <w:spacing w:after="0" w:line="240" w:lineRule="auto"/>
              <w:jc w:val="left"/>
              <w:rPr>
                <w:rFonts w:eastAsia="Times New Roman"/>
                <w:sz w:val="20"/>
                <w:szCs w:val="20"/>
              </w:rPr>
            </w:pPr>
            <w:r w:rsidRPr="00AE7191">
              <w:rPr>
                <w:rFonts w:eastAsia="Times New Roman"/>
                <w:bCs/>
                <w:sz w:val="20"/>
                <w:szCs w:val="20"/>
              </w:rPr>
              <w:t>Управление транспорта, связи и дорог Администрации города Ханты-Мансийска</w:t>
            </w:r>
          </w:p>
        </w:tc>
        <w:tc>
          <w:tcPr>
            <w:tcW w:w="136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6 134,5</w:t>
            </w:r>
          </w:p>
        </w:tc>
        <w:tc>
          <w:tcPr>
            <w:tcW w:w="1375"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40 782,5</w:t>
            </w:r>
          </w:p>
        </w:tc>
        <w:tc>
          <w:tcPr>
            <w:tcW w:w="1374"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40 782,5</w:t>
            </w:r>
          </w:p>
        </w:tc>
        <w:tc>
          <w:tcPr>
            <w:tcW w:w="1376" w:type="dxa"/>
            <w:shd w:val="clear" w:color="auto" w:fill="auto"/>
            <w:vAlign w:val="bottom"/>
          </w:tcPr>
          <w:p w:rsidR="005E6A14" w:rsidRPr="00AE7191" w:rsidRDefault="005E6A14" w:rsidP="005E6A14">
            <w:pPr>
              <w:spacing w:after="0" w:line="240" w:lineRule="auto"/>
              <w:jc w:val="center"/>
              <w:rPr>
                <w:rFonts w:eastAsia="Times New Roman"/>
                <w:sz w:val="20"/>
                <w:szCs w:val="20"/>
              </w:rPr>
            </w:pPr>
            <w:r w:rsidRPr="00AE7191">
              <w:rPr>
                <w:rFonts w:eastAsia="Times New Roman"/>
                <w:sz w:val="20"/>
                <w:szCs w:val="20"/>
              </w:rPr>
              <w:t>100%</w:t>
            </w:r>
          </w:p>
        </w:tc>
      </w:tr>
    </w:tbl>
    <w:p w:rsidR="005E6A14" w:rsidRPr="00AE7191" w:rsidRDefault="005E6A14" w:rsidP="005E6A14">
      <w:pPr>
        <w:autoSpaceDE w:val="0"/>
        <w:autoSpaceDN w:val="0"/>
        <w:adjustRightInd w:val="0"/>
        <w:spacing w:after="0"/>
        <w:ind w:firstLine="709"/>
        <w:jc w:val="both"/>
        <w:rPr>
          <w:sz w:val="28"/>
          <w:szCs w:val="28"/>
          <w:highlight w:val="yellow"/>
        </w:rPr>
      </w:pPr>
    </w:p>
    <w:p w:rsidR="005E6A14" w:rsidRDefault="005E6A14" w:rsidP="005E6A14">
      <w:pPr>
        <w:autoSpaceDE w:val="0"/>
        <w:autoSpaceDN w:val="0"/>
        <w:adjustRightInd w:val="0"/>
        <w:spacing w:after="0"/>
        <w:ind w:firstLine="709"/>
        <w:rPr>
          <w:sz w:val="24"/>
          <w:szCs w:val="24"/>
        </w:rPr>
      </w:pPr>
    </w:p>
    <w:p w:rsidR="00C15B9C" w:rsidRDefault="00C15B9C" w:rsidP="005E6A14">
      <w:pPr>
        <w:autoSpaceDE w:val="0"/>
        <w:autoSpaceDN w:val="0"/>
        <w:adjustRightInd w:val="0"/>
        <w:spacing w:after="0"/>
        <w:ind w:firstLine="709"/>
        <w:rPr>
          <w:sz w:val="24"/>
          <w:szCs w:val="24"/>
        </w:rPr>
      </w:pPr>
    </w:p>
    <w:p w:rsidR="00C15B9C" w:rsidRDefault="00C15B9C" w:rsidP="005E6A14">
      <w:pPr>
        <w:autoSpaceDE w:val="0"/>
        <w:autoSpaceDN w:val="0"/>
        <w:adjustRightInd w:val="0"/>
        <w:spacing w:after="0"/>
        <w:ind w:firstLine="709"/>
        <w:rPr>
          <w:sz w:val="24"/>
          <w:szCs w:val="24"/>
        </w:rPr>
      </w:pPr>
    </w:p>
    <w:p w:rsidR="00C15B9C" w:rsidRDefault="00C15B9C" w:rsidP="005E6A14">
      <w:pPr>
        <w:autoSpaceDE w:val="0"/>
        <w:autoSpaceDN w:val="0"/>
        <w:adjustRightInd w:val="0"/>
        <w:spacing w:after="0"/>
        <w:ind w:firstLine="709"/>
        <w:rPr>
          <w:sz w:val="24"/>
          <w:szCs w:val="24"/>
        </w:rPr>
      </w:pPr>
    </w:p>
    <w:p w:rsidR="005E6A14" w:rsidRPr="00AE7191" w:rsidRDefault="005E6A14" w:rsidP="005E6A14">
      <w:pPr>
        <w:autoSpaceDE w:val="0"/>
        <w:autoSpaceDN w:val="0"/>
        <w:adjustRightInd w:val="0"/>
        <w:spacing w:after="0"/>
        <w:ind w:firstLine="709"/>
        <w:rPr>
          <w:sz w:val="24"/>
          <w:szCs w:val="24"/>
        </w:rPr>
      </w:pPr>
      <w:r w:rsidRPr="00AE7191">
        <w:rPr>
          <w:sz w:val="24"/>
          <w:szCs w:val="24"/>
        </w:rPr>
        <w:t>Рисунок 3.12.2.</w:t>
      </w:r>
    </w:p>
    <w:p w:rsidR="005E6A14" w:rsidRPr="00AE7191" w:rsidRDefault="005E6A14" w:rsidP="005E6A14">
      <w:pPr>
        <w:autoSpaceDE w:val="0"/>
        <w:autoSpaceDN w:val="0"/>
        <w:adjustRightInd w:val="0"/>
        <w:spacing w:after="0"/>
        <w:ind w:firstLine="709"/>
        <w:jc w:val="center"/>
        <w:rPr>
          <w:rFonts w:eastAsia="Times New Roman"/>
          <w:b/>
          <w:sz w:val="28"/>
          <w:szCs w:val="28"/>
        </w:rPr>
      </w:pPr>
      <w:r w:rsidRPr="00AE7191">
        <w:rPr>
          <w:rFonts w:eastAsia="Times New Roman"/>
          <w:b/>
          <w:sz w:val="28"/>
          <w:szCs w:val="28"/>
        </w:rPr>
        <w:lastRenderedPageBreak/>
        <w:t xml:space="preserve">Структура расходов муниципальной программы </w:t>
      </w:r>
      <w:r w:rsidRPr="00AE7191">
        <w:rPr>
          <w:rFonts w:eastAsia="Times New Roman"/>
          <w:b/>
          <w:sz w:val="28"/>
          <w:szCs w:val="28"/>
        </w:rPr>
        <w:br/>
        <w:t>«Развитие транспортной системы города Ханты-Мансийска»</w:t>
      </w:r>
    </w:p>
    <w:p w:rsidR="005E6A14" w:rsidRPr="00AE7191" w:rsidRDefault="005E6A14" w:rsidP="005E6A14">
      <w:pPr>
        <w:autoSpaceDE w:val="0"/>
        <w:autoSpaceDN w:val="0"/>
        <w:adjustRightInd w:val="0"/>
        <w:spacing w:after="0"/>
        <w:ind w:firstLine="709"/>
        <w:rPr>
          <w:rFonts w:ascii="Arial" w:hAnsi="Arial" w:cs="Arial"/>
          <w:b/>
          <w:bCs/>
          <w:sz w:val="24"/>
          <w:szCs w:val="24"/>
        </w:rPr>
      </w:pPr>
      <w:r w:rsidRPr="00AE7191">
        <w:rPr>
          <w:rFonts w:eastAsia="Times New Roman"/>
          <w:sz w:val="24"/>
          <w:szCs w:val="24"/>
        </w:rPr>
        <w:t>тыс. рублей</w:t>
      </w:r>
      <w:r w:rsidRPr="00AE7191">
        <w:rPr>
          <w:rFonts w:ascii="Arial" w:hAnsi="Arial" w:cs="Arial"/>
          <w:b/>
          <w:bCs/>
          <w:sz w:val="24"/>
          <w:szCs w:val="24"/>
        </w:rPr>
        <w:t xml:space="preserve">  </w:t>
      </w:r>
    </w:p>
    <w:p w:rsidR="005E6A14" w:rsidRPr="00AE7191" w:rsidRDefault="005E6A14" w:rsidP="005E6A14">
      <w:pPr>
        <w:autoSpaceDE w:val="0"/>
        <w:autoSpaceDN w:val="0"/>
        <w:adjustRightInd w:val="0"/>
        <w:spacing w:after="0"/>
        <w:rPr>
          <w:rFonts w:ascii="Arial" w:hAnsi="Arial" w:cs="Arial"/>
          <w:b/>
          <w:bCs/>
          <w:noProof/>
          <w:sz w:val="20"/>
          <w:szCs w:val="20"/>
          <w:highlight w:val="yellow"/>
        </w:rPr>
      </w:pPr>
      <w:r w:rsidRPr="00AE7191">
        <w:rPr>
          <w:rFonts w:ascii="Arial" w:hAnsi="Arial" w:cs="Arial"/>
          <w:b/>
          <w:bCs/>
          <w:noProof/>
          <w:sz w:val="20"/>
          <w:szCs w:val="20"/>
        </w:rPr>
        <w:drawing>
          <wp:inline distT="0" distB="0" distL="0" distR="0" wp14:anchorId="289EE9D9" wp14:editId="737DE5FF">
            <wp:extent cx="5848350" cy="448627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Pr="00AE7191" w:rsidRDefault="005E6A14" w:rsidP="005E6A14">
      <w:pPr>
        <w:autoSpaceDE w:val="0"/>
        <w:autoSpaceDN w:val="0"/>
        <w:adjustRightInd w:val="0"/>
        <w:spacing w:after="0"/>
        <w:ind w:firstLine="709"/>
        <w:rPr>
          <w:rFonts w:ascii="Arial" w:hAnsi="Arial" w:cs="Arial"/>
          <w:b/>
          <w:bCs/>
          <w:noProof/>
          <w:sz w:val="20"/>
          <w:szCs w:val="20"/>
          <w:highlight w:val="yellow"/>
        </w:rPr>
      </w:pPr>
    </w:p>
    <w:p w:rsidR="0010023C" w:rsidRDefault="0010023C" w:rsidP="005E6A14">
      <w:pPr>
        <w:tabs>
          <w:tab w:val="left" w:pos="459"/>
        </w:tabs>
        <w:suppressAutoHyphens/>
        <w:spacing w:after="0"/>
        <w:ind w:firstLine="709"/>
        <w:rPr>
          <w:sz w:val="24"/>
          <w:szCs w:val="24"/>
        </w:rPr>
      </w:pPr>
    </w:p>
    <w:p w:rsidR="0010023C" w:rsidRDefault="0010023C" w:rsidP="005E6A14">
      <w:pPr>
        <w:tabs>
          <w:tab w:val="left" w:pos="459"/>
        </w:tabs>
        <w:suppressAutoHyphens/>
        <w:spacing w:after="0"/>
        <w:ind w:firstLine="709"/>
        <w:rPr>
          <w:sz w:val="24"/>
          <w:szCs w:val="24"/>
        </w:rPr>
      </w:pPr>
    </w:p>
    <w:p w:rsidR="005E6A14" w:rsidRPr="00AE7191" w:rsidRDefault="005E6A14" w:rsidP="005E6A14">
      <w:pPr>
        <w:tabs>
          <w:tab w:val="left" w:pos="459"/>
        </w:tabs>
        <w:suppressAutoHyphens/>
        <w:spacing w:after="0"/>
        <w:ind w:firstLine="709"/>
        <w:rPr>
          <w:sz w:val="24"/>
          <w:szCs w:val="24"/>
        </w:rPr>
      </w:pPr>
      <w:r w:rsidRPr="00AE7191">
        <w:rPr>
          <w:sz w:val="24"/>
          <w:szCs w:val="24"/>
        </w:rPr>
        <w:t xml:space="preserve">Таблица 3.12.3. </w:t>
      </w:r>
    </w:p>
    <w:p w:rsidR="005E6A14" w:rsidRPr="00AE7191" w:rsidRDefault="005E6A14" w:rsidP="005E6A14">
      <w:pPr>
        <w:tabs>
          <w:tab w:val="left" w:pos="-4253"/>
        </w:tabs>
        <w:suppressAutoHyphens/>
        <w:spacing w:after="0"/>
        <w:ind w:firstLine="709"/>
        <w:jc w:val="center"/>
        <w:rPr>
          <w:sz w:val="28"/>
          <w:szCs w:val="28"/>
        </w:rPr>
      </w:pPr>
    </w:p>
    <w:p w:rsidR="005E6A14" w:rsidRPr="00AE7191" w:rsidRDefault="005E6A14" w:rsidP="005E6A14">
      <w:pPr>
        <w:tabs>
          <w:tab w:val="left" w:pos="-4253"/>
        </w:tabs>
        <w:suppressAutoHyphens/>
        <w:spacing w:after="0"/>
        <w:ind w:firstLine="709"/>
        <w:jc w:val="center"/>
        <w:rPr>
          <w:b/>
          <w:sz w:val="28"/>
          <w:szCs w:val="28"/>
        </w:rPr>
      </w:pPr>
      <w:r w:rsidRPr="00AE7191">
        <w:rPr>
          <w:b/>
          <w:sz w:val="28"/>
          <w:szCs w:val="28"/>
        </w:rPr>
        <w:t>Структура расходов муниципальной программы</w:t>
      </w:r>
    </w:p>
    <w:p w:rsidR="005E6A14" w:rsidRPr="00AE7191" w:rsidRDefault="005E6A14" w:rsidP="005E6A14">
      <w:pPr>
        <w:tabs>
          <w:tab w:val="left" w:pos="-4253"/>
        </w:tabs>
        <w:suppressAutoHyphens/>
        <w:spacing w:after="0"/>
        <w:ind w:firstLine="709"/>
        <w:jc w:val="center"/>
        <w:rPr>
          <w:b/>
          <w:sz w:val="28"/>
          <w:szCs w:val="28"/>
        </w:rPr>
      </w:pPr>
      <w:r w:rsidRPr="00AE7191">
        <w:rPr>
          <w:b/>
          <w:sz w:val="28"/>
          <w:szCs w:val="28"/>
        </w:rPr>
        <w:t xml:space="preserve">«Развитие транспортной системы города Ханты-Мансийска» </w:t>
      </w:r>
    </w:p>
    <w:p w:rsidR="005E6A14" w:rsidRPr="00AE7191" w:rsidRDefault="005E6A14" w:rsidP="005E6A14">
      <w:pPr>
        <w:tabs>
          <w:tab w:val="left" w:pos="459"/>
        </w:tabs>
        <w:suppressAutoHyphens/>
        <w:spacing w:after="0"/>
        <w:ind w:firstLine="709"/>
        <w:rPr>
          <w:sz w:val="24"/>
          <w:szCs w:val="24"/>
        </w:rPr>
      </w:pPr>
      <w:r w:rsidRPr="00AE7191">
        <w:rPr>
          <w:sz w:val="24"/>
          <w:szCs w:val="24"/>
        </w:rPr>
        <w:t>(тыс. рублей)</w:t>
      </w:r>
    </w:p>
    <w:tbl>
      <w:tblPr>
        <w:tblW w:w="10037" w:type="dxa"/>
        <w:tblInd w:w="-431" w:type="dxa"/>
        <w:tblLook w:val="04A0" w:firstRow="1" w:lastRow="0" w:firstColumn="1" w:lastColumn="0" w:noHBand="0" w:noVBand="1"/>
      </w:tblPr>
      <w:tblGrid>
        <w:gridCol w:w="4792"/>
        <w:gridCol w:w="1255"/>
        <w:gridCol w:w="1297"/>
        <w:gridCol w:w="1417"/>
        <w:gridCol w:w="1276"/>
      </w:tblGrid>
      <w:tr w:rsidR="005E6A14" w:rsidRPr="00AE7191" w:rsidTr="005E6A14">
        <w:trPr>
          <w:trHeight w:val="300"/>
        </w:trPr>
        <w:tc>
          <w:tcPr>
            <w:tcW w:w="4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ind w:left="-108" w:firstLine="108"/>
              <w:jc w:val="center"/>
              <w:rPr>
                <w:rFonts w:eastAsia="Times New Roman"/>
                <w:bCs/>
                <w:sz w:val="20"/>
                <w:szCs w:val="20"/>
              </w:rPr>
            </w:pPr>
            <w:r w:rsidRPr="00AE7191">
              <w:rPr>
                <w:rFonts w:eastAsia="Times New Roman"/>
                <w:bCs/>
                <w:sz w:val="20"/>
                <w:szCs w:val="20"/>
              </w:rPr>
              <w:t>Наименование муниципальной программы, подпрограммы муниципальной программы</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2020 год (отчет)</w:t>
            </w:r>
          </w:p>
        </w:tc>
        <w:tc>
          <w:tcPr>
            <w:tcW w:w="3990" w:type="dxa"/>
            <w:gridSpan w:val="3"/>
            <w:tcBorders>
              <w:top w:val="single" w:sz="4" w:space="0" w:color="auto"/>
              <w:left w:val="nil"/>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2021 год</w:t>
            </w:r>
          </w:p>
        </w:tc>
      </w:tr>
      <w:tr w:rsidR="005E6A14" w:rsidRPr="00AE7191" w:rsidTr="005E6A14">
        <w:trPr>
          <w:trHeight w:val="1260"/>
        </w:trPr>
        <w:tc>
          <w:tcPr>
            <w:tcW w:w="4792" w:type="dxa"/>
            <w:vMerge/>
            <w:tcBorders>
              <w:top w:val="single" w:sz="4" w:space="0" w:color="auto"/>
              <w:left w:val="single" w:sz="4" w:space="0" w:color="auto"/>
              <w:bottom w:val="single" w:sz="4" w:space="0" w:color="auto"/>
              <w:right w:val="single" w:sz="4" w:space="0" w:color="auto"/>
            </w:tcBorders>
            <w:vAlign w:val="center"/>
            <w:hideMark/>
          </w:tcPr>
          <w:p w:rsidR="005E6A14" w:rsidRPr="00AE7191" w:rsidRDefault="005E6A14" w:rsidP="005E6A14">
            <w:pPr>
              <w:spacing w:after="0" w:line="240" w:lineRule="auto"/>
              <w:jc w:val="left"/>
              <w:rPr>
                <w:rFonts w:eastAsia="Times New Roman"/>
                <w:bCs/>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5E6A14" w:rsidRPr="00AE7191" w:rsidRDefault="005E6A14" w:rsidP="005E6A14">
            <w:pPr>
              <w:spacing w:after="0" w:line="240" w:lineRule="auto"/>
              <w:jc w:val="center"/>
              <w:rPr>
                <w:rFonts w:eastAsia="Times New Roman"/>
                <w:bCs/>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Уточненный план</w:t>
            </w:r>
          </w:p>
        </w:tc>
        <w:tc>
          <w:tcPr>
            <w:tcW w:w="1417" w:type="dxa"/>
            <w:tcBorders>
              <w:top w:val="nil"/>
              <w:left w:val="nil"/>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Исполнение</w:t>
            </w:r>
          </w:p>
        </w:tc>
        <w:tc>
          <w:tcPr>
            <w:tcW w:w="1276" w:type="dxa"/>
            <w:tcBorders>
              <w:top w:val="nil"/>
              <w:left w:val="nil"/>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 исполнения</w:t>
            </w:r>
          </w:p>
        </w:tc>
      </w:tr>
      <w:tr w:rsidR="005E6A14" w:rsidRPr="00AE7191" w:rsidTr="005E6A14">
        <w:trPr>
          <w:trHeight w:val="510"/>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Всего по муниципальной программе, в том числе:</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978 318,9</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507 603,9</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464 447,6</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91,5%</w:t>
            </w:r>
          </w:p>
        </w:tc>
      </w:tr>
      <w:tr w:rsidR="005E6A14" w:rsidRPr="00AE7191" w:rsidTr="005E6A14">
        <w:trPr>
          <w:trHeight w:val="300"/>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федеральный бюджет</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r>
      <w:tr w:rsidR="005E6A14" w:rsidRPr="00AE7191" w:rsidTr="005E6A14">
        <w:trPr>
          <w:trHeight w:val="289"/>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бюджет автономного округа</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750 452,4</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197 201,3</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197 106,9</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100,0%</w:t>
            </w:r>
          </w:p>
        </w:tc>
      </w:tr>
      <w:tr w:rsidR="005E6A14" w:rsidRPr="00AE7191" w:rsidTr="005E6A14">
        <w:trPr>
          <w:trHeight w:val="280"/>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бюджет города</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227 029,1</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310 402,6</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267,340,7</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86,1%</w:t>
            </w:r>
          </w:p>
        </w:tc>
      </w:tr>
      <w:tr w:rsidR="005E6A14" w:rsidRPr="00AE7191" w:rsidTr="005E6A14">
        <w:trPr>
          <w:trHeight w:val="978"/>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lastRenderedPageBreak/>
              <w:t>Основное мероприятие «Строительство, реконструкция, капитальный ремонт и ремонт объектов улично-дорожной сети города», всего, в том числе:</w:t>
            </w:r>
          </w:p>
        </w:tc>
        <w:tc>
          <w:tcPr>
            <w:tcW w:w="1255" w:type="dxa"/>
            <w:tcBorders>
              <w:top w:val="nil"/>
              <w:left w:val="single" w:sz="4" w:space="0" w:color="auto"/>
              <w:bottom w:val="single" w:sz="4" w:space="0" w:color="auto"/>
              <w:right w:val="single" w:sz="4" w:space="0" w:color="auto"/>
            </w:tcBorders>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829 491,2</w:t>
            </w:r>
          </w:p>
        </w:tc>
        <w:tc>
          <w:tcPr>
            <w:tcW w:w="1297" w:type="dxa"/>
            <w:tcBorders>
              <w:top w:val="nil"/>
              <w:left w:val="single" w:sz="4" w:space="0" w:color="auto"/>
              <w:bottom w:val="single" w:sz="4" w:space="0" w:color="auto"/>
              <w:right w:val="single" w:sz="4" w:space="0" w:color="auto"/>
            </w:tcBorders>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149 618,3</w:t>
            </w:r>
          </w:p>
        </w:tc>
        <w:tc>
          <w:tcPr>
            <w:tcW w:w="1417" w:type="dxa"/>
            <w:tcBorders>
              <w:top w:val="nil"/>
              <w:left w:val="single" w:sz="4" w:space="0" w:color="auto"/>
              <w:bottom w:val="single" w:sz="4" w:space="0" w:color="auto"/>
              <w:right w:val="single" w:sz="4" w:space="0" w:color="auto"/>
            </w:tcBorders>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121 029,2</w:t>
            </w:r>
          </w:p>
        </w:tc>
        <w:tc>
          <w:tcPr>
            <w:tcW w:w="1276" w:type="dxa"/>
            <w:tcBorders>
              <w:top w:val="nil"/>
              <w:left w:val="single" w:sz="4" w:space="0" w:color="auto"/>
              <w:bottom w:val="single" w:sz="4" w:space="0" w:color="auto"/>
              <w:right w:val="single" w:sz="4" w:space="0" w:color="auto"/>
            </w:tcBorders>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80,9%</w:t>
            </w:r>
          </w:p>
        </w:tc>
      </w:tr>
      <w:tr w:rsidR="005E6A14" w:rsidRPr="00AE7191" w:rsidTr="005E6A14">
        <w:trPr>
          <w:trHeight w:val="300"/>
        </w:trPr>
        <w:tc>
          <w:tcPr>
            <w:tcW w:w="4792" w:type="dxa"/>
            <w:tcBorders>
              <w:top w:val="nil"/>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федеральный бюджет</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r>
      <w:tr w:rsidR="005E6A14" w:rsidRPr="00AE7191" w:rsidTr="005E6A14">
        <w:trPr>
          <w:trHeight w:val="245"/>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бюджет автономного округа</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748 481,1</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66 825,3</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66 825,3</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100,0%</w:t>
            </w:r>
          </w:p>
        </w:tc>
      </w:tr>
      <w:tr w:rsidR="005E6A14" w:rsidRPr="00AE7191" w:rsidTr="005E6A14">
        <w:trPr>
          <w:trHeight w:val="300"/>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бюджет города</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81 010,1</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82 793,0</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54 203,9</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65,5%</w:t>
            </w:r>
          </w:p>
        </w:tc>
      </w:tr>
      <w:tr w:rsidR="005E6A14" w:rsidRPr="00AE7191" w:rsidTr="005E6A14">
        <w:trPr>
          <w:trHeight w:val="614"/>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Основное мероприятие «Повышение комплексной безопасности дорожного движения и устойчивости транспортной системы», всего, в том числе:</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7 775,2</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10 020,9</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9 412,2</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93,9%</w:t>
            </w:r>
          </w:p>
        </w:tc>
      </w:tr>
      <w:tr w:rsidR="005E6A14" w:rsidRPr="00AE7191" w:rsidTr="005E6A14">
        <w:trPr>
          <w:trHeight w:val="300"/>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федеральный бюджет</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r>
      <w:tr w:rsidR="005E6A14" w:rsidRPr="00AE7191" w:rsidTr="005E6A14">
        <w:trPr>
          <w:trHeight w:val="386"/>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бюджет автономного округа</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2 971,3</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3 500,0</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3 405,6</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97,3%</w:t>
            </w:r>
          </w:p>
        </w:tc>
      </w:tr>
      <w:tr w:rsidR="005E6A14" w:rsidRPr="00AE7191" w:rsidTr="005E6A14">
        <w:trPr>
          <w:trHeight w:val="300"/>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бюджет города</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4 803,9</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6 520,9</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6 006,6</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92,1%</w:t>
            </w:r>
          </w:p>
        </w:tc>
      </w:tr>
      <w:tr w:rsidR="005E6A14" w:rsidRPr="00AE7191" w:rsidTr="005E6A14">
        <w:trPr>
          <w:trHeight w:val="765"/>
        </w:trPr>
        <w:tc>
          <w:tcPr>
            <w:tcW w:w="4792" w:type="dxa"/>
            <w:vMerge w:val="restart"/>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ind w:left="-108" w:firstLine="108"/>
              <w:jc w:val="left"/>
              <w:rPr>
                <w:rFonts w:eastAsia="Times New Roman"/>
                <w:bCs/>
                <w:sz w:val="20"/>
                <w:szCs w:val="20"/>
              </w:rPr>
            </w:pPr>
            <w:r w:rsidRPr="00AE7191">
              <w:rPr>
                <w:rFonts w:eastAsia="Times New Roman"/>
                <w:bCs/>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 всего, в том числе:</w:t>
            </w:r>
          </w:p>
        </w:tc>
        <w:tc>
          <w:tcPr>
            <w:tcW w:w="1255" w:type="dxa"/>
            <w:vMerge w:val="restart"/>
            <w:tcBorders>
              <w:top w:val="nil"/>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141 052,5</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206 991,2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193 032,8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93,3%</w:t>
            </w:r>
          </w:p>
        </w:tc>
      </w:tr>
      <w:tr w:rsidR="005E6A14" w:rsidRPr="00AE7191" w:rsidTr="005E6A14">
        <w:trPr>
          <w:trHeight w:val="283"/>
        </w:trPr>
        <w:tc>
          <w:tcPr>
            <w:tcW w:w="4792" w:type="dxa"/>
            <w:vMerge/>
            <w:tcBorders>
              <w:top w:val="nil"/>
              <w:left w:val="single" w:sz="4" w:space="0" w:color="auto"/>
              <w:bottom w:val="single" w:sz="4" w:space="0" w:color="auto"/>
              <w:right w:val="single" w:sz="4" w:space="0" w:color="auto"/>
            </w:tcBorders>
            <w:vAlign w:val="center"/>
            <w:hideMark/>
          </w:tcPr>
          <w:p w:rsidR="005E6A14" w:rsidRPr="00AE7191" w:rsidRDefault="005E6A14" w:rsidP="005E6A14">
            <w:pPr>
              <w:spacing w:after="0" w:line="240" w:lineRule="auto"/>
              <w:jc w:val="left"/>
              <w:rPr>
                <w:rFonts w:eastAsia="Times New Roman"/>
                <w:bCs/>
                <w:sz w:val="20"/>
                <w:szCs w:val="20"/>
              </w:rPr>
            </w:pPr>
          </w:p>
        </w:tc>
        <w:tc>
          <w:tcPr>
            <w:tcW w:w="1255" w:type="dxa"/>
            <w:vMerge/>
            <w:tcBorders>
              <w:top w:val="nil"/>
              <w:left w:val="single" w:sz="4" w:space="0" w:color="auto"/>
              <w:bottom w:val="single" w:sz="4" w:space="0" w:color="auto"/>
              <w:right w:val="single" w:sz="4" w:space="0" w:color="auto"/>
            </w:tcBorders>
            <w:vAlign w:val="center"/>
          </w:tcPr>
          <w:p w:rsidR="005E6A14" w:rsidRPr="00AE7191" w:rsidRDefault="005E6A14" w:rsidP="005E6A14">
            <w:pPr>
              <w:spacing w:after="0" w:line="240" w:lineRule="auto"/>
              <w:jc w:val="center"/>
              <w:rPr>
                <w:rFonts w:eastAsia="Times New Roman"/>
                <w:bCs/>
                <w:sz w:val="20"/>
                <w:szCs w:val="20"/>
              </w:rPr>
            </w:pPr>
          </w:p>
        </w:tc>
        <w:tc>
          <w:tcPr>
            <w:tcW w:w="1297" w:type="dxa"/>
            <w:vMerge/>
            <w:tcBorders>
              <w:top w:val="nil"/>
              <w:left w:val="single" w:sz="4" w:space="0" w:color="auto"/>
              <w:bottom w:val="single" w:sz="4" w:space="0" w:color="auto"/>
              <w:right w:val="single" w:sz="4" w:space="0" w:color="auto"/>
            </w:tcBorders>
            <w:vAlign w:val="center"/>
          </w:tcPr>
          <w:p w:rsidR="005E6A14" w:rsidRPr="00AE7191" w:rsidRDefault="005E6A14" w:rsidP="005E6A14">
            <w:pPr>
              <w:spacing w:after="0" w:line="240" w:lineRule="auto"/>
              <w:jc w:val="center"/>
              <w:rPr>
                <w:rFonts w:eastAsia="Times New Roman"/>
                <w:bCs/>
                <w:sz w:val="20"/>
                <w:szCs w:val="20"/>
              </w:rPr>
            </w:pPr>
          </w:p>
        </w:tc>
        <w:tc>
          <w:tcPr>
            <w:tcW w:w="1417" w:type="dxa"/>
            <w:vMerge/>
            <w:tcBorders>
              <w:top w:val="nil"/>
              <w:left w:val="single" w:sz="4" w:space="0" w:color="auto"/>
              <w:bottom w:val="single" w:sz="4" w:space="0" w:color="auto"/>
              <w:right w:val="single" w:sz="4" w:space="0" w:color="auto"/>
            </w:tcBorders>
            <w:vAlign w:val="center"/>
          </w:tcPr>
          <w:p w:rsidR="005E6A14" w:rsidRPr="00AE7191" w:rsidRDefault="005E6A14" w:rsidP="005E6A14">
            <w:pPr>
              <w:spacing w:after="0" w:line="240" w:lineRule="auto"/>
              <w:jc w:val="center"/>
              <w:rPr>
                <w:rFonts w:eastAsia="Times New Roman"/>
                <w:bCs/>
                <w:sz w:val="20"/>
                <w:szCs w:val="20"/>
              </w:rPr>
            </w:pPr>
          </w:p>
        </w:tc>
        <w:tc>
          <w:tcPr>
            <w:tcW w:w="1276" w:type="dxa"/>
            <w:vMerge/>
            <w:tcBorders>
              <w:top w:val="nil"/>
              <w:left w:val="single" w:sz="4" w:space="0" w:color="auto"/>
              <w:bottom w:val="single" w:sz="4" w:space="0" w:color="auto"/>
              <w:right w:val="single" w:sz="4" w:space="0" w:color="auto"/>
            </w:tcBorders>
            <w:vAlign w:val="center"/>
          </w:tcPr>
          <w:p w:rsidR="005E6A14" w:rsidRPr="00AE7191" w:rsidRDefault="005E6A14" w:rsidP="005E6A14">
            <w:pPr>
              <w:spacing w:after="0" w:line="240" w:lineRule="auto"/>
              <w:jc w:val="center"/>
              <w:rPr>
                <w:rFonts w:eastAsia="Times New Roman"/>
                <w:bCs/>
                <w:sz w:val="20"/>
                <w:szCs w:val="20"/>
              </w:rPr>
            </w:pPr>
          </w:p>
        </w:tc>
      </w:tr>
      <w:tr w:rsidR="005E6A14" w:rsidRPr="00AE7191" w:rsidTr="005E6A14">
        <w:trPr>
          <w:trHeight w:val="300"/>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федеральный бюджет</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r>
      <w:tr w:rsidR="005E6A14" w:rsidRPr="00AE7191" w:rsidTr="005E6A14">
        <w:trPr>
          <w:trHeight w:val="248"/>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5E6A14" w:rsidRPr="00AE7191" w:rsidRDefault="005E6A14" w:rsidP="005E6A14">
            <w:pPr>
              <w:spacing w:after="0" w:line="240" w:lineRule="auto"/>
              <w:ind w:left="-249" w:firstLine="249"/>
              <w:jc w:val="left"/>
              <w:rPr>
                <w:rFonts w:eastAsia="Times New Roman"/>
                <w:bCs/>
                <w:sz w:val="20"/>
                <w:szCs w:val="20"/>
              </w:rPr>
            </w:pPr>
            <w:r w:rsidRPr="00AE7191">
              <w:rPr>
                <w:rFonts w:eastAsia="Times New Roman"/>
                <w:bCs/>
                <w:sz w:val="20"/>
                <w:szCs w:val="20"/>
              </w:rPr>
              <w:t>- бюджет автономного округа</w:t>
            </w:r>
          </w:p>
        </w:tc>
        <w:tc>
          <w:tcPr>
            <w:tcW w:w="1255"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r>
      <w:tr w:rsidR="005E6A14" w:rsidRPr="00AE7191" w:rsidTr="005E6A14">
        <w:trPr>
          <w:trHeight w:val="295"/>
        </w:trPr>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ind w:left="-249" w:firstLine="249"/>
              <w:jc w:val="left"/>
              <w:rPr>
                <w:rFonts w:eastAsia="Times New Roman"/>
                <w:bCs/>
                <w:sz w:val="20"/>
                <w:szCs w:val="20"/>
              </w:rPr>
            </w:pPr>
            <w:r w:rsidRPr="00AE7191">
              <w:rPr>
                <w:rFonts w:eastAsia="Times New Roman"/>
                <w:bCs/>
                <w:sz w:val="20"/>
                <w:szCs w:val="20"/>
              </w:rPr>
              <w:t>- бюджет города</w:t>
            </w:r>
          </w:p>
        </w:tc>
        <w:tc>
          <w:tcPr>
            <w:tcW w:w="1255"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141 052,5</w:t>
            </w:r>
          </w:p>
        </w:tc>
        <w:tc>
          <w:tcPr>
            <w:tcW w:w="129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206 991,2</w:t>
            </w:r>
          </w:p>
        </w:tc>
        <w:tc>
          <w:tcPr>
            <w:tcW w:w="141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193 032,8</w:t>
            </w:r>
          </w:p>
        </w:tc>
        <w:tc>
          <w:tcPr>
            <w:tcW w:w="1276"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93,3%</w:t>
            </w:r>
          </w:p>
        </w:tc>
      </w:tr>
      <w:tr w:rsidR="005E6A14" w:rsidRPr="00AE7191" w:rsidTr="005E6A14">
        <w:trPr>
          <w:trHeight w:val="295"/>
        </w:trPr>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ind w:left="-249" w:firstLine="249"/>
              <w:jc w:val="left"/>
              <w:rPr>
                <w:rFonts w:eastAsia="Times New Roman"/>
                <w:bCs/>
                <w:sz w:val="20"/>
                <w:szCs w:val="20"/>
              </w:rPr>
            </w:pPr>
            <w:r w:rsidRPr="00AE7191">
              <w:rPr>
                <w:rFonts w:eastAsia="Times New Roman"/>
                <w:bCs/>
                <w:sz w:val="20"/>
                <w:szCs w:val="20"/>
              </w:rPr>
              <w:t>Региональный проект "Дорожная сеть"</w:t>
            </w:r>
          </w:p>
        </w:tc>
        <w:tc>
          <w:tcPr>
            <w:tcW w:w="1255"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140 973,5</w:t>
            </w:r>
          </w:p>
        </w:tc>
        <w:tc>
          <w:tcPr>
            <w:tcW w:w="141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140 973,4</w:t>
            </w:r>
          </w:p>
        </w:tc>
        <w:tc>
          <w:tcPr>
            <w:tcW w:w="1276"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100,0%</w:t>
            </w:r>
          </w:p>
        </w:tc>
      </w:tr>
      <w:tr w:rsidR="005E6A14" w:rsidRPr="00AE7191" w:rsidTr="005E6A14">
        <w:trPr>
          <w:trHeight w:val="295"/>
        </w:trPr>
        <w:tc>
          <w:tcPr>
            <w:tcW w:w="4792" w:type="dxa"/>
            <w:tcBorders>
              <w:top w:val="nil"/>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left"/>
              <w:rPr>
                <w:rFonts w:eastAsia="Times New Roman"/>
                <w:bCs/>
                <w:sz w:val="20"/>
                <w:szCs w:val="20"/>
              </w:rPr>
            </w:pPr>
            <w:r w:rsidRPr="00AE7191">
              <w:rPr>
                <w:rFonts w:eastAsia="Times New Roman"/>
                <w:bCs/>
                <w:sz w:val="20"/>
                <w:szCs w:val="20"/>
              </w:rPr>
              <w:t>- федеральный бюджет</w:t>
            </w:r>
          </w:p>
        </w:tc>
        <w:tc>
          <w:tcPr>
            <w:tcW w:w="1255"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r>
      <w:tr w:rsidR="005E6A14" w:rsidRPr="00AE7191" w:rsidTr="005E6A14">
        <w:trPr>
          <w:trHeight w:val="295"/>
        </w:trPr>
        <w:tc>
          <w:tcPr>
            <w:tcW w:w="4792" w:type="dxa"/>
            <w:tcBorders>
              <w:top w:val="nil"/>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ind w:left="-249" w:firstLine="249"/>
              <w:jc w:val="left"/>
              <w:rPr>
                <w:rFonts w:eastAsia="Times New Roman"/>
                <w:bCs/>
                <w:sz w:val="20"/>
                <w:szCs w:val="20"/>
              </w:rPr>
            </w:pPr>
            <w:r w:rsidRPr="00AE7191">
              <w:rPr>
                <w:rFonts w:eastAsia="Times New Roman"/>
                <w:bCs/>
                <w:sz w:val="20"/>
                <w:szCs w:val="20"/>
              </w:rPr>
              <w:t>- бюджет автономного округа</w:t>
            </w:r>
          </w:p>
        </w:tc>
        <w:tc>
          <w:tcPr>
            <w:tcW w:w="1255"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126 876,0</w:t>
            </w:r>
          </w:p>
        </w:tc>
        <w:tc>
          <w:tcPr>
            <w:tcW w:w="141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126 876,0</w:t>
            </w:r>
          </w:p>
        </w:tc>
        <w:tc>
          <w:tcPr>
            <w:tcW w:w="1276"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100,0%</w:t>
            </w:r>
          </w:p>
        </w:tc>
      </w:tr>
      <w:tr w:rsidR="005E6A14" w:rsidRPr="00AE7191" w:rsidTr="005E6A14">
        <w:trPr>
          <w:trHeight w:val="295"/>
        </w:trPr>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5E6A14" w:rsidRPr="00AE7191" w:rsidRDefault="005E6A14" w:rsidP="005E6A14">
            <w:pPr>
              <w:spacing w:after="0" w:line="240" w:lineRule="auto"/>
              <w:ind w:left="-249" w:firstLine="249"/>
              <w:jc w:val="left"/>
              <w:rPr>
                <w:rFonts w:eastAsia="Times New Roman"/>
                <w:bCs/>
                <w:sz w:val="20"/>
                <w:szCs w:val="20"/>
              </w:rPr>
            </w:pPr>
            <w:r w:rsidRPr="00AE7191">
              <w:rPr>
                <w:rFonts w:eastAsia="Times New Roman"/>
                <w:bCs/>
                <w:sz w:val="20"/>
                <w:szCs w:val="20"/>
              </w:rPr>
              <w:t>- бюджет города</w:t>
            </w:r>
          </w:p>
        </w:tc>
        <w:tc>
          <w:tcPr>
            <w:tcW w:w="1255"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14 097,5</w:t>
            </w:r>
          </w:p>
        </w:tc>
        <w:tc>
          <w:tcPr>
            <w:tcW w:w="1417"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14 097,4</w:t>
            </w:r>
          </w:p>
        </w:tc>
        <w:tc>
          <w:tcPr>
            <w:tcW w:w="1276" w:type="dxa"/>
            <w:tcBorders>
              <w:top w:val="single" w:sz="4" w:space="0" w:color="auto"/>
              <w:left w:val="nil"/>
              <w:bottom w:val="single" w:sz="4" w:space="0" w:color="auto"/>
              <w:right w:val="single" w:sz="4" w:space="0" w:color="auto"/>
            </w:tcBorders>
            <w:shd w:val="clear" w:color="auto" w:fill="auto"/>
            <w:vAlign w:val="center"/>
          </w:tcPr>
          <w:p w:rsidR="005E6A14" w:rsidRPr="00AE7191" w:rsidRDefault="005E6A14" w:rsidP="005E6A14">
            <w:pPr>
              <w:spacing w:after="0" w:line="240" w:lineRule="auto"/>
              <w:jc w:val="center"/>
              <w:rPr>
                <w:rFonts w:eastAsia="Times New Roman"/>
                <w:bCs/>
                <w:sz w:val="20"/>
                <w:szCs w:val="20"/>
              </w:rPr>
            </w:pPr>
            <w:r w:rsidRPr="00AE7191">
              <w:rPr>
                <w:rFonts w:eastAsia="Times New Roman"/>
                <w:bCs/>
                <w:sz w:val="20"/>
                <w:szCs w:val="20"/>
              </w:rPr>
              <w:t>100,0%</w:t>
            </w:r>
          </w:p>
        </w:tc>
      </w:tr>
    </w:tbl>
    <w:p w:rsidR="005E6A14" w:rsidRPr="00AE7191" w:rsidRDefault="005E6A14" w:rsidP="005E6A14">
      <w:pPr>
        <w:spacing w:after="0"/>
        <w:ind w:firstLine="709"/>
        <w:contextualSpacing/>
        <w:jc w:val="both"/>
        <w:rPr>
          <w:sz w:val="28"/>
          <w:szCs w:val="28"/>
          <w:highlight w:val="yellow"/>
        </w:rPr>
      </w:pPr>
      <w:r w:rsidRPr="00AE7191">
        <w:rPr>
          <w:sz w:val="28"/>
          <w:szCs w:val="28"/>
          <w:highlight w:val="yellow"/>
        </w:rPr>
        <w:t xml:space="preserve"> </w:t>
      </w:r>
    </w:p>
    <w:p w:rsidR="005E6A14" w:rsidRPr="009F5813" w:rsidRDefault="005E6A14" w:rsidP="005E6A14">
      <w:pPr>
        <w:spacing w:after="0"/>
        <w:ind w:firstLine="709"/>
        <w:contextualSpacing/>
        <w:jc w:val="both"/>
        <w:rPr>
          <w:sz w:val="28"/>
          <w:szCs w:val="28"/>
          <w:highlight w:val="red"/>
        </w:rPr>
      </w:pPr>
      <w:r w:rsidRPr="009F5813">
        <w:rPr>
          <w:sz w:val="28"/>
          <w:szCs w:val="28"/>
        </w:rPr>
        <w:t xml:space="preserve">  </w:t>
      </w:r>
      <w:r w:rsidRPr="009F5813">
        <w:rPr>
          <w:bCs/>
          <w:sz w:val="28"/>
          <w:szCs w:val="28"/>
        </w:rPr>
        <w:t>1. Основное мероприятие «Строительство, реконструкция, капитальный ремонт и ремонт объектов улично-дорожной сети города», при плане 149 618,3 тыс. рублей,</w:t>
      </w:r>
      <w:r w:rsidRPr="009F5813">
        <w:rPr>
          <w:sz w:val="28"/>
          <w:szCs w:val="28"/>
        </w:rPr>
        <w:t xml:space="preserve"> и</w:t>
      </w:r>
      <w:r w:rsidRPr="009F5813">
        <w:rPr>
          <w:bCs/>
          <w:sz w:val="28"/>
          <w:szCs w:val="28"/>
        </w:rPr>
        <w:t>сполнение составило 121 029,2 тыс. рублей или 80,9%,</w:t>
      </w:r>
      <w:r w:rsidRPr="009F5813">
        <w:rPr>
          <w:sz w:val="28"/>
          <w:szCs w:val="28"/>
        </w:rPr>
        <w:t xml:space="preserve"> в том числе средства автономного округа – 66 825,3 тыс. рублей</w:t>
      </w:r>
      <w:r w:rsidRPr="009F5813">
        <w:rPr>
          <w:bCs/>
          <w:sz w:val="28"/>
          <w:szCs w:val="28"/>
        </w:rPr>
        <w:t xml:space="preserve"> и </w:t>
      </w:r>
      <w:r w:rsidRPr="009F5813">
        <w:rPr>
          <w:sz w:val="28"/>
          <w:szCs w:val="28"/>
        </w:rPr>
        <w:t>средства городского округа – 54 203,9</w:t>
      </w:r>
      <w:r w:rsidRPr="009F5813">
        <w:rPr>
          <w:rFonts w:eastAsia="Times New Roman"/>
          <w:color w:val="000000"/>
          <w:sz w:val="28"/>
          <w:szCs w:val="28"/>
        </w:rPr>
        <w:t xml:space="preserve"> </w:t>
      </w:r>
      <w:r w:rsidRPr="009F5813">
        <w:rPr>
          <w:sz w:val="28"/>
          <w:szCs w:val="28"/>
        </w:rPr>
        <w:t>тыс. рублей.</w:t>
      </w:r>
      <w:r w:rsidRPr="009F5813">
        <w:rPr>
          <w:sz w:val="28"/>
          <w:szCs w:val="28"/>
          <w:highlight w:val="red"/>
        </w:rPr>
        <w:t xml:space="preserve">  </w:t>
      </w:r>
    </w:p>
    <w:p w:rsidR="005E6A14" w:rsidRPr="009F5813" w:rsidRDefault="005E6A14" w:rsidP="005E6A14">
      <w:pPr>
        <w:shd w:val="clear" w:color="auto" w:fill="FFFFFF" w:themeFill="background1"/>
        <w:spacing w:after="0"/>
        <w:ind w:firstLine="709"/>
        <w:contextualSpacing/>
        <w:jc w:val="both"/>
        <w:rPr>
          <w:sz w:val="28"/>
          <w:szCs w:val="28"/>
        </w:rPr>
      </w:pPr>
      <w:r w:rsidRPr="009F5813">
        <w:rPr>
          <w:rFonts w:eastAsia="Calibri"/>
          <w:sz w:val="28"/>
          <w:szCs w:val="28"/>
        </w:rPr>
        <w:t>Средства направлены на</w:t>
      </w:r>
      <w:r w:rsidRPr="009F5813">
        <w:rPr>
          <w:sz w:val="28"/>
          <w:szCs w:val="28"/>
        </w:rPr>
        <w:t>:</w:t>
      </w:r>
    </w:p>
    <w:p w:rsidR="005E6A14" w:rsidRPr="009F5813" w:rsidRDefault="005E6A14" w:rsidP="005E6A14">
      <w:pPr>
        <w:spacing w:after="0"/>
        <w:ind w:firstLine="709"/>
        <w:contextualSpacing/>
        <w:jc w:val="both"/>
        <w:rPr>
          <w:bCs/>
          <w:sz w:val="28"/>
          <w:szCs w:val="28"/>
        </w:rPr>
      </w:pPr>
      <w:r w:rsidRPr="009F5813">
        <w:rPr>
          <w:bCs/>
          <w:sz w:val="28"/>
          <w:szCs w:val="28"/>
        </w:rPr>
        <w:t xml:space="preserve">- </w:t>
      </w:r>
      <w:r w:rsidRPr="009F5813">
        <w:rPr>
          <w:sz w:val="28"/>
          <w:szCs w:val="28"/>
        </w:rPr>
        <w:t xml:space="preserve">выполнение работ по объекту </w:t>
      </w:r>
      <w:r w:rsidRPr="009F5813">
        <w:rPr>
          <w:bCs/>
          <w:sz w:val="28"/>
          <w:szCs w:val="28"/>
        </w:rPr>
        <w:t xml:space="preserve">«Ремонт участка дорог в </w:t>
      </w:r>
      <w:proofErr w:type="spellStart"/>
      <w:r w:rsidRPr="009F5813">
        <w:rPr>
          <w:bCs/>
          <w:sz w:val="28"/>
          <w:szCs w:val="28"/>
        </w:rPr>
        <w:t>мкр</w:t>
      </w:r>
      <w:proofErr w:type="spellEnd"/>
      <w:r w:rsidRPr="009F5813">
        <w:rPr>
          <w:bCs/>
          <w:sz w:val="28"/>
          <w:szCs w:val="28"/>
        </w:rPr>
        <w:t xml:space="preserve">. «Восточный» на сумму 1 572,7 </w:t>
      </w:r>
      <w:r w:rsidRPr="009F5813">
        <w:rPr>
          <w:sz w:val="28"/>
          <w:szCs w:val="28"/>
        </w:rPr>
        <w:t>тыс. рублей;</w:t>
      </w:r>
      <w:r w:rsidRPr="009F5813">
        <w:rPr>
          <w:bCs/>
          <w:sz w:val="28"/>
          <w:szCs w:val="28"/>
        </w:rPr>
        <w:t xml:space="preserve"> </w:t>
      </w:r>
    </w:p>
    <w:p w:rsidR="005E6A14" w:rsidRPr="009F5813" w:rsidRDefault="005E6A14" w:rsidP="005E6A14">
      <w:pPr>
        <w:spacing w:after="0"/>
        <w:ind w:firstLine="709"/>
        <w:contextualSpacing/>
        <w:jc w:val="both"/>
        <w:rPr>
          <w:bCs/>
          <w:sz w:val="28"/>
          <w:szCs w:val="28"/>
        </w:rPr>
      </w:pPr>
      <w:r w:rsidRPr="009F5813">
        <w:rPr>
          <w:bCs/>
          <w:sz w:val="28"/>
          <w:szCs w:val="28"/>
        </w:rPr>
        <w:t xml:space="preserve">-  </w:t>
      </w:r>
      <w:r w:rsidRPr="009F5813">
        <w:rPr>
          <w:sz w:val="28"/>
          <w:szCs w:val="28"/>
        </w:rPr>
        <w:t>выполнены строительные работы на сумму 5 229,2 тыс. рублей по объекту «</w:t>
      </w:r>
      <w:r w:rsidRPr="009F5813">
        <w:rPr>
          <w:bCs/>
          <w:sz w:val="28"/>
          <w:szCs w:val="28"/>
        </w:rPr>
        <w:t xml:space="preserve">«Жилой комплекс «Иртыш» в микрорайоне </w:t>
      </w:r>
      <w:proofErr w:type="spellStart"/>
      <w:r w:rsidRPr="009F5813">
        <w:rPr>
          <w:bCs/>
          <w:sz w:val="28"/>
          <w:szCs w:val="28"/>
        </w:rPr>
        <w:t>Гидронамыв</w:t>
      </w:r>
      <w:proofErr w:type="spellEnd"/>
      <w:r w:rsidRPr="009F5813">
        <w:rPr>
          <w:bCs/>
          <w:sz w:val="28"/>
          <w:szCs w:val="28"/>
        </w:rPr>
        <w:t>». Строительство улиц и дорог» 2 этап строительства</w:t>
      </w:r>
      <w:r w:rsidRPr="009F5813">
        <w:rPr>
          <w:sz w:val="28"/>
          <w:szCs w:val="28"/>
        </w:rPr>
        <w:t>;</w:t>
      </w:r>
    </w:p>
    <w:p w:rsidR="005E6A14" w:rsidRPr="009F5813" w:rsidRDefault="005E6A14" w:rsidP="005E6A14">
      <w:pPr>
        <w:spacing w:after="0"/>
        <w:ind w:firstLine="709"/>
        <w:contextualSpacing/>
        <w:jc w:val="both"/>
        <w:rPr>
          <w:sz w:val="28"/>
          <w:szCs w:val="28"/>
        </w:rPr>
      </w:pPr>
      <w:r w:rsidRPr="009F5813">
        <w:rPr>
          <w:sz w:val="28"/>
          <w:szCs w:val="28"/>
        </w:rPr>
        <w:t>- выполнены строительные работы на сумму 13 651,3 тыс. рублей по объекту «Автомобильная дорога по ул. Тихая на участке от Широтного коридора до ул. Аграрная»;</w:t>
      </w:r>
    </w:p>
    <w:p w:rsidR="005E6A14" w:rsidRPr="009F5813" w:rsidRDefault="005E6A14" w:rsidP="005E6A14">
      <w:pPr>
        <w:spacing w:after="0"/>
        <w:ind w:firstLine="709"/>
        <w:contextualSpacing/>
        <w:jc w:val="both"/>
        <w:rPr>
          <w:sz w:val="28"/>
          <w:szCs w:val="28"/>
        </w:rPr>
      </w:pPr>
      <w:r w:rsidRPr="009F5813">
        <w:rPr>
          <w:sz w:val="28"/>
          <w:szCs w:val="28"/>
        </w:rPr>
        <w:t>- выполнены строительные работы на сумму 95 294,8 тыс. рублей по объекту: Улично-дорожная сеть микрорайона «Береговая зона» 1 этап;</w:t>
      </w:r>
    </w:p>
    <w:p w:rsidR="005E6A14" w:rsidRPr="009F5813" w:rsidRDefault="005E6A14" w:rsidP="005E6A14">
      <w:pPr>
        <w:spacing w:after="0"/>
        <w:ind w:firstLine="709"/>
        <w:contextualSpacing/>
        <w:jc w:val="both"/>
        <w:rPr>
          <w:sz w:val="28"/>
          <w:szCs w:val="28"/>
        </w:rPr>
      </w:pPr>
      <w:r w:rsidRPr="009F5813">
        <w:rPr>
          <w:rFonts w:eastAsia="Times New Roman"/>
          <w:sz w:val="28"/>
          <w:szCs w:val="28"/>
        </w:rPr>
        <w:t xml:space="preserve">- </w:t>
      </w:r>
      <w:r w:rsidRPr="009F5813">
        <w:rPr>
          <w:sz w:val="28"/>
          <w:szCs w:val="28"/>
        </w:rPr>
        <w:t xml:space="preserve">выполнены строительные работы на сумму 5 281,3 тыс. рублей по объекту «Строительство автомобильной дороги от ул. Дзержинского до ул. Объездная, с устройством транспортных развязок на пересечении ул. Дзержинского-ул. </w:t>
      </w:r>
      <w:proofErr w:type="spellStart"/>
      <w:r w:rsidRPr="009F5813">
        <w:rPr>
          <w:sz w:val="28"/>
          <w:szCs w:val="28"/>
        </w:rPr>
        <w:t>Рознина</w:t>
      </w:r>
      <w:proofErr w:type="spellEnd"/>
      <w:r w:rsidRPr="009F5813">
        <w:rPr>
          <w:sz w:val="28"/>
          <w:szCs w:val="28"/>
        </w:rPr>
        <w:t xml:space="preserve"> и ул. Дзержинского-ул. Объездная. 2 этап»;</w:t>
      </w:r>
    </w:p>
    <w:p w:rsidR="005E6A14" w:rsidRPr="009F5813" w:rsidRDefault="005E6A14" w:rsidP="005E6A14">
      <w:pPr>
        <w:spacing w:after="0"/>
        <w:ind w:firstLine="709"/>
        <w:contextualSpacing/>
        <w:jc w:val="both"/>
        <w:rPr>
          <w:sz w:val="28"/>
          <w:szCs w:val="28"/>
          <w:highlight w:val="yellow"/>
        </w:rPr>
      </w:pPr>
      <w:r w:rsidRPr="009F5813">
        <w:rPr>
          <w:sz w:val="28"/>
          <w:szCs w:val="28"/>
        </w:rPr>
        <w:lastRenderedPageBreak/>
        <w:t xml:space="preserve">Уменьшение финансирования мероприятия муниципальной программы в 2021 году по сравнению с 2020 связано с корректировкой проекта «Жилой комплекс "Иртыш" в </w:t>
      </w:r>
      <w:proofErr w:type="spellStart"/>
      <w:r w:rsidRPr="009F5813">
        <w:rPr>
          <w:sz w:val="28"/>
          <w:szCs w:val="28"/>
        </w:rPr>
        <w:t>мкр</w:t>
      </w:r>
      <w:proofErr w:type="spellEnd"/>
      <w:r w:rsidRPr="009F5813">
        <w:rPr>
          <w:sz w:val="28"/>
          <w:szCs w:val="28"/>
        </w:rPr>
        <w:t xml:space="preserve">. </w:t>
      </w:r>
      <w:proofErr w:type="spellStart"/>
      <w:r w:rsidRPr="009F5813">
        <w:rPr>
          <w:sz w:val="28"/>
          <w:szCs w:val="28"/>
        </w:rPr>
        <w:t>Гидронамыв</w:t>
      </w:r>
      <w:proofErr w:type="spellEnd"/>
      <w:r w:rsidRPr="009F5813">
        <w:rPr>
          <w:sz w:val="28"/>
          <w:szCs w:val="28"/>
        </w:rPr>
        <w:t>. Строительство улиц и дорог. 2 этап строительства.</w:t>
      </w:r>
    </w:p>
    <w:p w:rsidR="005E6A14" w:rsidRPr="009F5813" w:rsidRDefault="005E6A14" w:rsidP="005E6A14">
      <w:pPr>
        <w:shd w:val="clear" w:color="auto" w:fill="FFFFFF" w:themeFill="background1"/>
        <w:spacing w:after="0"/>
        <w:ind w:firstLine="709"/>
        <w:contextualSpacing/>
        <w:jc w:val="both"/>
        <w:rPr>
          <w:bCs/>
          <w:sz w:val="28"/>
          <w:szCs w:val="28"/>
        </w:rPr>
      </w:pPr>
      <w:r w:rsidRPr="009F5813">
        <w:rPr>
          <w:sz w:val="28"/>
          <w:szCs w:val="28"/>
        </w:rPr>
        <w:t xml:space="preserve">2. Основное мероприятие «Повышение комплексной безопасности дорожного движения и устойчивости транспортной системы» при плане 10 020,9 тыс. рублей, исполнение составило 9 412,2 тыс. рублей или 93,9%, в том числе 3 405,6 тыс. рублей из бюджет автономного округа и 6 006,6 тыс. рублей </w:t>
      </w:r>
      <w:r w:rsidRPr="009F5813">
        <w:rPr>
          <w:bCs/>
          <w:sz w:val="28"/>
          <w:szCs w:val="28"/>
        </w:rPr>
        <w:t>из городского бюджета.</w:t>
      </w:r>
    </w:p>
    <w:p w:rsidR="005E6A14" w:rsidRPr="009F5813" w:rsidRDefault="005E6A14" w:rsidP="005E6A14">
      <w:pPr>
        <w:shd w:val="clear" w:color="auto" w:fill="FFFFFF" w:themeFill="background1"/>
        <w:spacing w:after="0"/>
        <w:ind w:firstLine="709"/>
        <w:contextualSpacing/>
        <w:jc w:val="both"/>
        <w:rPr>
          <w:sz w:val="28"/>
          <w:szCs w:val="28"/>
        </w:rPr>
      </w:pPr>
      <w:r w:rsidRPr="009F5813">
        <w:rPr>
          <w:rFonts w:eastAsia="Calibri"/>
          <w:sz w:val="28"/>
          <w:szCs w:val="28"/>
        </w:rPr>
        <w:t>Средства направлены на</w:t>
      </w:r>
      <w:r w:rsidRPr="009F5813">
        <w:rPr>
          <w:sz w:val="28"/>
          <w:szCs w:val="28"/>
        </w:rPr>
        <w:t>:</w:t>
      </w:r>
    </w:p>
    <w:p w:rsidR="005E6A14" w:rsidRPr="009F5813" w:rsidRDefault="005E6A14" w:rsidP="005E6A14">
      <w:pPr>
        <w:spacing w:after="0"/>
        <w:ind w:firstLine="709"/>
        <w:jc w:val="both"/>
        <w:rPr>
          <w:sz w:val="28"/>
          <w:szCs w:val="28"/>
          <w:highlight w:val="yellow"/>
        </w:rPr>
      </w:pPr>
      <w:r w:rsidRPr="009F5813">
        <w:rPr>
          <w:sz w:val="28"/>
          <w:szCs w:val="28"/>
        </w:rPr>
        <w:t>- обустройство перекрестка улиц Мира – Строителей города Ханты-Мансийска техническим комплексом фото-</w:t>
      </w:r>
      <w:proofErr w:type="spellStart"/>
      <w:r w:rsidRPr="009F5813">
        <w:rPr>
          <w:sz w:val="28"/>
          <w:szCs w:val="28"/>
        </w:rPr>
        <w:t>видеофиксации</w:t>
      </w:r>
      <w:proofErr w:type="spellEnd"/>
      <w:r w:rsidRPr="009F5813">
        <w:rPr>
          <w:sz w:val="28"/>
          <w:szCs w:val="28"/>
        </w:rPr>
        <w:t xml:space="preserve"> нарушений правил дорожного движения в количестве 1 шт. Работы выполнены в полном объеме, на общую сумму 6 811,2 тыс. рублей, в том числе средства бюджета автономного округа- 3 405,6 тыс. рублей и средства городского бюджета 3 405,6 тыс. рублей.</w:t>
      </w:r>
    </w:p>
    <w:p w:rsidR="005E6A14" w:rsidRPr="009F5813" w:rsidRDefault="005E6A14" w:rsidP="005E6A14">
      <w:pPr>
        <w:spacing w:after="0"/>
        <w:ind w:firstLine="709"/>
        <w:contextualSpacing/>
        <w:jc w:val="both"/>
        <w:rPr>
          <w:sz w:val="28"/>
          <w:szCs w:val="28"/>
        </w:rPr>
      </w:pPr>
      <w:r w:rsidRPr="009F5813">
        <w:rPr>
          <w:sz w:val="28"/>
          <w:szCs w:val="28"/>
        </w:rPr>
        <w:t>- обеспечение текущей работы и техническое обслуживание комплексов фото-</w:t>
      </w:r>
      <w:proofErr w:type="spellStart"/>
      <w:r w:rsidRPr="009F5813">
        <w:rPr>
          <w:sz w:val="28"/>
          <w:szCs w:val="28"/>
        </w:rPr>
        <w:t>видеофиксации</w:t>
      </w:r>
      <w:proofErr w:type="spellEnd"/>
      <w:r w:rsidRPr="009F5813">
        <w:rPr>
          <w:sz w:val="28"/>
          <w:szCs w:val="28"/>
        </w:rPr>
        <w:t xml:space="preserve"> нарушений правил дорожного движения составило в сумме 2 600,9 тыс. рублей средства городского бюджета.</w:t>
      </w:r>
    </w:p>
    <w:p w:rsidR="005E6A14" w:rsidRPr="009F5813" w:rsidRDefault="005E6A14" w:rsidP="005E6A14">
      <w:pPr>
        <w:spacing w:after="0"/>
        <w:ind w:firstLine="709"/>
        <w:jc w:val="both"/>
        <w:rPr>
          <w:sz w:val="28"/>
          <w:szCs w:val="28"/>
        </w:rPr>
      </w:pPr>
      <w:r w:rsidRPr="009F5813">
        <w:rPr>
          <w:sz w:val="28"/>
          <w:szCs w:val="28"/>
        </w:rPr>
        <w:t>- проведение работ по актуализации проектов организации дорожного движения (ПОДД) на автомобильные дороги общего пользования местного значения в городе Ханты-Мансийске запланировано на 2021 год 420,0 тыс. рублей из городского бюджета, срок окончания выполнения работ по заключенным муниципальным ко</w:t>
      </w:r>
      <w:r>
        <w:rPr>
          <w:sz w:val="28"/>
          <w:szCs w:val="28"/>
        </w:rPr>
        <w:t>нтрактам - I квартал 2022 года.</w:t>
      </w:r>
    </w:p>
    <w:p w:rsidR="005E6A14" w:rsidRPr="009F5813" w:rsidRDefault="005E6A14" w:rsidP="005E6A14">
      <w:pPr>
        <w:shd w:val="clear" w:color="auto" w:fill="FFFFFF" w:themeFill="background1"/>
        <w:spacing w:after="0"/>
        <w:ind w:firstLine="709"/>
        <w:contextualSpacing/>
        <w:jc w:val="both"/>
        <w:rPr>
          <w:bCs/>
          <w:sz w:val="28"/>
          <w:szCs w:val="28"/>
        </w:rPr>
      </w:pPr>
      <w:r w:rsidRPr="009F5813">
        <w:rPr>
          <w:sz w:val="28"/>
          <w:szCs w:val="28"/>
        </w:rPr>
        <w:t>3. 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 при плане 206 991,2 тыс. рублей исполнение составило 193 032,8 тыс. рублей средств городского бюджета</w:t>
      </w:r>
      <w:r w:rsidRPr="009F5813">
        <w:rPr>
          <w:bCs/>
          <w:sz w:val="28"/>
          <w:szCs w:val="28"/>
        </w:rPr>
        <w:t xml:space="preserve"> или 93,3%. </w:t>
      </w:r>
    </w:p>
    <w:p w:rsidR="005E6A14" w:rsidRPr="009F5813" w:rsidRDefault="005E6A14" w:rsidP="005E6A14">
      <w:pPr>
        <w:shd w:val="clear" w:color="auto" w:fill="FFFFFF" w:themeFill="background1"/>
        <w:spacing w:after="0"/>
        <w:ind w:firstLine="709"/>
        <w:contextualSpacing/>
        <w:jc w:val="both"/>
        <w:rPr>
          <w:bCs/>
          <w:sz w:val="28"/>
          <w:szCs w:val="28"/>
        </w:rPr>
      </w:pPr>
      <w:r w:rsidRPr="009F5813">
        <w:rPr>
          <w:bCs/>
          <w:sz w:val="28"/>
          <w:szCs w:val="28"/>
        </w:rPr>
        <w:t>Средства направлены на:</w:t>
      </w:r>
    </w:p>
    <w:p w:rsidR="005E6A14" w:rsidRPr="009F5813" w:rsidRDefault="005E6A14" w:rsidP="005E6A14">
      <w:pPr>
        <w:spacing w:after="0"/>
        <w:ind w:firstLine="709"/>
        <w:contextualSpacing/>
        <w:jc w:val="both"/>
        <w:rPr>
          <w:bCs/>
          <w:sz w:val="28"/>
          <w:szCs w:val="28"/>
        </w:rPr>
      </w:pPr>
      <w:r w:rsidRPr="009F5813">
        <w:rPr>
          <w:sz w:val="28"/>
          <w:szCs w:val="28"/>
        </w:rPr>
        <w:t xml:space="preserve">- </w:t>
      </w:r>
      <w:r w:rsidRPr="009F5813">
        <w:rPr>
          <w:bCs/>
          <w:sz w:val="28"/>
          <w:szCs w:val="28"/>
        </w:rPr>
        <w:t xml:space="preserve">выполнение работ, связанных с осуществлением регулярных перевозок пассажиров и багажа автомобильным транспортом по регулируемым тарифам, в сумме 152 250,3 тыс. рублей городского бюджета. </w:t>
      </w:r>
    </w:p>
    <w:p w:rsidR="005E6A14" w:rsidRPr="009F5813" w:rsidRDefault="005E6A14" w:rsidP="005E6A14">
      <w:pPr>
        <w:spacing w:after="0"/>
        <w:ind w:firstLine="709"/>
        <w:contextualSpacing/>
        <w:jc w:val="both"/>
        <w:rPr>
          <w:bCs/>
          <w:sz w:val="28"/>
          <w:szCs w:val="28"/>
        </w:rPr>
      </w:pPr>
      <w:r w:rsidRPr="009F5813">
        <w:rPr>
          <w:bCs/>
          <w:sz w:val="28"/>
          <w:szCs w:val="28"/>
        </w:rPr>
        <w:t>Маршрутная сеть города Ханты-Мансийска состоит из 14 муниципальных маршрутов, из которых 8 действуют по регулируемым тарифам и 6 - по нерегулируемым. Общая протяженность маршрутов составляет 419,2 км.</w:t>
      </w:r>
    </w:p>
    <w:p w:rsidR="005E6A14" w:rsidRPr="009F5813" w:rsidRDefault="005E6A14" w:rsidP="005E6A14">
      <w:pPr>
        <w:spacing w:after="0"/>
        <w:ind w:firstLine="709"/>
        <w:contextualSpacing/>
        <w:jc w:val="both"/>
        <w:rPr>
          <w:bCs/>
          <w:sz w:val="28"/>
          <w:szCs w:val="28"/>
          <w:highlight w:val="yellow"/>
        </w:rPr>
      </w:pPr>
      <w:r w:rsidRPr="009F5813">
        <w:rPr>
          <w:bCs/>
          <w:sz w:val="28"/>
          <w:szCs w:val="28"/>
        </w:rPr>
        <w:t xml:space="preserve">По итогам 2021 года по муниципальным маршрутам перевезено 5365,3 тыс. пассажиров, что на 19,8% больше 2020 года (4480,0).  </w:t>
      </w:r>
    </w:p>
    <w:p w:rsidR="005E6A14" w:rsidRPr="009F5813" w:rsidRDefault="005E6A14" w:rsidP="005E6A14">
      <w:pPr>
        <w:widowControl w:val="0"/>
        <w:shd w:val="clear" w:color="auto" w:fill="FFFFFF" w:themeFill="background1"/>
        <w:autoSpaceDE w:val="0"/>
        <w:autoSpaceDN w:val="0"/>
        <w:adjustRightInd w:val="0"/>
        <w:spacing w:after="0"/>
        <w:ind w:firstLine="709"/>
        <w:jc w:val="both"/>
        <w:rPr>
          <w:bCs/>
          <w:sz w:val="28"/>
          <w:szCs w:val="28"/>
          <w:highlight w:val="yellow"/>
        </w:rPr>
      </w:pPr>
      <w:r w:rsidRPr="009F5813">
        <w:rPr>
          <w:bCs/>
          <w:sz w:val="28"/>
          <w:szCs w:val="28"/>
        </w:rPr>
        <w:t xml:space="preserve">С 1 августа 2021 года пассажирские перевозки по регулируемым тарифам осуществляет муниципальное дорожно-эксплуатационное предприятие города </w:t>
      </w:r>
      <w:r w:rsidRPr="009F5813">
        <w:rPr>
          <w:bCs/>
          <w:sz w:val="28"/>
          <w:szCs w:val="28"/>
        </w:rPr>
        <w:lastRenderedPageBreak/>
        <w:t xml:space="preserve">Ханты-Мансийска. В 2021 году приобретено 17 новых автобусов среднего класса. Все транспортные средства оборудованы </w:t>
      </w:r>
      <w:proofErr w:type="spellStart"/>
      <w:r w:rsidRPr="009F5813">
        <w:rPr>
          <w:bCs/>
          <w:sz w:val="28"/>
          <w:szCs w:val="28"/>
        </w:rPr>
        <w:t>бескондукторной</w:t>
      </w:r>
      <w:proofErr w:type="spellEnd"/>
      <w:r w:rsidRPr="009F5813">
        <w:rPr>
          <w:bCs/>
          <w:sz w:val="28"/>
          <w:szCs w:val="28"/>
        </w:rPr>
        <w:t xml:space="preserve"> системой оплаты проезда по безналичному расчету, стоимость проезда сохранена на уровне 2019 года. </w:t>
      </w:r>
    </w:p>
    <w:p w:rsidR="005E6A14" w:rsidRPr="009F5813" w:rsidRDefault="005E6A14" w:rsidP="005E6A14">
      <w:pPr>
        <w:shd w:val="clear" w:color="auto" w:fill="FFFFFF" w:themeFill="background1"/>
        <w:spacing w:after="0"/>
        <w:ind w:firstLine="709"/>
        <w:contextualSpacing/>
        <w:jc w:val="both"/>
        <w:rPr>
          <w:bCs/>
          <w:sz w:val="28"/>
          <w:szCs w:val="28"/>
        </w:rPr>
      </w:pPr>
      <w:r w:rsidRPr="009F5813">
        <w:rPr>
          <w:bCs/>
          <w:sz w:val="28"/>
          <w:szCs w:val="28"/>
        </w:rPr>
        <w:t>- предоставление субсидии - 6 222,1 тыс. рублей из городского бюджета. На пригородном маршруте «Ханты-Мансийск – Дачи» перевозки осуществляло АО «</w:t>
      </w:r>
      <w:proofErr w:type="spellStart"/>
      <w:r w:rsidRPr="009F5813">
        <w:rPr>
          <w:bCs/>
          <w:sz w:val="28"/>
          <w:szCs w:val="28"/>
        </w:rPr>
        <w:t>Северречфлот</w:t>
      </w:r>
      <w:proofErr w:type="spellEnd"/>
      <w:r w:rsidRPr="009F5813">
        <w:rPr>
          <w:bCs/>
          <w:sz w:val="28"/>
          <w:szCs w:val="28"/>
        </w:rPr>
        <w:t xml:space="preserve">». За навигационный период на данном маршруте перевезено 25 693 пассажира, в том числе 18 216 пассажира льготных категорий по социальным билетам. Выполнено за навигационный период 330 </w:t>
      </w:r>
      <w:proofErr w:type="spellStart"/>
      <w:r w:rsidRPr="009F5813">
        <w:rPr>
          <w:bCs/>
          <w:sz w:val="28"/>
          <w:szCs w:val="28"/>
        </w:rPr>
        <w:t>рейсооборотов</w:t>
      </w:r>
      <w:proofErr w:type="spellEnd"/>
      <w:r w:rsidRPr="009F5813">
        <w:rPr>
          <w:bCs/>
          <w:sz w:val="28"/>
          <w:szCs w:val="28"/>
        </w:rPr>
        <w:t>.</w:t>
      </w:r>
    </w:p>
    <w:p w:rsidR="005E6A14" w:rsidRPr="009F5813" w:rsidRDefault="005E6A14" w:rsidP="005E6A14">
      <w:pPr>
        <w:spacing w:after="0"/>
        <w:ind w:firstLine="709"/>
        <w:jc w:val="both"/>
        <w:rPr>
          <w:sz w:val="28"/>
          <w:szCs w:val="28"/>
        </w:rPr>
      </w:pPr>
      <w:r w:rsidRPr="009F5813">
        <w:rPr>
          <w:bCs/>
          <w:sz w:val="28"/>
          <w:szCs w:val="28"/>
        </w:rPr>
        <w:t>- выполнение работ по актуализации схемы развития городских маршрутов общественного пассажирского транспорта в городе Ханты-Мансийске запланировано на 2021 год 1 600,0 тыс. рублей из городского бюджета,</w:t>
      </w:r>
      <w:r w:rsidRPr="009F5813">
        <w:rPr>
          <w:sz w:val="28"/>
          <w:szCs w:val="28"/>
        </w:rPr>
        <w:t xml:space="preserve"> срок окончания выполнения работ по заключенным муниципальным контрактам - I квартал 2022 года.</w:t>
      </w:r>
      <w:r w:rsidRPr="009F5813">
        <w:rPr>
          <w:bCs/>
          <w:sz w:val="28"/>
          <w:szCs w:val="28"/>
        </w:rPr>
        <w:t xml:space="preserve"> </w:t>
      </w:r>
    </w:p>
    <w:p w:rsidR="005E6A14" w:rsidRPr="009F5813" w:rsidRDefault="005E6A14" w:rsidP="005E6A14">
      <w:pPr>
        <w:shd w:val="clear" w:color="auto" w:fill="FFFFFF" w:themeFill="background1"/>
        <w:spacing w:after="0"/>
        <w:ind w:firstLine="709"/>
        <w:contextualSpacing/>
        <w:jc w:val="both"/>
        <w:rPr>
          <w:bCs/>
          <w:sz w:val="28"/>
          <w:szCs w:val="28"/>
        </w:rPr>
      </w:pPr>
      <w:r w:rsidRPr="009F5813">
        <w:rPr>
          <w:bCs/>
          <w:sz w:val="28"/>
          <w:szCs w:val="28"/>
        </w:rPr>
        <w:t>Увеличение финансирования мероприятия муниципальной программы в 2021 году по сравнению с 2020 связано с увеличением количества рейсов на автобусных маршрутах №1, №1А, №5. Запуска нового автобусного маршрута №77А «</w:t>
      </w:r>
      <w:proofErr w:type="spellStart"/>
      <w:r w:rsidRPr="009F5813">
        <w:rPr>
          <w:bCs/>
          <w:sz w:val="28"/>
          <w:szCs w:val="28"/>
        </w:rPr>
        <w:t>мкр</w:t>
      </w:r>
      <w:proofErr w:type="spellEnd"/>
      <w:r w:rsidRPr="009F5813">
        <w:rPr>
          <w:bCs/>
          <w:sz w:val="28"/>
          <w:szCs w:val="28"/>
        </w:rPr>
        <w:t>. Береговая зона» - «Сельхозтехника».</w:t>
      </w:r>
    </w:p>
    <w:p w:rsidR="005E6A14" w:rsidRPr="009F5813" w:rsidRDefault="005E6A14" w:rsidP="005E6A14">
      <w:pPr>
        <w:shd w:val="clear" w:color="auto" w:fill="FFFFFF" w:themeFill="background1"/>
        <w:spacing w:after="0"/>
        <w:ind w:firstLine="709"/>
        <w:contextualSpacing/>
        <w:jc w:val="both"/>
        <w:rPr>
          <w:bCs/>
          <w:sz w:val="28"/>
          <w:szCs w:val="28"/>
        </w:rPr>
      </w:pPr>
      <w:r w:rsidRPr="009F5813">
        <w:rPr>
          <w:bCs/>
          <w:sz w:val="28"/>
          <w:szCs w:val="28"/>
        </w:rPr>
        <w:t>В целях предупреждения завоза и распространения коронавирусной инфекции (COVID-2019) на территории города Ханты-Мансийска в 2021 году проведено 92 мероприятия. В ходе мероприятий в отношении лиц, допустивших нарушение масочного режима в общественном транспорте, составлен 41 административный протокол.</w:t>
      </w:r>
    </w:p>
    <w:p w:rsidR="005E6A14" w:rsidRPr="009F5813" w:rsidRDefault="005E6A14" w:rsidP="005E6A14">
      <w:pPr>
        <w:shd w:val="clear" w:color="auto" w:fill="FFFFFF" w:themeFill="background1"/>
        <w:spacing w:after="0"/>
        <w:ind w:firstLine="709"/>
        <w:contextualSpacing/>
        <w:jc w:val="both"/>
        <w:rPr>
          <w:bCs/>
          <w:sz w:val="28"/>
          <w:szCs w:val="28"/>
        </w:rPr>
      </w:pPr>
      <w:r w:rsidRPr="009F5813">
        <w:rPr>
          <w:bCs/>
          <w:sz w:val="28"/>
          <w:szCs w:val="28"/>
        </w:rPr>
        <w:t>4. Региональный проект «Дорожная сеть» при плане 140 973,4 тыс. рублей, исполнение составило 100,0%, в том числе средства автономного округа – 126 876,0 тыс. рублей и средства городского бюджета 14 097,4 тыс. рублей.</w:t>
      </w:r>
    </w:p>
    <w:p w:rsidR="005E6A14" w:rsidRPr="009F5813" w:rsidRDefault="005E6A14" w:rsidP="005E6A14">
      <w:pPr>
        <w:spacing w:after="0"/>
        <w:ind w:firstLine="709"/>
        <w:contextualSpacing/>
        <w:jc w:val="both"/>
        <w:rPr>
          <w:sz w:val="28"/>
          <w:szCs w:val="28"/>
        </w:rPr>
      </w:pPr>
      <w:r w:rsidRPr="009F5813">
        <w:rPr>
          <w:bCs/>
          <w:sz w:val="28"/>
          <w:szCs w:val="28"/>
        </w:rPr>
        <w:t>Средства направлены на р</w:t>
      </w:r>
      <w:r w:rsidRPr="009F5813">
        <w:rPr>
          <w:sz w:val="28"/>
          <w:szCs w:val="28"/>
        </w:rPr>
        <w:t>емонт дорог и объектов дорожного хозяйства:</w:t>
      </w:r>
    </w:p>
    <w:p w:rsidR="005E6A14" w:rsidRPr="009F5813" w:rsidRDefault="005E6A14" w:rsidP="005E6A14">
      <w:pPr>
        <w:spacing w:after="0"/>
        <w:ind w:firstLine="709"/>
        <w:contextualSpacing/>
        <w:jc w:val="both"/>
        <w:rPr>
          <w:sz w:val="28"/>
          <w:szCs w:val="28"/>
        </w:rPr>
      </w:pPr>
      <w:r w:rsidRPr="009F5813">
        <w:rPr>
          <w:sz w:val="28"/>
          <w:szCs w:val="28"/>
        </w:rPr>
        <w:t xml:space="preserve"> - Текущий ремонт автомобильных дорог города Ханты-Мансийска по ул. Гагарина (от ул. Чехова до ул. Посадская);</w:t>
      </w:r>
      <w:r w:rsidRPr="009F5813">
        <w:rPr>
          <w:sz w:val="28"/>
          <w:szCs w:val="28"/>
        </w:rPr>
        <w:tab/>
      </w:r>
    </w:p>
    <w:p w:rsidR="005E6A14" w:rsidRPr="009F5813" w:rsidRDefault="005E6A14" w:rsidP="005E6A14">
      <w:pPr>
        <w:spacing w:after="0"/>
        <w:ind w:firstLine="709"/>
        <w:contextualSpacing/>
        <w:jc w:val="both"/>
        <w:rPr>
          <w:sz w:val="28"/>
          <w:szCs w:val="28"/>
        </w:rPr>
      </w:pPr>
      <w:r w:rsidRPr="009F5813">
        <w:rPr>
          <w:sz w:val="28"/>
          <w:szCs w:val="28"/>
        </w:rPr>
        <w:t>- Текущий ремонт автомобильных дорог города Ханты-Мансийска по ул. Гагарина (от ул. Посадская до ул. Югорская);</w:t>
      </w:r>
      <w:r w:rsidRPr="009F5813">
        <w:rPr>
          <w:sz w:val="28"/>
          <w:szCs w:val="28"/>
        </w:rPr>
        <w:tab/>
      </w:r>
    </w:p>
    <w:p w:rsidR="005E6A14" w:rsidRPr="009F5813" w:rsidRDefault="005E6A14" w:rsidP="005E6A14">
      <w:pPr>
        <w:spacing w:after="0"/>
        <w:ind w:firstLine="709"/>
        <w:contextualSpacing/>
        <w:jc w:val="both"/>
        <w:rPr>
          <w:sz w:val="28"/>
          <w:szCs w:val="28"/>
        </w:rPr>
      </w:pPr>
      <w:r w:rsidRPr="009F5813">
        <w:rPr>
          <w:sz w:val="28"/>
          <w:szCs w:val="28"/>
        </w:rPr>
        <w:t>- Текущий ремонт автомобильных дорог города Ханты-Мансийска по ул. Гагарина (от ул. Лермонтова до ул. Свободы);</w:t>
      </w:r>
      <w:r w:rsidRPr="009F5813">
        <w:rPr>
          <w:sz w:val="28"/>
          <w:szCs w:val="28"/>
        </w:rPr>
        <w:tab/>
      </w:r>
    </w:p>
    <w:p w:rsidR="005E6A14" w:rsidRPr="009F5813" w:rsidRDefault="005E6A14" w:rsidP="005E6A14">
      <w:pPr>
        <w:spacing w:after="0"/>
        <w:ind w:firstLine="709"/>
        <w:contextualSpacing/>
        <w:jc w:val="both"/>
        <w:rPr>
          <w:sz w:val="28"/>
          <w:szCs w:val="28"/>
        </w:rPr>
      </w:pPr>
      <w:r w:rsidRPr="009F5813">
        <w:rPr>
          <w:sz w:val="28"/>
          <w:szCs w:val="28"/>
        </w:rPr>
        <w:t xml:space="preserve">- Текущий ремонт автомобильных дорог города Ханты-Мансийска по ул. </w:t>
      </w:r>
      <w:proofErr w:type="spellStart"/>
      <w:r w:rsidRPr="009F5813">
        <w:rPr>
          <w:sz w:val="28"/>
          <w:szCs w:val="28"/>
        </w:rPr>
        <w:t>Рознина</w:t>
      </w:r>
      <w:proofErr w:type="spellEnd"/>
      <w:r w:rsidRPr="009F5813">
        <w:rPr>
          <w:sz w:val="28"/>
          <w:szCs w:val="28"/>
        </w:rPr>
        <w:t xml:space="preserve"> (от ул. Калинина до ул. Крупской);</w:t>
      </w:r>
      <w:r w:rsidRPr="009F5813">
        <w:rPr>
          <w:sz w:val="28"/>
          <w:szCs w:val="28"/>
        </w:rPr>
        <w:tab/>
        <w:t xml:space="preserve"> </w:t>
      </w:r>
    </w:p>
    <w:p w:rsidR="005E6A14" w:rsidRPr="009F5813" w:rsidRDefault="005E6A14" w:rsidP="005E6A14">
      <w:pPr>
        <w:shd w:val="clear" w:color="auto" w:fill="FFFFFF" w:themeFill="background1"/>
        <w:spacing w:after="0"/>
        <w:ind w:firstLine="709"/>
        <w:contextualSpacing/>
        <w:jc w:val="both"/>
        <w:rPr>
          <w:sz w:val="28"/>
          <w:szCs w:val="28"/>
        </w:rPr>
      </w:pPr>
      <w:r w:rsidRPr="009F5813">
        <w:rPr>
          <w:sz w:val="28"/>
          <w:szCs w:val="28"/>
        </w:rPr>
        <w:t>- Текущий ремонт автомобильных дорог города Ханты-Мансийска по ул. Конева (от речного вокзала до ул. Свободы).</w:t>
      </w:r>
    </w:p>
    <w:bookmarkEnd w:id="0"/>
    <w:bookmarkEnd w:id="1"/>
    <w:bookmarkEnd w:id="2"/>
    <w:bookmarkEnd w:id="3"/>
    <w:p w:rsidR="005E6A14" w:rsidRDefault="005E6A14" w:rsidP="005E6A14">
      <w:pPr>
        <w:spacing w:after="0"/>
        <w:ind w:right="-1" w:firstLine="567"/>
        <w:jc w:val="both"/>
        <w:rPr>
          <w:sz w:val="28"/>
          <w:szCs w:val="28"/>
        </w:rPr>
      </w:pPr>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9B" w:rsidRDefault="00974A9B" w:rsidP="00FF5332">
      <w:pPr>
        <w:spacing w:after="0" w:line="240" w:lineRule="auto"/>
      </w:pPr>
      <w:r>
        <w:separator/>
      </w:r>
    </w:p>
  </w:endnote>
  <w:endnote w:type="continuationSeparator" w:id="0">
    <w:p w:rsidR="00974A9B" w:rsidRDefault="00974A9B"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9B" w:rsidRDefault="00974A9B" w:rsidP="00FF5332">
      <w:pPr>
        <w:spacing w:after="0" w:line="240" w:lineRule="auto"/>
      </w:pPr>
      <w:r>
        <w:separator/>
      </w:r>
    </w:p>
  </w:footnote>
  <w:footnote w:type="continuationSeparator" w:id="0">
    <w:p w:rsidR="00974A9B" w:rsidRDefault="00974A9B"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546E"/>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A9B"/>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6E10"/>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E5916"/>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3975"/>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'Развитие транспортной 2021'!$B$6:$D$6</c:f>
              <c:strCache>
                <c:ptCount val="3"/>
                <c:pt idx="0">
                  <c:v>2020год (исполнено)</c:v>
                </c:pt>
                <c:pt idx="1">
                  <c:v>2021 год (плановые назначения)</c:v>
                </c:pt>
                <c:pt idx="2">
                  <c:v>2021 (исполнено)</c:v>
                </c:pt>
              </c:strCache>
            </c:strRef>
          </c:cat>
          <c:val>
            <c:numRef>
              <c:f>'Развитие транспортной 2021'!$B$7:$D$7</c:f>
              <c:numCache>
                <c:formatCode>#\ ##0.0;[Red]\-#\ ##0.0;0.0</c:formatCode>
                <c:ptCount val="3"/>
                <c:pt idx="0">
                  <c:v>978318.89999999991</c:v>
                </c:pt>
                <c:pt idx="1">
                  <c:v>507603.9</c:v>
                </c:pt>
                <c:pt idx="2">
                  <c:v>464447.6</c:v>
                </c:pt>
              </c:numCache>
            </c:numRef>
          </c:val>
        </c:ser>
        <c:dLbls>
          <c:showLegendKey val="0"/>
          <c:showVal val="0"/>
          <c:showCatName val="0"/>
          <c:showSerName val="0"/>
          <c:showPercent val="0"/>
          <c:showBubbleSize val="0"/>
        </c:dLbls>
        <c:gapWidth val="219"/>
        <c:overlap val="-27"/>
        <c:axId val="122658816"/>
        <c:axId val="122660352"/>
      </c:barChart>
      <c:catAx>
        <c:axId val="12265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660352"/>
        <c:crosses val="autoZero"/>
        <c:auto val="1"/>
        <c:lblAlgn val="ctr"/>
        <c:lblOffset val="100"/>
        <c:noMultiLvlLbl val="0"/>
      </c:catAx>
      <c:valAx>
        <c:axId val="122660352"/>
        <c:scaling>
          <c:orientation val="minMax"/>
        </c:scaling>
        <c:delete val="1"/>
        <c:axPos val="l"/>
        <c:numFmt formatCode="#\ ##0.0;[Red]\-#\ ##0.0;0.0" sourceLinked="1"/>
        <c:majorTickMark val="none"/>
        <c:minorTickMark val="none"/>
        <c:tickLblPos val="none"/>
        <c:crossAx val="12265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222427898115884"/>
          <c:y val="5.0925944490355847E-2"/>
          <c:w val="0.48264093936793612"/>
          <c:h val="0.79224474782908572"/>
        </c:manualLayout>
      </c:layout>
      <c:barChart>
        <c:barDir val="bar"/>
        <c:grouping val="clustered"/>
        <c:varyColors val="0"/>
        <c:ser>
          <c:idx val="0"/>
          <c:order val="0"/>
          <c:tx>
            <c:strRef>
              <c:f>'Развитие транспортной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'Развитие транспортной 2021'!$A$2:$A$5</c:f>
              <c:strCache>
                <c:ptCount val="4"/>
                <c:pt idx="0">
                  <c:v>Строительство, реконструкция, капитальный ремонт и ремонт объектов улично-дорожной сети города</c:v>
                </c:pt>
                <c:pt idx="1">
                  <c:v>Повышение комплексной безопасности дорожного движения и устойчивости транспортной системы</c:v>
                </c:pt>
                <c:pt idx="2">
                  <c:v>Организация транспортного обслуживания населения автомобильным, внутренним водным транспортом в границах городского округа город Ханты-Мансийск</c:v>
                </c:pt>
                <c:pt idx="3">
                  <c:v>Региональный проект "Дорожная сеть"</c:v>
                </c:pt>
              </c:strCache>
            </c:strRef>
          </c:cat>
          <c:val>
            <c:numRef>
              <c:f>'Развитие транспортной 2021'!$B$2:$B$5</c:f>
              <c:numCache>
                <c:formatCode>_-* #\ ##0.0_р_._-;\-* #\ ##0.0_р_._-;_-* "-"?_р_._-;_-@_-</c:formatCode>
                <c:ptCount val="4"/>
                <c:pt idx="0">
                  <c:v>829491.19999999995</c:v>
                </c:pt>
                <c:pt idx="1">
                  <c:v>7775.2</c:v>
                </c:pt>
                <c:pt idx="2">
                  <c:v>141052.5</c:v>
                </c:pt>
                <c:pt idx="3">
                  <c:v>0</c:v>
                </c:pt>
              </c:numCache>
            </c:numRef>
          </c:val>
        </c:ser>
        <c:ser>
          <c:idx val="1"/>
          <c:order val="1"/>
          <c:tx>
            <c:strRef>
              <c:f>'Развитие транспортной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'Развитие транспортной 2021'!$A$2:$A$5</c:f>
              <c:strCache>
                <c:ptCount val="4"/>
                <c:pt idx="0">
                  <c:v>Строительство, реконструкция, капитальный ремонт и ремонт объектов улично-дорожной сети города</c:v>
                </c:pt>
                <c:pt idx="1">
                  <c:v>Повышение комплексной безопасности дорожного движения и устойчивости транспортной системы</c:v>
                </c:pt>
                <c:pt idx="2">
                  <c:v>Организация транспортного обслуживания населения автомобильным, внутренним водным транспортом в границах городского округа город Ханты-Мансийск</c:v>
                </c:pt>
                <c:pt idx="3">
                  <c:v>Региональный проект "Дорожная сеть"</c:v>
                </c:pt>
              </c:strCache>
            </c:strRef>
          </c:cat>
          <c:val>
            <c:numRef>
              <c:f>'Развитие транспортной 2021'!$C$2:$C$5</c:f>
              <c:numCache>
                <c:formatCode>_-* #\ ##0.0_р_._-;\-* #\ ##0.0_р_._-;_-* "-"?_р_._-;_-@_-</c:formatCode>
                <c:ptCount val="4"/>
                <c:pt idx="0">
                  <c:v>149618.29999999999</c:v>
                </c:pt>
                <c:pt idx="1">
                  <c:v>10020.9</c:v>
                </c:pt>
                <c:pt idx="2">
                  <c:v>206991.2</c:v>
                </c:pt>
                <c:pt idx="3">
                  <c:v>140973.5</c:v>
                </c:pt>
              </c:numCache>
            </c:numRef>
          </c:val>
        </c:ser>
        <c:ser>
          <c:idx val="2"/>
          <c:order val="2"/>
          <c:tx>
            <c:strRef>
              <c:f>'Развитие транспортной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'Развитие транспортной 2021'!$A$2:$A$5</c:f>
              <c:strCache>
                <c:ptCount val="4"/>
                <c:pt idx="0">
                  <c:v>Строительство, реконструкция, капитальный ремонт и ремонт объектов улично-дорожной сети города</c:v>
                </c:pt>
                <c:pt idx="1">
                  <c:v>Повышение комплексной безопасности дорожного движения и устойчивости транспортной системы</c:v>
                </c:pt>
                <c:pt idx="2">
                  <c:v>Организация транспортного обслуживания населения автомобильным, внутренним водным транспортом в границах городского округа город Ханты-Мансийск</c:v>
                </c:pt>
                <c:pt idx="3">
                  <c:v>Региональный проект "Дорожная сеть"</c:v>
                </c:pt>
              </c:strCache>
            </c:strRef>
          </c:cat>
          <c:val>
            <c:numRef>
              <c:f>'Развитие транспортной 2021'!$D$2:$D$5</c:f>
              <c:numCache>
                <c:formatCode>_-* #\ ##0.0_р_._-;\-* #\ ##0.0_р_._-;_-* "-"?_р_._-;_-@_-</c:formatCode>
                <c:ptCount val="4"/>
                <c:pt idx="0">
                  <c:v>121029.2</c:v>
                </c:pt>
                <c:pt idx="1">
                  <c:v>9412.2000000000007</c:v>
                </c:pt>
                <c:pt idx="2">
                  <c:v>193032.8</c:v>
                </c:pt>
                <c:pt idx="3">
                  <c:v>140973.4</c:v>
                </c:pt>
              </c:numCache>
            </c:numRef>
          </c:val>
        </c:ser>
        <c:dLbls>
          <c:showLegendKey val="0"/>
          <c:showVal val="0"/>
          <c:showCatName val="0"/>
          <c:showSerName val="0"/>
          <c:showPercent val="0"/>
          <c:showBubbleSize val="0"/>
        </c:dLbls>
        <c:gapWidth val="182"/>
        <c:axId val="156061056"/>
        <c:axId val="156083328"/>
      </c:barChart>
      <c:catAx>
        <c:axId val="156061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083328"/>
        <c:crosses val="autoZero"/>
        <c:auto val="1"/>
        <c:lblAlgn val="ctr"/>
        <c:lblOffset val="100"/>
        <c:noMultiLvlLbl val="0"/>
      </c:catAx>
      <c:valAx>
        <c:axId val="156083328"/>
        <c:scaling>
          <c:orientation val="minMax"/>
        </c:scaling>
        <c:delete val="1"/>
        <c:axPos val="b"/>
        <c:numFmt formatCode="_-* #\ ##0.0_р_._-;\-* #\ ##0.0_р_._-;_-* &quot;-&quot;?_р_._-;_-@_-" sourceLinked="1"/>
        <c:majorTickMark val="none"/>
        <c:minorTickMark val="none"/>
        <c:tickLblPos val="none"/>
        <c:crossAx val="15606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18B0DE-2E8A-49F8-977D-77E0240F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2022-04-12T05:06:00Z</dcterms:created>
  <dcterms:modified xsi:type="dcterms:W3CDTF">2022-04-12T05:06:00Z</dcterms:modified>
</cp:coreProperties>
</file>