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34" w:rsidRPr="00874C93" w:rsidRDefault="000C6434" w:rsidP="00B33615">
      <w:pPr>
        <w:pStyle w:val="1"/>
      </w:pPr>
      <w:bookmarkStart w:id="0" w:name="_Toc132275825"/>
      <w:bookmarkStart w:id="1" w:name="_Toc3795533"/>
      <w:bookmarkStart w:id="2" w:name="_Toc40779058"/>
      <w:bookmarkStart w:id="3" w:name="_Toc130222746"/>
      <w:bookmarkStart w:id="4" w:name="_Toc192253440"/>
      <w:r w:rsidRPr="00874C93">
        <w:t>Муниципальная программа «Защита населения и территории от чрезвычайных ситуаций, обеспечение пожарной безопасности города</w:t>
      </w:r>
      <w:bookmarkEnd w:id="0"/>
      <w:r w:rsidRPr="00874C93">
        <w:t xml:space="preserve"> </w:t>
      </w:r>
      <w:bookmarkStart w:id="5" w:name="_Toc132275826"/>
      <w:r w:rsidRPr="00874C93">
        <w:t>Ханты-Мансийска»</w:t>
      </w:r>
      <w:bookmarkEnd w:id="1"/>
      <w:bookmarkEnd w:id="2"/>
      <w:bookmarkEnd w:id="3"/>
      <w:bookmarkEnd w:id="4"/>
      <w:bookmarkEnd w:id="5"/>
    </w:p>
    <w:p w:rsidR="000C6434" w:rsidRPr="002862EE" w:rsidRDefault="000C6434" w:rsidP="000C6434">
      <w:pPr>
        <w:rPr>
          <w:highlight w:val="yellow"/>
        </w:rPr>
      </w:pPr>
    </w:p>
    <w:p w:rsidR="000C6434" w:rsidRPr="00812B47" w:rsidRDefault="000C6434" w:rsidP="000C6434">
      <w:pPr>
        <w:spacing w:after="0"/>
        <w:ind w:firstLine="709"/>
        <w:jc w:val="both"/>
        <w:rPr>
          <w:sz w:val="28"/>
          <w:szCs w:val="28"/>
        </w:rPr>
      </w:pPr>
      <w:r w:rsidRPr="00812B47">
        <w:rPr>
          <w:sz w:val="28"/>
          <w:szCs w:val="28"/>
        </w:rPr>
        <w:t xml:space="preserve">Муниципальная программа утверждена постановлением Администрации города Ханты-Мансийска от 17.10.2014 № 1026 «О муниципальной программе «Защита населения и территории от чрезвычайных ситуаций, обеспечение пожарной безопасности города Ханты-Мансийска». </w:t>
      </w:r>
    </w:p>
    <w:p w:rsidR="000C6434" w:rsidRPr="00B67604" w:rsidRDefault="000C6434" w:rsidP="000C6434">
      <w:pPr>
        <w:pStyle w:val="ConsPlusTitle"/>
        <w:spacing w:line="276"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Общий объем</w:t>
      </w:r>
      <w:r w:rsidRPr="00716A66">
        <w:rPr>
          <w:rFonts w:ascii="Times New Roman" w:hAnsi="Times New Roman" w:cs="Times New Roman"/>
          <w:b w:val="0"/>
          <w:bCs w:val="0"/>
          <w:sz w:val="28"/>
          <w:szCs w:val="28"/>
        </w:rPr>
        <w:t xml:space="preserve"> финансировани</w:t>
      </w:r>
      <w:r>
        <w:rPr>
          <w:rFonts w:ascii="Times New Roman" w:hAnsi="Times New Roman" w:cs="Times New Roman"/>
          <w:b w:val="0"/>
          <w:bCs w:val="0"/>
          <w:sz w:val="28"/>
          <w:szCs w:val="28"/>
        </w:rPr>
        <w:t>я</w:t>
      </w:r>
      <w:r w:rsidRPr="00716A6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на</w:t>
      </w:r>
      <w:r w:rsidRPr="00B67604">
        <w:rPr>
          <w:rFonts w:ascii="Times New Roman" w:hAnsi="Times New Roman" w:cs="Times New Roman"/>
          <w:b w:val="0"/>
          <w:bCs w:val="0"/>
          <w:sz w:val="28"/>
          <w:szCs w:val="28"/>
        </w:rPr>
        <w:t xml:space="preserve"> 2024</w:t>
      </w:r>
      <w:r>
        <w:rPr>
          <w:rFonts w:ascii="Times New Roman" w:hAnsi="Times New Roman" w:cs="Times New Roman"/>
          <w:b w:val="0"/>
          <w:bCs w:val="0"/>
          <w:sz w:val="28"/>
          <w:szCs w:val="28"/>
        </w:rPr>
        <w:t xml:space="preserve"> год составляет </w:t>
      </w:r>
      <w:r w:rsidRPr="00B67604">
        <w:rPr>
          <w:rFonts w:ascii="Times New Roman" w:hAnsi="Times New Roman" w:cs="Times New Roman"/>
          <w:b w:val="0"/>
          <w:bCs w:val="0"/>
          <w:sz w:val="28"/>
          <w:szCs w:val="28"/>
        </w:rPr>
        <w:t xml:space="preserve">180 424,8 тыс. рублей.        </w:t>
      </w:r>
    </w:p>
    <w:p w:rsidR="000C6434" w:rsidRPr="00DA5C23" w:rsidRDefault="000C6434" w:rsidP="000C6434">
      <w:pPr>
        <w:pStyle w:val="ConsPlusTitle"/>
        <w:spacing w:line="276" w:lineRule="auto"/>
        <w:ind w:firstLine="709"/>
        <w:jc w:val="both"/>
        <w:rPr>
          <w:rFonts w:ascii="Times New Roman" w:hAnsi="Times New Roman" w:cs="Times New Roman"/>
          <w:b w:val="0"/>
          <w:bCs w:val="0"/>
          <w:sz w:val="28"/>
          <w:szCs w:val="28"/>
        </w:rPr>
      </w:pPr>
      <w:r w:rsidRPr="00B67604">
        <w:rPr>
          <w:rFonts w:ascii="Times New Roman" w:hAnsi="Times New Roman" w:cs="Times New Roman"/>
          <w:b w:val="0"/>
          <w:bCs w:val="0"/>
          <w:sz w:val="28"/>
          <w:szCs w:val="28"/>
        </w:rPr>
        <w:t xml:space="preserve">Исполнение </w:t>
      </w:r>
      <w:r w:rsidRPr="00B67604">
        <w:rPr>
          <w:rFonts w:ascii="Times New Roman" w:hAnsi="Times New Roman" w:cs="Times New Roman"/>
          <w:b w:val="0"/>
          <w:sz w:val="28"/>
          <w:szCs w:val="28"/>
        </w:rPr>
        <w:t>муниципальной программы</w:t>
      </w:r>
      <w:r w:rsidRPr="00B67604">
        <w:rPr>
          <w:rFonts w:ascii="Times New Roman" w:hAnsi="Times New Roman" w:cs="Times New Roman"/>
          <w:b w:val="0"/>
          <w:bCs w:val="0"/>
          <w:sz w:val="28"/>
          <w:szCs w:val="28"/>
        </w:rPr>
        <w:t xml:space="preserve"> на отчетную дату составляет 178 196,6 тыс. рублей</w:t>
      </w:r>
      <w:r>
        <w:rPr>
          <w:rFonts w:ascii="Times New Roman" w:hAnsi="Times New Roman" w:cs="Times New Roman"/>
          <w:b w:val="0"/>
          <w:bCs w:val="0"/>
          <w:sz w:val="28"/>
          <w:szCs w:val="28"/>
        </w:rPr>
        <w:t xml:space="preserve">, в том числе: средства бюджета города Ханты-Мансийска - 178 196,6 тыс. рублей. </w:t>
      </w:r>
      <w:r w:rsidRPr="00B67604">
        <w:rPr>
          <w:rFonts w:ascii="Times New Roman" w:hAnsi="Times New Roman" w:cs="Times New Roman"/>
          <w:b w:val="0"/>
          <w:bCs w:val="0"/>
          <w:sz w:val="28"/>
          <w:szCs w:val="28"/>
        </w:rPr>
        <w:t xml:space="preserve"> </w:t>
      </w:r>
    </w:p>
    <w:p w:rsidR="000C6434" w:rsidRPr="00DA5C23" w:rsidRDefault="000C6434" w:rsidP="000C6434">
      <w:pPr>
        <w:pStyle w:val="ae"/>
        <w:tabs>
          <w:tab w:val="left" w:pos="459"/>
        </w:tabs>
        <w:suppressAutoHyphens/>
        <w:spacing w:before="0" w:beforeAutospacing="0" w:after="0" w:afterAutospacing="0" w:line="276" w:lineRule="auto"/>
        <w:jc w:val="both"/>
      </w:pPr>
      <w:r>
        <w:rPr>
          <w:sz w:val="28"/>
          <w:szCs w:val="28"/>
        </w:rPr>
        <w:tab/>
      </w:r>
      <w:r>
        <w:rPr>
          <w:sz w:val="28"/>
          <w:szCs w:val="28"/>
        </w:rPr>
        <w:tab/>
        <w:t>Исполнение расходов бюджета города по муниципальной программе</w:t>
      </w:r>
      <w:r w:rsidRPr="00DA5C23">
        <w:rPr>
          <w:sz w:val="28"/>
          <w:szCs w:val="28"/>
        </w:rPr>
        <w:t xml:space="preserve"> «Защита населения и территории от чрезвычайных ситуаций, обеспечение пожарной безопасности города Ханты-Мансийска»</w:t>
      </w:r>
      <w:r>
        <w:rPr>
          <w:sz w:val="28"/>
          <w:szCs w:val="28"/>
        </w:rPr>
        <w:t xml:space="preserve"> осуществляли следующие ответственные исполнители:</w:t>
      </w:r>
      <w:r w:rsidRPr="00DA5C23">
        <w:t xml:space="preserve">                                                                           </w:t>
      </w:r>
      <w:r>
        <w:t xml:space="preserve">        </w:t>
      </w:r>
      <w:r w:rsidRPr="00DA5C23">
        <w:t xml:space="preserve">      </w:t>
      </w:r>
    </w:p>
    <w:p w:rsidR="000C6434" w:rsidRPr="00D87D7A" w:rsidRDefault="000C6434" w:rsidP="000C6434">
      <w:pPr>
        <w:pStyle w:val="ae"/>
        <w:tabs>
          <w:tab w:val="left" w:pos="459"/>
        </w:tabs>
        <w:suppressAutoHyphens/>
        <w:spacing w:before="0" w:beforeAutospacing="0" w:after="0" w:afterAutospacing="0" w:line="276" w:lineRule="auto"/>
        <w:ind w:firstLine="709"/>
      </w:pPr>
      <w:r w:rsidRPr="00D87D7A">
        <w:t>(тыс. рублей)</w:t>
      </w:r>
    </w:p>
    <w:tbl>
      <w:tblPr>
        <w:tblW w:w="9356" w:type="dxa"/>
        <w:tblInd w:w="108" w:type="dxa"/>
        <w:tblLayout w:type="fixed"/>
        <w:tblLook w:val="04A0" w:firstRow="1" w:lastRow="0" w:firstColumn="1" w:lastColumn="0" w:noHBand="0" w:noVBand="1"/>
      </w:tblPr>
      <w:tblGrid>
        <w:gridCol w:w="567"/>
        <w:gridCol w:w="3261"/>
        <w:gridCol w:w="1276"/>
        <w:gridCol w:w="1417"/>
        <w:gridCol w:w="1559"/>
        <w:gridCol w:w="1276"/>
      </w:tblGrid>
      <w:tr w:rsidR="000C6434" w:rsidRPr="002862EE" w:rsidTr="00902B01">
        <w:trPr>
          <w:trHeight w:val="300"/>
          <w:tblHeader/>
        </w:trPr>
        <w:tc>
          <w:tcPr>
            <w:tcW w:w="567" w:type="dxa"/>
            <w:vMerge w:val="restart"/>
            <w:tcBorders>
              <w:top w:val="single" w:sz="4" w:space="0" w:color="auto"/>
              <w:left w:val="single" w:sz="4" w:space="0" w:color="auto"/>
              <w:right w:val="single" w:sz="4" w:space="0" w:color="auto"/>
            </w:tcBorders>
            <w:vAlign w:val="center"/>
          </w:tcPr>
          <w:p w:rsidR="000C6434" w:rsidRPr="00016D41" w:rsidRDefault="000C6434" w:rsidP="00902B01">
            <w:pPr>
              <w:spacing w:after="0" w:line="240" w:lineRule="auto"/>
              <w:ind w:left="33" w:right="34" w:hanging="33"/>
              <w:jc w:val="center"/>
              <w:rPr>
                <w:sz w:val="20"/>
                <w:szCs w:val="20"/>
              </w:rPr>
            </w:pPr>
            <w:r w:rsidRPr="00016D41">
              <w:rPr>
                <w:sz w:val="20"/>
                <w:szCs w:val="20"/>
              </w:rPr>
              <w:t xml:space="preserve">№ п/п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434" w:rsidRPr="00016D41" w:rsidRDefault="000C6434" w:rsidP="00902B01">
            <w:pPr>
              <w:spacing w:after="0" w:line="240" w:lineRule="auto"/>
              <w:ind w:right="424"/>
              <w:jc w:val="center"/>
              <w:rPr>
                <w:sz w:val="20"/>
                <w:szCs w:val="20"/>
              </w:rPr>
            </w:pPr>
            <w:r w:rsidRPr="00016D41">
              <w:rPr>
                <w:sz w:val="20"/>
                <w:szCs w:val="20"/>
              </w:rPr>
              <w:t>Наименование основного исполнителя, соисполнителя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434" w:rsidRPr="00346F3C" w:rsidRDefault="000C6434" w:rsidP="00902B01">
            <w:pPr>
              <w:spacing w:after="0" w:line="240" w:lineRule="auto"/>
              <w:ind w:right="176"/>
              <w:jc w:val="center"/>
              <w:rPr>
                <w:sz w:val="20"/>
                <w:szCs w:val="20"/>
              </w:rPr>
            </w:pPr>
            <w:r w:rsidRPr="00346F3C">
              <w:rPr>
                <w:sz w:val="20"/>
                <w:szCs w:val="20"/>
              </w:rPr>
              <w:t>2023 год (отчет)</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rsidR="000C6434" w:rsidRPr="00346F3C" w:rsidRDefault="000C6434" w:rsidP="00902B01">
            <w:pPr>
              <w:spacing w:after="0" w:line="240" w:lineRule="auto"/>
              <w:ind w:right="424"/>
              <w:jc w:val="center"/>
              <w:rPr>
                <w:sz w:val="20"/>
                <w:szCs w:val="20"/>
              </w:rPr>
            </w:pPr>
            <w:r w:rsidRPr="00346F3C">
              <w:rPr>
                <w:sz w:val="20"/>
                <w:szCs w:val="20"/>
              </w:rPr>
              <w:t xml:space="preserve">2024 год </w:t>
            </w:r>
          </w:p>
        </w:tc>
      </w:tr>
      <w:tr w:rsidR="000C6434" w:rsidRPr="002862EE" w:rsidTr="00902B01">
        <w:trPr>
          <w:trHeight w:val="597"/>
          <w:tblHeader/>
        </w:trPr>
        <w:tc>
          <w:tcPr>
            <w:tcW w:w="567" w:type="dxa"/>
            <w:vMerge/>
            <w:tcBorders>
              <w:left w:val="single" w:sz="4" w:space="0" w:color="auto"/>
              <w:bottom w:val="single" w:sz="4" w:space="0" w:color="auto"/>
              <w:right w:val="single" w:sz="4" w:space="0" w:color="auto"/>
            </w:tcBorders>
          </w:tcPr>
          <w:p w:rsidR="000C6434" w:rsidRPr="002862EE" w:rsidRDefault="000C6434" w:rsidP="00902B01">
            <w:pPr>
              <w:spacing w:after="0" w:line="240" w:lineRule="auto"/>
              <w:ind w:right="424"/>
              <w:rPr>
                <w:sz w:val="20"/>
                <w:szCs w:val="20"/>
                <w:highlight w:val="yellow"/>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C6434" w:rsidRPr="002862EE" w:rsidRDefault="000C6434" w:rsidP="00902B01">
            <w:pPr>
              <w:spacing w:after="0" w:line="240" w:lineRule="auto"/>
              <w:ind w:right="424"/>
              <w:rPr>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6434" w:rsidRPr="00346F3C" w:rsidRDefault="000C6434" w:rsidP="00902B01">
            <w:pPr>
              <w:spacing w:after="0" w:line="240" w:lineRule="auto"/>
              <w:ind w:right="424"/>
              <w:rPr>
                <w:sz w:val="20"/>
                <w:szCs w:val="20"/>
              </w:rPr>
            </w:pPr>
          </w:p>
        </w:tc>
        <w:tc>
          <w:tcPr>
            <w:tcW w:w="1417" w:type="dxa"/>
            <w:tcBorders>
              <w:top w:val="nil"/>
              <w:left w:val="nil"/>
              <w:bottom w:val="single" w:sz="4" w:space="0" w:color="auto"/>
              <w:right w:val="single" w:sz="4" w:space="0" w:color="auto"/>
            </w:tcBorders>
            <w:shd w:val="clear" w:color="auto" w:fill="auto"/>
            <w:hideMark/>
          </w:tcPr>
          <w:p w:rsidR="000C6434" w:rsidRPr="00346F3C" w:rsidRDefault="000C6434" w:rsidP="00902B01">
            <w:pPr>
              <w:jc w:val="center"/>
              <w:rPr>
                <w:rFonts w:eastAsia="Times New Roman"/>
                <w:color w:val="000000" w:themeColor="text1"/>
                <w:sz w:val="20"/>
                <w:szCs w:val="20"/>
              </w:rPr>
            </w:pPr>
            <w:r w:rsidRPr="00346F3C">
              <w:rPr>
                <w:rFonts w:eastAsia="Times New Roman"/>
                <w:color w:val="000000" w:themeColor="text1"/>
                <w:sz w:val="20"/>
                <w:szCs w:val="20"/>
              </w:rPr>
              <w:t>Уточненный план</w:t>
            </w:r>
          </w:p>
        </w:tc>
        <w:tc>
          <w:tcPr>
            <w:tcW w:w="1559" w:type="dxa"/>
            <w:tcBorders>
              <w:top w:val="nil"/>
              <w:left w:val="nil"/>
              <w:bottom w:val="single" w:sz="4" w:space="0" w:color="auto"/>
              <w:right w:val="single" w:sz="4" w:space="0" w:color="auto"/>
            </w:tcBorders>
            <w:shd w:val="clear" w:color="auto" w:fill="auto"/>
            <w:hideMark/>
          </w:tcPr>
          <w:p w:rsidR="000C6434" w:rsidRPr="00346F3C" w:rsidRDefault="000C6434" w:rsidP="00902B01">
            <w:pPr>
              <w:jc w:val="center"/>
              <w:rPr>
                <w:rFonts w:eastAsia="Times New Roman"/>
                <w:color w:val="000000" w:themeColor="text1"/>
                <w:sz w:val="20"/>
                <w:szCs w:val="20"/>
              </w:rPr>
            </w:pPr>
            <w:r w:rsidRPr="00346F3C">
              <w:rPr>
                <w:rFonts w:eastAsia="Times New Roman"/>
                <w:color w:val="000000" w:themeColor="text1"/>
                <w:sz w:val="20"/>
                <w:szCs w:val="20"/>
              </w:rPr>
              <w:t>Исполнение</w:t>
            </w:r>
          </w:p>
        </w:tc>
        <w:tc>
          <w:tcPr>
            <w:tcW w:w="1276" w:type="dxa"/>
            <w:tcBorders>
              <w:top w:val="nil"/>
              <w:left w:val="nil"/>
              <w:bottom w:val="single" w:sz="4" w:space="0" w:color="auto"/>
              <w:right w:val="single" w:sz="4" w:space="0" w:color="auto"/>
            </w:tcBorders>
            <w:shd w:val="clear" w:color="auto" w:fill="auto"/>
            <w:hideMark/>
          </w:tcPr>
          <w:p w:rsidR="000C6434" w:rsidRPr="00346F3C" w:rsidRDefault="000C6434" w:rsidP="00902B01">
            <w:pPr>
              <w:spacing w:after="0"/>
              <w:jc w:val="center"/>
              <w:rPr>
                <w:rFonts w:eastAsia="Times New Roman"/>
                <w:color w:val="000000" w:themeColor="text1"/>
                <w:sz w:val="20"/>
                <w:szCs w:val="20"/>
              </w:rPr>
            </w:pPr>
            <w:r w:rsidRPr="00346F3C">
              <w:rPr>
                <w:rFonts w:eastAsia="Times New Roman"/>
                <w:color w:val="000000" w:themeColor="text1"/>
                <w:sz w:val="20"/>
                <w:szCs w:val="20"/>
              </w:rPr>
              <w:t>% исполнения</w:t>
            </w:r>
          </w:p>
        </w:tc>
      </w:tr>
      <w:tr w:rsidR="000C6434" w:rsidRPr="002862EE" w:rsidTr="00902B01">
        <w:trPr>
          <w:trHeight w:val="300"/>
        </w:trPr>
        <w:tc>
          <w:tcPr>
            <w:tcW w:w="567" w:type="dxa"/>
            <w:tcBorders>
              <w:top w:val="nil"/>
              <w:left w:val="single" w:sz="4" w:space="0" w:color="auto"/>
              <w:bottom w:val="single" w:sz="4" w:space="0" w:color="auto"/>
              <w:right w:val="single" w:sz="4" w:space="0" w:color="auto"/>
            </w:tcBorders>
          </w:tcPr>
          <w:p w:rsidR="000C6434" w:rsidRPr="002862EE" w:rsidRDefault="000C6434" w:rsidP="00902B01">
            <w:pPr>
              <w:spacing w:after="0" w:line="240" w:lineRule="auto"/>
              <w:ind w:right="424"/>
              <w:rPr>
                <w:sz w:val="20"/>
                <w:szCs w:val="20"/>
                <w:highlight w:val="yellow"/>
              </w:rPr>
            </w:pPr>
          </w:p>
        </w:tc>
        <w:tc>
          <w:tcPr>
            <w:tcW w:w="3261" w:type="dxa"/>
            <w:tcBorders>
              <w:top w:val="nil"/>
              <w:left w:val="single" w:sz="4" w:space="0" w:color="auto"/>
              <w:bottom w:val="single" w:sz="4" w:space="0" w:color="auto"/>
              <w:right w:val="single" w:sz="4" w:space="0" w:color="auto"/>
            </w:tcBorders>
            <w:shd w:val="clear" w:color="auto" w:fill="auto"/>
            <w:hideMark/>
          </w:tcPr>
          <w:p w:rsidR="000C6434" w:rsidRPr="00694854" w:rsidRDefault="000C6434" w:rsidP="00902B01">
            <w:pPr>
              <w:spacing w:after="0" w:line="240" w:lineRule="auto"/>
              <w:ind w:right="34"/>
              <w:jc w:val="left"/>
              <w:rPr>
                <w:sz w:val="20"/>
                <w:szCs w:val="20"/>
              </w:rPr>
            </w:pPr>
            <w:r w:rsidRPr="00694854">
              <w:rPr>
                <w:sz w:val="20"/>
                <w:szCs w:val="20"/>
              </w:rPr>
              <w:t>Всего по муниципальной программе, в том числе:</w:t>
            </w:r>
          </w:p>
        </w:tc>
        <w:tc>
          <w:tcPr>
            <w:tcW w:w="1276" w:type="dxa"/>
            <w:tcBorders>
              <w:top w:val="nil"/>
              <w:left w:val="nil"/>
              <w:bottom w:val="single" w:sz="4" w:space="0" w:color="auto"/>
              <w:right w:val="single" w:sz="4" w:space="0" w:color="auto"/>
            </w:tcBorders>
            <w:shd w:val="clear" w:color="auto" w:fill="auto"/>
            <w:hideMark/>
          </w:tcPr>
          <w:p w:rsidR="000C6434" w:rsidRPr="00A1332B" w:rsidRDefault="000C6434" w:rsidP="00902B01">
            <w:pPr>
              <w:spacing w:after="0" w:line="240" w:lineRule="auto"/>
              <w:ind w:right="33"/>
              <w:jc w:val="center"/>
              <w:rPr>
                <w:sz w:val="20"/>
                <w:szCs w:val="20"/>
              </w:rPr>
            </w:pPr>
            <w:r w:rsidRPr="00A1332B">
              <w:rPr>
                <w:sz w:val="20"/>
                <w:szCs w:val="20"/>
              </w:rPr>
              <w:t>169 505,2</w:t>
            </w:r>
          </w:p>
        </w:tc>
        <w:tc>
          <w:tcPr>
            <w:tcW w:w="1417" w:type="dxa"/>
            <w:tcBorders>
              <w:top w:val="nil"/>
              <w:left w:val="nil"/>
              <w:bottom w:val="single" w:sz="4" w:space="0" w:color="auto"/>
              <w:right w:val="single" w:sz="4" w:space="0" w:color="auto"/>
            </w:tcBorders>
            <w:shd w:val="clear" w:color="auto" w:fill="auto"/>
          </w:tcPr>
          <w:p w:rsidR="000C6434" w:rsidRPr="00AA6308" w:rsidRDefault="000C6434" w:rsidP="00902B01">
            <w:pPr>
              <w:spacing w:after="0" w:line="240" w:lineRule="auto"/>
              <w:ind w:right="34"/>
              <w:jc w:val="center"/>
              <w:rPr>
                <w:sz w:val="20"/>
                <w:szCs w:val="20"/>
              </w:rPr>
            </w:pPr>
            <w:r w:rsidRPr="00AA6308">
              <w:rPr>
                <w:sz w:val="20"/>
                <w:szCs w:val="20"/>
              </w:rPr>
              <w:t>180 424,8</w:t>
            </w:r>
          </w:p>
        </w:tc>
        <w:tc>
          <w:tcPr>
            <w:tcW w:w="1559" w:type="dxa"/>
            <w:tcBorders>
              <w:top w:val="nil"/>
              <w:left w:val="nil"/>
              <w:bottom w:val="single" w:sz="4" w:space="0" w:color="auto"/>
              <w:right w:val="single" w:sz="4" w:space="0" w:color="auto"/>
            </w:tcBorders>
            <w:shd w:val="clear" w:color="auto" w:fill="auto"/>
          </w:tcPr>
          <w:p w:rsidR="000C6434" w:rsidRPr="00AA6308" w:rsidRDefault="000C6434" w:rsidP="00902B01">
            <w:pPr>
              <w:spacing w:after="0" w:line="240" w:lineRule="auto"/>
              <w:ind w:right="33"/>
              <w:jc w:val="center"/>
              <w:rPr>
                <w:sz w:val="20"/>
                <w:szCs w:val="20"/>
              </w:rPr>
            </w:pPr>
            <w:r w:rsidRPr="00AA6308">
              <w:rPr>
                <w:sz w:val="20"/>
                <w:szCs w:val="20"/>
              </w:rPr>
              <w:t>178 196,6</w:t>
            </w:r>
          </w:p>
        </w:tc>
        <w:tc>
          <w:tcPr>
            <w:tcW w:w="1276" w:type="dxa"/>
            <w:tcBorders>
              <w:top w:val="nil"/>
              <w:left w:val="nil"/>
              <w:bottom w:val="single" w:sz="4" w:space="0" w:color="auto"/>
              <w:right w:val="single" w:sz="4" w:space="0" w:color="auto"/>
            </w:tcBorders>
            <w:shd w:val="clear" w:color="auto" w:fill="auto"/>
            <w:hideMark/>
          </w:tcPr>
          <w:p w:rsidR="000C6434" w:rsidRPr="00AA6308" w:rsidRDefault="000C6434" w:rsidP="00902B01">
            <w:pPr>
              <w:spacing w:after="0" w:line="240" w:lineRule="auto"/>
              <w:ind w:right="34"/>
              <w:jc w:val="center"/>
              <w:rPr>
                <w:sz w:val="20"/>
                <w:szCs w:val="20"/>
              </w:rPr>
            </w:pPr>
            <w:r w:rsidRPr="00AA6308">
              <w:rPr>
                <w:sz w:val="20"/>
                <w:szCs w:val="20"/>
              </w:rPr>
              <w:t>98,8%</w:t>
            </w:r>
          </w:p>
        </w:tc>
      </w:tr>
      <w:tr w:rsidR="000C6434" w:rsidRPr="002862EE" w:rsidTr="00902B01">
        <w:trPr>
          <w:trHeight w:val="568"/>
        </w:trPr>
        <w:tc>
          <w:tcPr>
            <w:tcW w:w="567" w:type="dxa"/>
            <w:tcBorders>
              <w:top w:val="nil"/>
              <w:left w:val="single" w:sz="4" w:space="0" w:color="auto"/>
              <w:bottom w:val="single" w:sz="4" w:space="0" w:color="auto"/>
              <w:right w:val="single" w:sz="4" w:space="0" w:color="auto"/>
            </w:tcBorders>
          </w:tcPr>
          <w:p w:rsidR="000C6434" w:rsidRPr="00BD3DFD" w:rsidRDefault="000C6434" w:rsidP="00902B01">
            <w:pPr>
              <w:tabs>
                <w:tab w:val="left" w:pos="33"/>
              </w:tabs>
              <w:spacing w:after="0" w:line="240" w:lineRule="auto"/>
              <w:ind w:right="34"/>
              <w:jc w:val="both"/>
              <w:rPr>
                <w:sz w:val="20"/>
                <w:szCs w:val="20"/>
              </w:rPr>
            </w:pPr>
            <w:r w:rsidRPr="00BD3DFD">
              <w:rPr>
                <w:sz w:val="20"/>
                <w:szCs w:val="20"/>
              </w:rPr>
              <w:t>1</w:t>
            </w:r>
          </w:p>
        </w:tc>
        <w:tc>
          <w:tcPr>
            <w:tcW w:w="3261" w:type="dxa"/>
            <w:tcBorders>
              <w:top w:val="nil"/>
              <w:left w:val="single" w:sz="4" w:space="0" w:color="auto"/>
              <w:bottom w:val="single" w:sz="4" w:space="0" w:color="auto"/>
              <w:right w:val="single" w:sz="4" w:space="0" w:color="auto"/>
            </w:tcBorders>
            <w:shd w:val="clear" w:color="auto" w:fill="auto"/>
            <w:hideMark/>
          </w:tcPr>
          <w:p w:rsidR="000C6434" w:rsidRPr="00BD3DFD" w:rsidRDefault="000C6434" w:rsidP="00902B01">
            <w:pPr>
              <w:spacing w:after="0" w:line="240" w:lineRule="auto"/>
              <w:ind w:right="34"/>
              <w:jc w:val="left"/>
              <w:rPr>
                <w:sz w:val="20"/>
                <w:szCs w:val="20"/>
              </w:rPr>
            </w:pPr>
            <w:r w:rsidRPr="00BD3DFD">
              <w:rPr>
                <w:bCs/>
                <w:sz w:val="20"/>
                <w:szCs w:val="20"/>
              </w:rPr>
              <w:t>Муниципальное казенное учреждение «</w:t>
            </w:r>
            <w:r w:rsidRPr="00BD3DFD">
              <w:rPr>
                <w:sz w:val="20"/>
                <w:szCs w:val="20"/>
              </w:rPr>
              <w:t>Управление гражданской защиты населения»</w:t>
            </w:r>
          </w:p>
        </w:tc>
        <w:tc>
          <w:tcPr>
            <w:tcW w:w="1276" w:type="dxa"/>
            <w:tcBorders>
              <w:top w:val="nil"/>
              <w:left w:val="nil"/>
              <w:bottom w:val="single" w:sz="4" w:space="0" w:color="auto"/>
              <w:right w:val="single" w:sz="4" w:space="0" w:color="auto"/>
            </w:tcBorders>
            <w:shd w:val="clear" w:color="auto" w:fill="auto"/>
            <w:hideMark/>
          </w:tcPr>
          <w:p w:rsidR="000C6434" w:rsidRPr="00A1332B" w:rsidRDefault="000C6434" w:rsidP="00902B01">
            <w:pPr>
              <w:spacing w:after="0" w:line="240" w:lineRule="auto"/>
              <w:ind w:right="33"/>
              <w:jc w:val="center"/>
              <w:rPr>
                <w:sz w:val="20"/>
                <w:szCs w:val="20"/>
              </w:rPr>
            </w:pPr>
            <w:r w:rsidRPr="00A1332B">
              <w:rPr>
                <w:sz w:val="20"/>
                <w:szCs w:val="20"/>
              </w:rPr>
              <w:t>167 468,0</w:t>
            </w:r>
          </w:p>
        </w:tc>
        <w:tc>
          <w:tcPr>
            <w:tcW w:w="1417" w:type="dxa"/>
            <w:tcBorders>
              <w:top w:val="nil"/>
              <w:left w:val="nil"/>
              <w:bottom w:val="single" w:sz="4" w:space="0" w:color="auto"/>
              <w:right w:val="single" w:sz="4" w:space="0" w:color="auto"/>
            </w:tcBorders>
            <w:shd w:val="clear" w:color="auto" w:fill="auto"/>
          </w:tcPr>
          <w:p w:rsidR="000C6434" w:rsidRPr="0011319F" w:rsidRDefault="000C6434" w:rsidP="00902B01">
            <w:pPr>
              <w:spacing w:after="0" w:line="240" w:lineRule="auto"/>
              <w:ind w:right="34"/>
              <w:jc w:val="center"/>
              <w:rPr>
                <w:sz w:val="20"/>
                <w:szCs w:val="20"/>
              </w:rPr>
            </w:pPr>
            <w:r w:rsidRPr="0011319F">
              <w:rPr>
                <w:sz w:val="20"/>
                <w:szCs w:val="20"/>
              </w:rPr>
              <w:t>176 849,4</w:t>
            </w:r>
          </w:p>
        </w:tc>
        <w:tc>
          <w:tcPr>
            <w:tcW w:w="1559" w:type="dxa"/>
            <w:tcBorders>
              <w:top w:val="nil"/>
              <w:left w:val="nil"/>
              <w:bottom w:val="single" w:sz="4" w:space="0" w:color="auto"/>
              <w:right w:val="single" w:sz="4" w:space="0" w:color="auto"/>
            </w:tcBorders>
            <w:shd w:val="clear" w:color="auto" w:fill="auto"/>
          </w:tcPr>
          <w:p w:rsidR="000C6434" w:rsidRPr="00B56593" w:rsidRDefault="000C6434" w:rsidP="00902B01">
            <w:pPr>
              <w:spacing w:after="0" w:line="240" w:lineRule="auto"/>
              <w:ind w:right="33"/>
              <w:jc w:val="center"/>
              <w:rPr>
                <w:sz w:val="20"/>
                <w:szCs w:val="20"/>
              </w:rPr>
            </w:pPr>
            <w:r w:rsidRPr="00B56593">
              <w:rPr>
                <w:sz w:val="20"/>
                <w:szCs w:val="20"/>
              </w:rPr>
              <w:t>174 621,2</w:t>
            </w:r>
          </w:p>
        </w:tc>
        <w:tc>
          <w:tcPr>
            <w:tcW w:w="1276" w:type="dxa"/>
            <w:tcBorders>
              <w:top w:val="nil"/>
              <w:left w:val="nil"/>
              <w:bottom w:val="single" w:sz="4" w:space="0" w:color="auto"/>
              <w:right w:val="single" w:sz="4" w:space="0" w:color="auto"/>
            </w:tcBorders>
            <w:shd w:val="clear" w:color="auto" w:fill="auto"/>
            <w:hideMark/>
          </w:tcPr>
          <w:p w:rsidR="000C6434" w:rsidRPr="00B56593" w:rsidRDefault="000C6434" w:rsidP="00902B01">
            <w:pPr>
              <w:spacing w:after="0" w:line="240" w:lineRule="auto"/>
              <w:ind w:right="34"/>
              <w:jc w:val="center"/>
              <w:rPr>
                <w:sz w:val="20"/>
                <w:szCs w:val="20"/>
              </w:rPr>
            </w:pPr>
            <w:r w:rsidRPr="00B56593">
              <w:rPr>
                <w:sz w:val="20"/>
                <w:szCs w:val="20"/>
              </w:rPr>
              <w:t>98,8%</w:t>
            </w:r>
          </w:p>
        </w:tc>
      </w:tr>
      <w:tr w:rsidR="000C6434" w:rsidRPr="002862EE" w:rsidTr="00902B01">
        <w:trPr>
          <w:trHeight w:val="605"/>
        </w:trPr>
        <w:tc>
          <w:tcPr>
            <w:tcW w:w="567" w:type="dxa"/>
            <w:tcBorders>
              <w:top w:val="nil"/>
              <w:left w:val="single" w:sz="4" w:space="0" w:color="auto"/>
              <w:bottom w:val="single" w:sz="4" w:space="0" w:color="auto"/>
              <w:right w:val="single" w:sz="4" w:space="0" w:color="auto"/>
            </w:tcBorders>
          </w:tcPr>
          <w:p w:rsidR="000C6434" w:rsidRPr="00BD3DFD" w:rsidRDefault="000C6434" w:rsidP="00902B01">
            <w:pPr>
              <w:spacing w:after="0" w:line="240" w:lineRule="auto"/>
              <w:ind w:right="424"/>
              <w:jc w:val="center"/>
              <w:rPr>
                <w:bCs/>
                <w:sz w:val="20"/>
                <w:szCs w:val="20"/>
              </w:rPr>
            </w:pPr>
            <w:r w:rsidRPr="00BD3DFD">
              <w:rPr>
                <w:bCs/>
                <w:sz w:val="20"/>
                <w:szCs w:val="20"/>
              </w:rPr>
              <w:t>2</w:t>
            </w:r>
          </w:p>
        </w:tc>
        <w:tc>
          <w:tcPr>
            <w:tcW w:w="3261" w:type="dxa"/>
            <w:tcBorders>
              <w:top w:val="nil"/>
              <w:left w:val="single" w:sz="4" w:space="0" w:color="auto"/>
              <w:bottom w:val="single" w:sz="4" w:space="0" w:color="auto"/>
              <w:right w:val="single" w:sz="4" w:space="0" w:color="auto"/>
            </w:tcBorders>
            <w:shd w:val="clear" w:color="auto" w:fill="auto"/>
            <w:hideMark/>
          </w:tcPr>
          <w:p w:rsidR="000C6434" w:rsidRPr="00BD3DFD" w:rsidRDefault="000C6434" w:rsidP="00902B01">
            <w:pPr>
              <w:spacing w:after="0" w:line="240" w:lineRule="auto"/>
              <w:ind w:right="34"/>
              <w:jc w:val="left"/>
              <w:rPr>
                <w:sz w:val="20"/>
                <w:szCs w:val="20"/>
              </w:rPr>
            </w:pPr>
            <w:r w:rsidRPr="00BD3DFD">
              <w:rPr>
                <w:sz w:val="20"/>
                <w:szCs w:val="20"/>
              </w:rPr>
              <w:t>Муниципальное казенное учреждение «Служба муниципального заказа в жилищно-коммунальном хозяйстве»</w:t>
            </w:r>
          </w:p>
        </w:tc>
        <w:tc>
          <w:tcPr>
            <w:tcW w:w="1276" w:type="dxa"/>
            <w:tcBorders>
              <w:top w:val="nil"/>
              <w:left w:val="nil"/>
              <w:bottom w:val="single" w:sz="4" w:space="0" w:color="auto"/>
              <w:right w:val="single" w:sz="4" w:space="0" w:color="auto"/>
            </w:tcBorders>
            <w:shd w:val="clear" w:color="auto" w:fill="auto"/>
            <w:hideMark/>
          </w:tcPr>
          <w:p w:rsidR="000C6434" w:rsidRPr="00A1332B" w:rsidRDefault="000C6434" w:rsidP="00902B01">
            <w:pPr>
              <w:spacing w:after="0" w:line="240" w:lineRule="auto"/>
              <w:ind w:right="33"/>
              <w:jc w:val="center"/>
              <w:rPr>
                <w:sz w:val="20"/>
                <w:szCs w:val="20"/>
              </w:rPr>
            </w:pPr>
            <w:r w:rsidRPr="00A1332B">
              <w:rPr>
                <w:sz w:val="20"/>
                <w:szCs w:val="20"/>
              </w:rPr>
              <w:t>1 729,2</w:t>
            </w:r>
          </w:p>
        </w:tc>
        <w:tc>
          <w:tcPr>
            <w:tcW w:w="1417" w:type="dxa"/>
            <w:tcBorders>
              <w:top w:val="nil"/>
              <w:left w:val="nil"/>
              <w:bottom w:val="single" w:sz="4" w:space="0" w:color="auto"/>
              <w:right w:val="single" w:sz="4" w:space="0" w:color="auto"/>
            </w:tcBorders>
            <w:shd w:val="clear" w:color="auto" w:fill="auto"/>
          </w:tcPr>
          <w:p w:rsidR="000C6434" w:rsidRPr="0011319F" w:rsidRDefault="000C6434" w:rsidP="00902B01">
            <w:pPr>
              <w:spacing w:after="0" w:line="240" w:lineRule="auto"/>
              <w:ind w:right="34"/>
              <w:jc w:val="center"/>
              <w:rPr>
                <w:sz w:val="20"/>
                <w:szCs w:val="20"/>
              </w:rPr>
            </w:pPr>
            <w:r w:rsidRPr="0011319F">
              <w:rPr>
                <w:sz w:val="20"/>
                <w:szCs w:val="20"/>
              </w:rPr>
              <w:t>1 508,4</w:t>
            </w:r>
          </w:p>
        </w:tc>
        <w:tc>
          <w:tcPr>
            <w:tcW w:w="1559" w:type="dxa"/>
            <w:tcBorders>
              <w:top w:val="nil"/>
              <w:left w:val="nil"/>
              <w:bottom w:val="single" w:sz="4" w:space="0" w:color="auto"/>
              <w:right w:val="single" w:sz="4" w:space="0" w:color="auto"/>
            </w:tcBorders>
            <w:shd w:val="clear" w:color="auto" w:fill="auto"/>
          </w:tcPr>
          <w:p w:rsidR="000C6434" w:rsidRPr="00C4207B" w:rsidRDefault="000C6434" w:rsidP="00902B01">
            <w:pPr>
              <w:spacing w:after="0" w:line="240" w:lineRule="auto"/>
              <w:ind w:right="33"/>
              <w:jc w:val="center"/>
              <w:rPr>
                <w:sz w:val="20"/>
                <w:szCs w:val="20"/>
              </w:rPr>
            </w:pPr>
            <w:r w:rsidRPr="00C4207B">
              <w:rPr>
                <w:sz w:val="20"/>
                <w:szCs w:val="20"/>
              </w:rPr>
              <w:t>1 508,4</w:t>
            </w:r>
          </w:p>
        </w:tc>
        <w:tc>
          <w:tcPr>
            <w:tcW w:w="1276" w:type="dxa"/>
            <w:tcBorders>
              <w:top w:val="nil"/>
              <w:left w:val="nil"/>
              <w:bottom w:val="single" w:sz="4" w:space="0" w:color="auto"/>
              <w:right w:val="single" w:sz="4" w:space="0" w:color="auto"/>
            </w:tcBorders>
            <w:shd w:val="clear" w:color="auto" w:fill="auto"/>
            <w:hideMark/>
          </w:tcPr>
          <w:p w:rsidR="000C6434" w:rsidRPr="00C4207B" w:rsidRDefault="000C6434" w:rsidP="00902B01">
            <w:pPr>
              <w:spacing w:after="0" w:line="240" w:lineRule="auto"/>
              <w:ind w:right="34"/>
              <w:jc w:val="center"/>
              <w:rPr>
                <w:sz w:val="20"/>
                <w:szCs w:val="20"/>
              </w:rPr>
            </w:pPr>
            <w:r w:rsidRPr="00C4207B">
              <w:rPr>
                <w:sz w:val="20"/>
                <w:szCs w:val="20"/>
              </w:rPr>
              <w:t>100%</w:t>
            </w:r>
          </w:p>
        </w:tc>
      </w:tr>
      <w:tr w:rsidR="000C6434" w:rsidRPr="002862EE" w:rsidTr="00902B01">
        <w:trPr>
          <w:trHeight w:val="557"/>
        </w:trPr>
        <w:tc>
          <w:tcPr>
            <w:tcW w:w="567" w:type="dxa"/>
            <w:tcBorders>
              <w:top w:val="nil"/>
              <w:left w:val="single" w:sz="4" w:space="0" w:color="auto"/>
              <w:bottom w:val="single" w:sz="4" w:space="0" w:color="auto"/>
              <w:right w:val="single" w:sz="4" w:space="0" w:color="auto"/>
            </w:tcBorders>
          </w:tcPr>
          <w:p w:rsidR="000C6434" w:rsidRPr="00BD3DFD" w:rsidRDefault="000C6434" w:rsidP="00902B01">
            <w:pPr>
              <w:spacing w:after="0" w:line="240" w:lineRule="auto"/>
              <w:ind w:right="424"/>
              <w:jc w:val="center"/>
              <w:rPr>
                <w:bCs/>
                <w:sz w:val="20"/>
                <w:szCs w:val="20"/>
              </w:rPr>
            </w:pPr>
            <w:r w:rsidRPr="00BD3DFD">
              <w:rPr>
                <w:bCs/>
                <w:sz w:val="20"/>
                <w:szCs w:val="20"/>
              </w:rPr>
              <w:t>3</w:t>
            </w:r>
          </w:p>
        </w:tc>
        <w:tc>
          <w:tcPr>
            <w:tcW w:w="3261" w:type="dxa"/>
            <w:tcBorders>
              <w:top w:val="nil"/>
              <w:left w:val="single" w:sz="4" w:space="0" w:color="auto"/>
              <w:bottom w:val="single" w:sz="4" w:space="0" w:color="auto"/>
              <w:right w:val="single" w:sz="4" w:space="0" w:color="auto"/>
            </w:tcBorders>
            <w:shd w:val="clear" w:color="auto" w:fill="auto"/>
            <w:hideMark/>
          </w:tcPr>
          <w:p w:rsidR="000C6434" w:rsidRPr="00BD3DFD" w:rsidRDefault="000C6434" w:rsidP="00902B01">
            <w:pPr>
              <w:spacing w:after="0" w:line="240" w:lineRule="auto"/>
              <w:ind w:right="424"/>
              <w:jc w:val="left"/>
              <w:rPr>
                <w:sz w:val="20"/>
                <w:szCs w:val="20"/>
              </w:rPr>
            </w:pPr>
            <w:r w:rsidRPr="00BD3DFD">
              <w:rPr>
                <w:bCs/>
                <w:sz w:val="20"/>
                <w:szCs w:val="20"/>
              </w:rPr>
              <w:t>Департамент образования Администрации города Ханты-Мансийска</w:t>
            </w:r>
          </w:p>
        </w:tc>
        <w:tc>
          <w:tcPr>
            <w:tcW w:w="1276" w:type="dxa"/>
            <w:tcBorders>
              <w:top w:val="nil"/>
              <w:left w:val="nil"/>
              <w:bottom w:val="single" w:sz="4" w:space="0" w:color="auto"/>
              <w:right w:val="single" w:sz="4" w:space="0" w:color="auto"/>
            </w:tcBorders>
            <w:shd w:val="clear" w:color="auto" w:fill="auto"/>
            <w:hideMark/>
          </w:tcPr>
          <w:p w:rsidR="000C6434" w:rsidRPr="00A1332B" w:rsidRDefault="000C6434" w:rsidP="00902B01">
            <w:pPr>
              <w:spacing w:after="0" w:line="240" w:lineRule="auto"/>
              <w:ind w:right="118"/>
              <w:jc w:val="center"/>
              <w:rPr>
                <w:sz w:val="20"/>
                <w:szCs w:val="20"/>
              </w:rPr>
            </w:pPr>
            <w:r w:rsidRPr="00A1332B">
              <w:rPr>
                <w:sz w:val="20"/>
                <w:szCs w:val="20"/>
              </w:rPr>
              <w:t xml:space="preserve"> 308,0</w:t>
            </w:r>
          </w:p>
        </w:tc>
        <w:tc>
          <w:tcPr>
            <w:tcW w:w="1417" w:type="dxa"/>
            <w:tcBorders>
              <w:top w:val="nil"/>
              <w:left w:val="nil"/>
              <w:bottom w:val="single" w:sz="4" w:space="0" w:color="auto"/>
              <w:right w:val="single" w:sz="4" w:space="0" w:color="auto"/>
            </w:tcBorders>
            <w:shd w:val="clear" w:color="auto" w:fill="auto"/>
          </w:tcPr>
          <w:p w:rsidR="000C6434" w:rsidRPr="0011319F" w:rsidRDefault="000C6434" w:rsidP="00902B01">
            <w:pPr>
              <w:spacing w:after="0" w:line="240" w:lineRule="auto"/>
              <w:ind w:right="260"/>
              <w:jc w:val="center"/>
              <w:rPr>
                <w:sz w:val="20"/>
                <w:szCs w:val="20"/>
              </w:rPr>
            </w:pPr>
            <w:r w:rsidRPr="0011319F">
              <w:rPr>
                <w:sz w:val="20"/>
                <w:szCs w:val="20"/>
              </w:rPr>
              <w:t xml:space="preserve">    2 067,0</w:t>
            </w:r>
          </w:p>
        </w:tc>
        <w:tc>
          <w:tcPr>
            <w:tcW w:w="1559" w:type="dxa"/>
            <w:tcBorders>
              <w:top w:val="nil"/>
              <w:left w:val="nil"/>
              <w:bottom w:val="single" w:sz="4" w:space="0" w:color="auto"/>
              <w:right w:val="single" w:sz="4" w:space="0" w:color="auto"/>
            </w:tcBorders>
            <w:shd w:val="clear" w:color="auto" w:fill="auto"/>
          </w:tcPr>
          <w:p w:rsidR="000C6434" w:rsidRPr="00C4207B" w:rsidRDefault="000C6434" w:rsidP="00902B01">
            <w:pPr>
              <w:spacing w:after="0" w:line="240" w:lineRule="auto"/>
              <w:ind w:right="118"/>
              <w:jc w:val="center"/>
              <w:rPr>
                <w:sz w:val="20"/>
                <w:szCs w:val="20"/>
              </w:rPr>
            </w:pPr>
            <w:r w:rsidRPr="00C4207B">
              <w:rPr>
                <w:sz w:val="20"/>
                <w:szCs w:val="20"/>
              </w:rPr>
              <w:t xml:space="preserve"> 2 067,0</w:t>
            </w:r>
          </w:p>
        </w:tc>
        <w:tc>
          <w:tcPr>
            <w:tcW w:w="1276" w:type="dxa"/>
            <w:tcBorders>
              <w:top w:val="nil"/>
              <w:left w:val="nil"/>
              <w:bottom w:val="single" w:sz="4" w:space="0" w:color="auto"/>
              <w:right w:val="single" w:sz="4" w:space="0" w:color="auto"/>
            </w:tcBorders>
            <w:shd w:val="clear" w:color="auto" w:fill="auto"/>
            <w:hideMark/>
          </w:tcPr>
          <w:p w:rsidR="000C6434" w:rsidRPr="00C4207B" w:rsidRDefault="000C6434" w:rsidP="00902B01">
            <w:pPr>
              <w:spacing w:after="0" w:line="240" w:lineRule="auto"/>
              <w:ind w:right="119"/>
              <w:jc w:val="center"/>
              <w:rPr>
                <w:sz w:val="20"/>
                <w:szCs w:val="20"/>
              </w:rPr>
            </w:pPr>
            <w:r w:rsidRPr="00C4207B">
              <w:rPr>
                <w:sz w:val="20"/>
                <w:szCs w:val="20"/>
              </w:rPr>
              <w:t>100%</w:t>
            </w:r>
          </w:p>
        </w:tc>
      </w:tr>
    </w:tbl>
    <w:p w:rsidR="000C6434" w:rsidRPr="002862EE" w:rsidRDefault="000C6434" w:rsidP="000C6434">
      <w:pPr>
        <w:pStyle w:val="ae"/>
        <w:tabs>
          <w:tab w:val="left" w:pos="0"/>
        </w:tabs>
        <w:suppressAutoHyphens/>
        <w:spacing w:before="0" w:beforeAutospacing="0" w:after="0" w:afterAutospacing="0" w:line="276" w:lineRule="auto"/>
        <w:jc w:val="both"/>
        <w:rPr>
          <w:highlight w:val="yellow"/>
        </w:rPr>
      </w:pPr>
    </w:p>
    <w:p w:rsidR="000C6434" w:rsidRPr="008B5C93" w:rsidRDefault="000C6434" w:rsidP="000C6434">
      <w:pPr>
        <w:pStyle w:val="ae"/>
        <w:tabs>
          <w:tab w:val="left" w:pos="459"/>
        </w:tabs>
        <w:suppressAutoHyphens/>
        <w:spacing w:before="0" w:beforeAutospacing="0" w:after="0" w:afterAutospacing="0" w:line="276" w:lineRule="auto"/>
        <w:jc w:val="both"/>
      </w:pPr>
      <w:r>
        <w:rPr>
          <w:sz w:val="28"/>
          <w:szCs w:val="28"/>
        </w:rPr>
        <w:tab/>
      </w:r>
      <w:r>
        <w:rPr>
          <w:sz w:val="28"/>
          <w:szCs w:val="28"/>
        </w:rPr>
        <w:tab/>
        <w:t xml:space="preserve">Исполнение расходов бюджета города по муниципальной программе </w:t>
      </w:r>
      <w:r w:rsidRPr="004166B4">
        <w:rPr>
          <w:sz w:val="28"/>
          <w:szCs w:val="28"/>
        </w:rPr>
        <w:t xml:space="preserve">«Защита населения и территории от чрезвычайных ситуаций, </w:t>
      </w:r>
      <w:r>
        <w:rPr>
          <w:sz w:val="28"/>
          <w:szCs w:val="28"/>
        </w:rPr>
        <w:t xml:space="preserve">обеспечение </w:t>
      </w:r>
      <w:r w:rsidRPr="004166B4">
        <w:rPr>
          <w:sz w:val="28"/>
          <w:szCs w:val="28"/>
        </w:rPr>
        <w:t>пожарной безопасности города Ханты-Мансийска»</w:t>
      </w:r>
      <w:r>
        <w:rPr>
          <w:sz w:val="28"/>
          <w:szCs w:val="28"/>
        </w:rPr>
        <w:t xml:space="preserve"> по источникам финансирования и основным мероприятиям: </w:t>
      </w:r>
      <w:r w:rsidRPr="004166B4">
        <w:rPr>
          <w:sz w:val="28"/>
          <w:szCs w:val="28"/>
        </w:rPr>
        <w:t xml:space="preserve"> </w:t>
      </w:r>
      <w:r w:rsidRPr="002862EE">
        <w:rPr>
          <w:sz w:val="22"/>
          <w:szCs w:val="22"/>
          <w:highlight w:val="yellow"/>
        </w:rPr>
        <w:t xml:space="preserve">          </w:t>
      </w:r>
      <w:r>
        <w:rPr>
          <w:sz w:val="22"/>
          <w:szCs w:val="22"/>
          <w:highlight w:val="yellow"/>
        </w:rPr>
        <w:t xml:space="preserve">                             </w:t>
      </w:r>
      <w:r w:rsidRPr="002862EE">
        <w:rPr>
          <w:sz w:val="22"/>
          <w:szCs w:val="22"/>
          <w:highlight w:val="yellow"/>
        </w:rPr>
        <w:t xml:space="preserve">                                                                               </w:t>
      </w:r>
    </w:p>
    <w:p w:rsidR="000C6434" w:rsidRPr="00275F1F" w:rsidRDefault="000C6434" w:rsidP="000C6434">
      <w:pPr>
        <w:pStyle w:val="ae"/>
        <w:tabs>
          <w:tab w:val="left" w:pos="459"/>
        </w:tabs>
        <w:suppressAutoHyphens/>
        <w:spacing w:before="0" w:beforeAutospacing="0" w:after="0" w:afterAutospacing="0" w:line="276" w:lineRule="auto"/>
        <w:ind w:firstLine="709"/>
      </w:pPr>
      <w:r w:rsidRPr="00275F1F">
        <w:rPr>
          <w:sz w:val="22"/>
          <w:szCs w:val="22"/>
        </w:rPr>
        <w:t xml:space="preserve"> (</w:t>
      </w:r>
      <w:r w:rsidRPr="00275F1F">
        <w:t>тыс. рублей)</w:t>
      </w:r>
    </w:p>
    <w:tbl>
      <w:tblPr>
        <w:tblW w:w="95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417"/>
        <w:gridCol w:w="1418"/>
        <w:gridCol w:w="1417"/>
        <w:gridCol w:w="1286"/>
      </w:tblGrid>
      <w:tr w:rsidR="000C6434" w:rsidRPr="002862EE" w:rsidTr="00902B01">
        <w:trPr>
          <w:trHeight w:val="300"/>
          <w:tblHeader/>
        </w:trPr>
        <w:tc>
          <w:tcPr>
            <w:tcW w:w="3970" w:type="dxa"/>
            <w:vMerge w:val="restart"/>
            <w:hideMark/>
          </w:tcPr>
          <w:p w:rsidR="000C6434" w:rsidRPr="002862EE" w:rsidRDefault="000C6434" w:rsidP="00902B01">
            <w:pPr>
              <w:spacing w:after="0" w:line="240" w:lineRule="auto"/>
              <w:ind w:right="34"/>
              <w:jc w:val="center"/>
              <w:rPr>
                <w:sz w:val="20"/>
                <w:szCs w:val="20"/>
                <w:highlight w:val="yellow"/>
              </w:rPr>
            </w:pPr>
            <w:r w:rsidRPr="00582F90">
              <w:rPr>
                <w:sz w:val="20"/>
                <w:szCs w:val="20"/>
              </w:rPr>
              <w:lastRenderedPageBreak/>
              <w:t>Наименование муниципальной программы, подпрограммы муниципальной программы, мероприятия муниципальной программы</w:t>
            </w:r>
          </w:p>
        </w:tc>
        <w:tc>
          <w:tcPr>
            <w:tcW w:w="1417" w:type="dxa"/>
            <w:vMerge w:val="restart"/>
            <w:noWrap/>
            <w:hideMark/>
          </w:tcPr>
          <w:p w:rsidR="000C6434" w:rsidRPr="00DB011D" w:rsidRDefault="000C6434" w:rsidP="00902B01">
            <w:pPr>
              <w:spacing w:after="0" w:line="240" w:lineRule="auto"/>
              <w:ind w:right="424"/>
              <w:jc w:val="center"/>
              <w:rPr>
                <w:sz w:val="20"/>
                <w:szCs w:val="20"/>
              </w:rPr>
            </w:pPr>
          </w:p>
          <w:p w:rsidR="000C6434" w:rsidRPr="00DB011D" w:rsidRDefault="000C6434" w:rsidP="00902B01">
            <w:pPr>
              <w:spacing w:after="0" w:line="240" w:lineRule="auto"/>
              <w:ind w:right="33"/>
              <w:jc w:val="center"/>
              <w:rPr>
                <w:sz w:val="20"/>
                <w:szCs w:val="20"/>
              </w:rPr>
            </w:pPr>
            <w:r w:rsidRPr="00DB011D">
              <w:rPr>
                <w:sz w:val="20"/>
                <w:szCs w:val="20"/>
              </w:rPr>
              <w:t>2023 год (отчет)</w:t>
            </w:r>
          </w:p>
        </w:tc>
        <w:tc>
          <w:tcPr>
            <w:tcW w:w="4121" w:type="dxa"/>
            <w:gridSpan w:val="3"/>
            <w:noWrap/>
            <w:hideMark/>
          </w:tcPr>
          <w:p w:rsidR="000C6434" w:rsidRPr="00DB011D" w:rsidRDefault="000C6434" w:rsidP="00902B01">
            <w:pPr>
              <w:spacing w:after="0" w:line="240" w:lineRule="auto"/>
              <w:ind w:right="424"/>
              <w:jc w:val="center"/>
              <w:rPr>
                <w:sz w:val="20"/>
                <w:szCs w:val="20"/>
              </w:rPr>
            </w:pPr>
            <w:r w:rsidRPr="00DB011D">
              <w:rPr>
                <w:sz w:val="20"/>
                <w:szCs w:val="20"/>
              </w:rPr>
              <w:t xml:space="preserve">2024 год </w:t>
            </w:r>
          </w:p>
        </w:tc>
      </w:tr>
      <w:tr w:rsidR="000C6434" w:rsidRPr="002862EE" w:rsidTr="00902B01">
        <w:trPr>
          <w:trHeight w:val="575"/>
          <w:tblHeader/>
        </w:trPr>
        <w:tc>
          <w:tcPr>
            <w:tcW w:w="3970" w:type="dxa"/>
            <w:vMerge/>
            <w:hideMark/>
          </w:tcPr>
          <w:p w:rsidR="000C6434" w:rsidRPr="002862EE" w:rsidRDefault="000C6434" w:rsidP="00902B01">
            <w:pPr>
              <w:spacing w:after="0" w:line="240" w:lineRule="auto"/>
              <w:ind w:right="34"/>
              <w:rPr>
                <w:sz w:val="20"/>
                <w:szCs w:val="20"/>
                <w:highlight w:val="yellow"/>
              </w:rPr>
            </w:pPr>
          </w:p>
        </w:tc>
        <w:tc>
          <w:tcPr>
            <w:tcW w:w="1417" w:type="dxa"/>
            <w:vMerge/>
            <w:hideMark/>
          </w:tcPr>
          <w:p w:rsidR="000C6434" w:rsidRPr="00DB011D" w:rsidRDefault="000C6434" w:rsidP="00902B01">
            <w:pPr>
              <w:spacing w:after="0" w:line="240" w:lineRule="auto"/>
              <w:ind w:right="424"/>
              <w:rPr>
                <w:sz w:val="20"/>
                <w:szCs w:val="20"/>
              </w:rPr>
            </w:pPr>
          </w:p>
        </w:tc>
        <w:tc>
          <w:tcPr>
            <w:tcW w:w="1418" w:type="dxa"/>
            <w:hideMark/>
          </w:tcPr>
          <w:p w:rsidR="000C6434" w:rsidRPr="00DB011D" w:rsidRDefault="000C6434" w:rsidP="00902B01">
            <w:pPr>
              <w:jc w:val="center"/>
              <w:rPr>
                <w:rFonts w:eastAsia="Times New Roman"/>
                <w:color w:val="000000" w:themeColor="text1"/>
                <w:sz w:val="20"/>
                <w:szCs w:val="20"/>
              </w:rPr>
            </w:pPr>
            <w:r w:rsidRPr="00DB011D">
              <w:rPr>
                <w:rFonts w:eastAsia="Times New Roman"/>
                <w:color w:val="000000" w:themeColor="text1"/>
                <w:sz w:val="20"/>
                <w:szCs w:val="20"/>
              </w:rPr>
              <w:t>Уточненный план</w:t>
            </w:r>
          </w:p>
        </w:tc>
        <w:tc>
          <w:tcPr>
            <w:tcW w:w="1417" w:type="dxa"/>
            <w:hideMark/>
          </w:tcPr>
          <w:p w:rsidR="000C6434" w:rsidRPr="00DB011D" w:rsidRDefault="000C6434" w:rsidP="00902B01">
            <w:pPr>
              <w:jc w:val="center"/>
              <w:rPr>
                <w:rFonts w:eastAsia="Times New Roman"/>
                <w:color w:val="000000" w:themeColor="text1"/>
                <w:sz w:val="20"/>
                <w:szCs w:val="20"/>
              </w:rPr>
            </w:pPr>
            <w:r w:rsidRPr="00DB011D">
              <w:rPr>
                <w:rFonts w:eastAsia="Times New Roman"/>
                <w:color w:val="000000" w:themeColor="text1"/>
                <w:sz w:val="20"/>
                <w:szCs w:val="20"/>
              </w:rPr>
              <w:t>Исполнение</w:t>
            </w:r>
          </w:p>
        </w:tc>
        <w:tc>
          <w:tcPr>
            <w:tcW w:w="1286" w:type="dxa"/>
            <w:hideMark/>
          </w:tcPr>
          <w:p w:rsidR="000C6434" w:rsidRPr="00DB011D" w:rsidRDefault="000C6434" w:rsidP="00902B01">
            <w:pPr>
              <w:spacing w:after="0"/>
              <w:jc w:val="center"/>
              <w:rPr>
                <w:rFonts w:eastAsia="Times New Roman"/>
                <w:color w:val="000000" w:themeColor="text1"/>
                <w:sz w:val="20"/>
                <w:szCs w:val="20"/>
              </w:rPr>
            </w:pPr>
            <w:r w:rsidRPr="00DB011D">
              <w:rPr>
                <w:rFonts w:eastAsia="Times New Roman"/>
                <w:color w:val="000000" w:themeColor="text1"/>
                <w:sz w:val="20"/>
                <w:szCs w:val="20"/>
              </w:rPr>
              <w:t>% исполнения</w:t>
            </w:r>
          </w:p>
        </w:tc>
      </w:tr>
      <w:tr w:rsidR="000C6434" w:rsidRPr="002862EE" w:rsidTr="00902B01">
        <w:trPr>
          <w:trHeight w:val="300"/>
        </w:trPr>
        <w:tc>
          <w:tcPr>
            <w:tcW w:w="3970" w:type="dxa"/>
            <w:hideMark/>
          </w:tcPr>
          <w:p w:rsidR="000C6434" w:rsidRPr="00D7699B" w:rsidRDefault="000C6434" w:rsidP="00902B01">
            <w:pPr>
              <w:spacing w:after="0" w:line="240" w:lineRule="auto"/>
              <w:ind w:right="34"/>
              <w:jc w:val="left"/>
              <w:rPr>
                <w:sz w:val="20"/>
                <w:szCs w:val="20"/>
              </w:rPr>
            </w:pPr>
            <w:r w:rsidRPr="00D7699B">
              <w:rPr>
                <w:sz w:val="20"/>
                <w:szCs w:val="20"/>
              </w:rPr>
              <w:t>Всего по муниципальной программе, в том числе:</w:t>
            </w:r>
          </w:p>
        </w:tc>
        <w:tc>
          <w:tcPr>
            <w:tcW w:w="1417" w:type="dxa"/>
            <w:hideMark/>
          </w:tcPr>
          <w:p w:rsidR="000C6434" w:rsidRPr="001C13B9" w:rsidRDefault="000C6434" w:rsidP="00902B01">
            <w:pPr>
              <w:spacing w:after="0" w:line="240" w:lineRule="auto"/>
              <w:ind w:right="33"/>
              <w:jc w:val="center"/>
              <w:rPr>
                <w:sz w:val="20"/>
                <w:szCs w:val="20"/>
              </w:rPr>
            </w:pPr>
            <w:r w:rsidRPr="001C13B9">
              <w:rPr>
                <w:sz w:val="20"/>
                <w:szCs w:val="20"/>
              </w:rPr>
              <w:t>169 505,2</w:t>
            </w:r>
          </w:p>
        </w:tc>
        <w:tc>
          <w:tcPr>
            <w:tcW w:w="1418" w:type="dxa"/>
          </w:tcPr>
          <w:p w:rsidR="000C6434" w:rsidRPr="00187BA5" w:rsidRDefault="000C6434" w:rsidP="00902B01">
            <w:pPr>
              <w:spacing w:after="0" w:line="240" w:lineRule="auto"/>
              <w:ind w:right="34"/>
              <w:jc w:val="center"/>
              <w:rPr>
                <w:sz w:val="20"/>
                <w:szCs w:val="20"/>
              </w:rPr>
            </w:pPr>
            <w:r w:rsidRPr="00187BA5">
              <w:rPr>
                <w:sz w:val="20"/>
                <w:szCs w:val="20"/>
              </w:rPr>
              <w:t>180 424,8</w:t>
            </w:r>
          </w:p>
        </w:tc>
        <w:tc>
          <w:tcPr>
            <w:tcW w:w="1417" w:type="dxa"/>
          </w:tcPr>
          <w:p w:rsidR="000C6434" w:rsidRPr="00187BA5" w:rsidRDefault="000C6434" w:rsidP="00902B01">
            <w:pPr>
              <w:spacing w:after="0" w:line="240" w:lineRule="auto"/>
              <w:ind w:right="33"/>
              <w:jc w:val="center"/>
              <w:rPr>
                <w:sz w:val="20"/>
                <w:szCs w:val="20"/>
              </w:rPr>
            </w:pPr>
            <w:r w:rsidRPr="00187BA5">
              <w:rPr>
                <w:sz w:val="20"/>
                <w:szCs w:val="20"/>
              </w:rPr>
              <w:t>178 196,6</w:t>
            </w:r>
          </w:p>
        </w:tc>
        <w:tc>
          <w:tcPr>
            <w:tcW w:w="1286" w:type="dxa"/>
            <w:hideMark/>
          </w:tcPr>
          <w:p w:rsidR="000C6434" w:rsidRPr="00187BA5" w:rsidRDefault="000C6434" w:rsidP="00902B01">
            <w:pPr>
              <w:spacing w:after="0" w:line="240" w:lineRule="auto"/>
              <w:ind w:right="34"/>
              <w:jc w:val="center"/>
              <w:rPr>
                <w:sz w:val="20"/>
                <w:szCs w:val="20"/>
              </w:rPr>
            </w:pPr>
            <w:r w:rsidRPr="00187BA5">
              <w:rPr>
                <w:sz w:val="20"/>
                <w:szCs w:val="20"/>
              </w:rPr>
              <w:t>98,8%</w:t>
            </w:r>
          </w:p>
        </w:tc>
      </w:tr>
      <w:tr w:rsidR="000C6434" w:rsidRPr="002862EE" w:rsidTr="00902B01">
        <w:trPr>
          <w:trHeight w:val="300"/>
        </w:trPr>
        <w:tc>
          <w:tcPr>
            <w:tcW w:w="3970" w:type="dxa"/>
            <w:hideMark/>
          </w:tcPr>
          <w:p w:rsidR="000C6434" w:rsidRPr="00D7699B" w:rsidRDefault="000C6434" w:rsidP="00902B01">
            <w:pPr>
              <w:spacing w:after="0" w:line="240" w:lineRule="auto"/>
              <w:ind w:right="34"/>
              <w:jc w:val="left"/>
              <w:rPr>
                <w:sz w:val="20"/>
                <w:szCs w:val="20"/>
              </w:rPr>
            </w:pPr>
            <w:r w:rsidRPr="00D7699B">
              <w:rPr>
                <w:sz w:val="20"/>
                <w:szCs w:val="20"/>
              </w:rPr>
              <w:t>- бюджет города</w:t>
            </w:r>
          </w:p>
        </w:tc>
        <w:tc>
          <w:tcPr>
            <w:tcW w:w="1417" w:type="dxa"/>
            <w:hideMark/>
          </w:tcPr>
          <w:p w:rsidR="000C6434" w:rsidRPr="001C13B9" w:rsidRDefault="000C6434" w:rsidP="00902B01">
            <w:pPr>
              <w:spacing w:after="0" w:line="240" w:lineRule="auto"/>
              <w:ind w:right="33"/>
              <w:jc w:val="center"/>
              <w:rPr>
                <w:sz w:val="20"/>
                <w:szCs w:val="20"/>
              </w:rPr>
            </w:pPr>
            <w:r w:rsidRPr="001C13B9">
              <w:rPr>
                <w:sz w:val="20"/>
                <w:szCs w:val="20"/>
              </w:rPr>
              <w:t>169 505,2</w:t>
            </w:r>
          </w:p>
        </w:tc>
        <w:tc>
          <w:tcPr>
            <w:tcW w:w="1418" w:type="dxa"/>
          </w:tcPr>
          <w:p w:rsidR="000C6434" w:rsidRPr="00187BA5" w:rsidRDefault="000C6434" w:rsidP="00902B01">
            <w:pPr>
              <w:spacing w:after="0" w:line="240" w:lineRule="auto"/>
              <w:ind w:right="34"/>
              <w:jc w:val="center"/>
              <w:rPr>
                <w:sz w:val="20"/>
                <w:szCs w:val="20"/>
              </w:rPr>
            </w:pPr>
            <w:r w:rsidRPr="00187BA5">
              <w:rPr>
                <w:sz w:val="20"/>
                <w:szCs w:val="20"/>
              </w:rPr>
              <w:t>180 424,8</w:t>
            </w:r>
          </w:p>
        </w:tc>
        <w:tc>
          <w:tcPr>
            <w:tcW w:w="1417" w:type="dxa"/>
          </w:tcPr>
          <w:p w:rsidR="000C6434" w:rsidRPr="00187BA5" w:rsidRDefault="000C6434" w:rsidP="00902B01">
            <w:pPr>
              <w:spacing w:after="0" w:line="240" w:lineRule="auto"/>
              <w:ind w:right="33"/>
              <w:jc w:val="center"/>
              <w:rPr>
                <w:sz w:val="20"/>
                <w:szCs w:val="20"/>
              </w:rPr>
            </w:pPr>
            <w:r w:rsidRPr="00187BA5">
              <w:rPr>
                <w:sz w:val="20"/>
                <w:szCs w:val="20"/>
              </w:rPr>
              <w:t>178 196,6</w:t>
            </w:r>
          </w:p>
        </w:tc>
        <w:tc>
          <w:tcPr>
            <w:tcW w:w="1286" w:type="dxa"/>
            <w:hideMark/>
          </w:tcPr>
          <w:p w:rsidR="000C6434" w:rsidRPr="00187BA5" w:rsidRDefault="000C6434" w:rsidP="00902B01">
            <w:pPr>
              <w:spacing w:after="0" w:line="240" w:lineRule="auto"/>
              <w:ind w:right="34"/>
              <w:jc w:val="center"/>
              <w:rPr>
                <w:sz w:val="20"/>
                <w:szCs w:val="20"/>
              </w:rPr>
            </w:pPr>
            <w:r w:rsidRPr="00187BA5">
              <w:rPr>
                <w:sz w:val="20"/>
                <w:szCs w:val="20"/>
              </w:rPr>
              <w:t>98,8%</w:t>
            </w:r>
          </w:p>
        </w:tc>
      </w:tr>
      <w:tr w:rsidR="000C6434" w:rsidRPr="002862EE" w:rsidTr="00902B01">
        <w:trPr>
          <w:trHeight w:val="300"/>
        </w:trPr>
        <w:tc>
          <w:tcPr>
            <w:tcW w:w="3970" w:type="dxa"/>
            <w:hideMark/>
          </w:tcPr>
          <w:p w:rsidR="000C6434" w:rsidRPr="00915531" w:rsidRDefault="000C6434" w:rsidP="00902B01">
            <w:pPr>
              <w:spacing w:after="0" w:line="240" w:lineRule="auto"/>
              <w:ind w:right="34"/>
              <w:jc w:val="left"/>
              <w:rPr>
                <w:sz w:val="20"/>
                <w:szCs w:val="20"/>
              </w:rPr>
            </w:pPr>
            <w:r w:rsidRPr="00915531">
              <w:rPr>
                <w:sz w:val="20"/>
                <w:szCs w:val="20"/>
              </w:rPr>
              <w:t xml:space="preserve">Подпрограмма </w:t>
            </w:r>
            <w:r w:rsidRPr="00915531">
              <w:rPr>
                <w:sz w:val="20"/>
                <w:szCs w:val="20"/>
                <w:lang w:val="en-US"/>
              </w:rPr>
              <w:t>I</w:t>
            </w:r>
            <w:r w:rsidRPr="00915531">
              <w:rPr>
                <w:sz w:val="20"/>
                <w:szCs w:val="20"/>
              </w:rPr>
              <w:t xml:space="preserve"> «Защита населения и территории от чрезвычайных ситуаций, обеспечение пожарной безопасности города Ханты-Мансийска», всего, в том числе:</w:t>
            </w:r>
          </w:p>
        </w:tc>
        <w:tc>
          <w:tcPr>
            <w:tcW w:w="1417" w:type="dxa"/>
            <w:hideMark/>
          </w:tcPr>
          <w:p w:rsidR="000C6434" w:rsidRPr="001C13B9" w:rsidRDefault="000C6434" w:rsidP="00902B01">
            <w:pPr>
              <w:spacing w:after="0" w:line="240" w:lineRule="auto"/>
              <w:ind w:right="32"/>
              <w:jc w:val="center"/>
              <w:rPr>
                <w:sz w:val="20"/>
                <w:szCs w:val="20"/>
              </w:rPr>
            </w:pPr>
            <w:r w:rsidRPr="001C13B9">
              <w:rPr>
                <w:sz w:val="20"/>
                <w:szCs w:val="20"/>
              </w:rPr>
              <w:t>33 967,3</w:t>
            </w:r>
          </w:p>
        </w:tc>
        <w:tc>
          <w:tcPr>
            <w:tcW w:w="1418" w:type="dxa"/>
          </w:tcPr>
          <w:p w:rsidR="000C6434" w:rsidRPr="00187BA5" w:rsidRDefault="000C6434" w:rsidP="00902B01">
            <w:pPr>
              <w:spacing w:after="0" w:line="240" w:lineRule="auto"/>
              <w:ind w:left="-129"/>
              <w:jc w:val="center"/>
              <w:rPr>
                <w:sz w:val="20"/>
                <w:szCs w:val="20"/>
              </w:rPr>
            </w:pPr>
            <w:r w:rsidRPr="00187BA5">
              <w:rPr>
                <w:sz w:val="20"/>
                <w:szCs w:val="20"/>
              </w:rPr>
              <w:t>29 875,1</w:t>
            </w:r>
          </w:p>
        </w:tc>
        <w:tc>
          <w:tcPr>
            <w:tcW w:w="1417" w:type="dxa"/>
          </w:tcPr>
          <w:p w:rsidR="000C6434" w:rsidRPr="00187BA5" w:rsidRDefault="000C6434" w:rsidP="00902B01">
            <w:pPr>
              <w:spacing w:after="0" w:line="240" w:lineRule="auto"/>
              <w:ind w:right="32"/>
              <w:jc w:val="center"/>
              <w:rPr>
                <w:sz w:val="20"/>
                <w:szCs w:val="20"/>
              </w:rPr>
            </w:pPr>
            <w:r w:rsidRPr="00187BA5">
              <w:rPr>
                <w:sz w:val="20"/>
                <w:szCs w:val="20"/>
              </w:rPr>
              <w:t>28 256,9</w:t>
            </w:r>
          </w:p>
        </w:tc>
        <w:tc>
          <w:tcPr>
            <w:tcW w:w="1286" w:type="dxa"/>
            <w:hideMark/>
          </w:tcPr>
          <w:p w:rsidR="000C6434" w:rsidRPr="00187BA5" w:rsidRDefault="000C6434" w:rsidP="00902B01">
            <w:pPr>
              <w:spacing w:after="0" w:line="240" w:lineRule="auto"/>
              <w:ind w:right="44"/>
              <w:jc w:val="center"/>
              <w:rPr>
                <w:sz w:val="20"/>
                <w:szCs w:val="20"/>
              </w:rPr>
            </w:pPr>
            <w:r w:rsidRPr="00187BA5">
              <w:rPr>
                <w:sz w:val="20"/>
                <w:szCs w:val="20"/>
              </w:rPr>
              <w:t>94,6%</w:t>
            </w:r>
          </w:p>
        </w:tc>
      </w:tr>
      <w:tr w:rsidR="000C6434" w:rsidRPr="002862EE" w:rsidTr="00902B01">
        <w:trPr>
          <w:trHeight w:val="300"/>
        </w:trPr>
        <w:tc>
          <w:tcPr>
            <w:tcW w:w="3970" w:type="dxa"/>
            <w:hideMark/>
          </w:tcPr>
          <w:p w:rsidR="000C6434" w:rsidRPr="00D7699B" w:rsidRDefault="000C6434" w:rsidP="00902B01">
            <w:pPr>
              <w:spacing w:after="0" w:line="240" w:lineRule="auto"/>
              <w:ind w:right="34"/>
              <w:jc w:val="left"/>
              <w:rPr>
                <w:sz w:val="20"/>
                <w:szCs w:val="20"/>
              </w:rPr>
            </w:pPr>
            <w:r w:rsidRPr="00D7699B">
              <w:rPr>
                <w:sz w:val="20"/>
                <w:szCs w:val="20"/>
              </w:rPr>
              <w:t>- бюджет города</w:t>
            </w:r>
          </w:p>
        </w:tc>
        <w:tc>
          <w:tcPr>
            <w:tcW w:w="1417" w:type="dxa"/>
            <w:hideMark/>
          </w:tcPr>
          <w:p w:rsidR="000C6434" w:rsidRPr="00FC54BA" w:rsidRDefault="000C6434" w:rsidP="00902B01">
            <w:pPr>
              <w:spacing w:after="0" w:line="240" w:lineRule="auto"/>
              <w:ind w:right="32"/>
              <w:jc w:val="center"/>
              <w:rPr>
                <w:sz w:val="20"/>
                <w:szCs w:val="20"/>
              </w:rPr>
            </w:pPr>
            <w:r w:rsidRPr="00FC54BA">
              <w:rPr>
                <w:sz w:val="20"/>
                <w:szCs w:val="20"/>
              </w:rPr>
              <w:t>33 967,3</w:t>
            </w:r>
          </w:p>
        </w:tc>
        <w:tc>
          <w:tcPr>
            <w:tcW w:w="1418" w:type="dxa"/>
          </w:tcPr>
          <w:p w:rsidR="000C6434" w:rsidRPr="00187BA5" w:rsidRDefault="000C6434" w:rsidP="00902B01">
            <w:pPr>
              <w:spacing w:after="0" w:line="240" w:lineRule="auto"/>
              <w:ind w:left="-129"/>
              <w:jc w:val="center"/>
              <w:rPr>
                <w:sz w:val="20"/>
                <w:szCs w:val="20"/>
              </w:rPr>
            </w:pPr>
            <w:r w:rsidRPr="00187BA5">
              <w:rPr>
                <w:sz w:val="20"/>
                <w:szCs w:val="20"/>
              </w:rPr>
              <w:t>29 875,1</w:t>
            </w:r>
          </w:p>
        </w:tc>
        <w:tc>
          <w:tcPr>
            <w:tcW w:w="1417" w:type="dxa"/>
          </w:tcPr>
          <w:p w:rsidR="000C6434" w:rsidRPr="00187BA5" w:rsidRDefault="000C6434" w:rsidP="00902B01">
            <w:pPr>
              <w:spacing w:after="0" w:line="240" w:lineRule="auto"/>
              <w:ind w:right="32"/>
              <w:jc w:val="center"/>
              <w:rPr>
                <w:sz w:val="20"/>
                <w:szCs w:val="20"/>
              </w:rPr>
            </w:pPr>
            <w:r w:rsidRPr="00187BA5">
              <w:rPr>
                <w:sz w:val="20"/>
                <w:szCs w:val="20"/>
              </w:rPr>
              <w:t>28 256,9</w:t>
            </w:r>
          </w:p>
        </w:tc>
        <w:tc>
          <w:tcPr>
            <w:tcW w:w="1286" w:type="dxa"/>
            <w:hideMark/>
          </w:tcPr>
          <w:p w:rsidR="000C6434" w:rsidRPr="00187BA5" w:rsidRDefault="000C6434" w:rsidP="00902B01">
            <w:pPr>
              <w:spacing w:after="0" w:line="240" w:lineRule="auto"/>
              <w:ind w:right="44"/>
              <w:jc w:val="center"/>
              <w:rPr>
                <w:sz w:val="20"/>
                <w:szCs w:val="20"/>
              </w:rPr>
            </w:pPr>
            <w:r w:rsidRPr="00187BA5">
              <w:rPr>
                <w:sz w:val="20"/>
                <w:szCs w:val="20"/>
              </w:rPr>
              <w:t>94,6%</w:t>
            </w:r>
          </w:p>
        </w:tc>
      </w:tr>
      <w:tr w:rsidR="000C6434" w:rsidRPr="002862EE" w:rsidTr="00902B01">
        <w:trPr>
          <w:trHeight w:val="300"/>
        </w:trPr>
        <w:tc>
          <w:tcPr>
            <w:tcW w:w="3970" w:type="dxa"/>
            <w:hideMark/>
          </w:tcPr>
          <w:p w:rsidR="000C6434" w:rsidRPr="00AD610A" w:rsidRDefault="000C6434" w:rsidP="00902B01">
            <w:pPr>
              <w:spacing w:after="0" w:line="240" w:lineRule="auto"/>
              <w:ind w:right="34"/>
              <w:jc w:val="left"/>
              <w:rPr>
                <w:sz w:val="20"/>
                <w:szCs w:val="20"/>
              </w:rPr>
            </w:pPr>
            <w:r w:rsidRPr="00AD610A">
              <w:rPr>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 всего, в том числе:</w:t>
            </w:r>
          </w:p>
        </w:tc>
        <w:tc>
          <w:tcPr>
            <w:tcW w:w="1417" w:type="dxa"/>
            <w:hideMark/>
          </w:tcPr>
          <w:p w:rsidR="000C6434" w:rsidRPr="00FC54BA" w:rsidRDefault="000C6434" w:rsidP="00902B01">
            <w:pPr>
              <w:spacing w:after="0" w:line="240" w:lineRule="auto"/>
              <w:ind w:right="32"/>
              <w:jc w:val="center"/>
              <w:rPr>
                <w:sz w:val="20"/>
                <w:szCs w:val="20"/>
              </w:rPr>
            </w:pPr>
            <w:r w:rsidRPr="00FC54BA">
              <w:rPr>
                <w:sz w:val="20"/>
                <w:szCs w:val="20"/>
              </w:rPr>
              <w:t>5 275,8</w:t>
            </w:r>
          </w:p>
        </w:tc>
        <w:tc>
          <w:tcPr>
            <w:tcW w:w="1418" w:type="dxa"/>
          </w:tcPr>
          <w:p w:rsidR="000C6434" w:rsidRPr="000D4940" w:rsidRDefault="000C6434" w:rsidP="00902B01">
            <w:pPr>
              <w:spacing w:after="0" w:line="240" w:lineRule="auto"/>
              <w:ind w:left="154" w:hanging="283"/>
              <w:jc w:val="center"/>
              <w:rPr>
                <w:sz w:val="20"/>
                <w:szCs w:val="20"/>
              </w:rPr>
            </w:pPr>
            <w:r w:rsidRPr="000D4940">
              <w:rPr>
                <w:sz w:val="20"/>
                <w:szCs w:val="20"/>
              </w:rPr>
              <w:t>11 072,1</w:t>
            </w:r>
          </w:p>
        </w:tc>
        <w:tc>
          <w:tcPr>
            <w:tcW w:w="1417" w:type="dxa"/>
          </w:tcPr>
          <w:p w:rsidR="000C6434" w:rsidRPr="000D4940" w:rsidRDefault="000C6434" w:rsidP="00902B01">
            <w:pPr>
              <w:spacing w:after="0" w:line="240" w:lineRule="auto"/>
              <w:ind w:right="32"/>
              <w:jc w:val="center"/>
              <w:rPr>
                <w:sz w:val="20"/>
                <w:szCs w:val="20"/>
              </w:rPr>
            </w:pPr>
            <w:r w:rsidRPr="000D4940">
              <w:rPr>
                <w:sz w:val="20"/>
                <w:szCs w:val="20"/>
              </w:rPr>
              <w:t>9 453,9</w:t>
            </w:r>
          </w:p>
        </w:tc>
        <w:tc>
          <w:tcPr>
            <w:tcW w:w="1286" w:type="dxa"/>
            <w:hideMark/>
          </w:tcPr>
          <w:p w:rsidR="000C6434" w:rsidRPr="000D4940" w:rsidRDefault="000C6434" w:rsidP="00902B01">
            <w:pPr>
              <w:spacing w:after="0" w:line="240" w:lineRule="auto"/>
              <w:ind w:right="44"/>
              <w:jc w:val="center"/>
              <w:rPr>
                <w:sz w:val="20"/>
                <w:szCs w:val="20"/>
              </w:rPr>
            </w:pPr>
            <w:r w:rsidRPr="000D4940">
              <w:rPr>
                <w:sz w:val="20"/>
                <w:szCs w:val="20"/>
              </w:rPr>
              <w:t>85,4%</w:t>
            </w:r>
          </w:p>
        </w:tc>
      </w:tr>
      <w:tr w:rsidR="000C6434" w:rsidRPr="002862EE" w:rsidTr="00902B01">
        <w:trPr>
          <w:trHeight w:val="300"/>
        </w:trPr>
        <w:tc>
          <w:tcPr>
            <w:tcW w:w="3970" w:type="dxa"/>
            <w:hideMark/>
          </w:tcPr>
          <w:p w:rsidR="000C6434" w:rsidRPr="00AD610A" w:rsidRDefault="000C6434" w:rsidP="00902B01">
            <w:pPr>
              <w:spacing w:after="0" w:line="240" w:lineRule="auto"/>
              <w:ind w:right="34"/>
              <w:jc w:val="left"/>
              <w:rPr>
                <w:sz w:val="20"/>
                <w:szCs w:val="20"/>
              </w:rPr>
            </w:pPr>
            <w:r w:rsidRPr="00AD610A">
              <w:rPr>
                <w:sz w:val="20"/>
                <w:szCs w:val="20"/>
              </w:rPr>
              <w:t>- бюджет города</w:t>
            </w:r>
          </w:p>
        </w:tc>
        <w:tc>
          <w:tcPr>
            <w:tcW w:w="1417" w:type="dxa"/>
            <w:hideMark/>
          </w:tcPr>
          <w:p w:rsidR="000C6434" w:rsidRPr="00FC54BA" w:rsidRDefault="000C6434" w:rsidP="00902B01">
            <w:pPr>
              <w:spacing w:after="0" w:line="240" w:lineRule="auto"/>
              <w:ind w:right="32"/>
              <w:jc w:val="center"/>
              <w:rPr>
                <w:sz w:val="20"/>
                <w:szCs w:val="20"/>
              </w:rPr>
            </w:pPr>
            <w:r w:rsidRPr="00FC54BA">
              <w:rPr>
                <w:sz w:val="20"/>
                <w:szCs w:val="20"/>
              </w:rPr>
              <w:t>5 275,8</w:t>
            </w:r>
          </w:p>
        </w:tc>
        <w:tc>
          <w:tcPr>
            <w:tcW w:w="1418" w:type="dxa"/>
          </w:tcPr>
          <w:p w:rsidR="000C6434" w:rsidRPr="000D4940" w:rsidRDefault="000C6434" w:rsidP="00902B01">
            <w:pPr>
              <w:spacing w:after="0" w:line="240" w:lineRule="auto"/>
              <w:ind w:left="154" w:hanging="283"/>
              <w:jc w:val="center"/>
              <w:rPr>
                <w:sz w:val="20"/>
                <w:szCs w:val="20"/>
              </w:rPr>
            </w:pPr>
            <w:r w:rsidRPr="000D4940">
              <w:rPr>
                <w:sz w:val="20"/>
                <w:szCs w:val="20"/>
              </w:rPr>
              <w:t xml:space="preserve">  11 072,1</w:t>
            </w:r>
          </w:p>
        </w:tc>
        <w:tc>
          <w:tcPr>
            <w:tcW w:w="1417" w:type="dxa"/>
          </w:tcPr>
          <w:p w:rsidR="000C6434" w:rsidRPr="000D4940" w:rsidRDefault="000C6434" w:rsidP="00902B01">
            <w:pPr>
              <w:spacing w:after="0" w:line="240" w:lineRule="auto"/>
              <w:ind w:right="32"/>
              <w:jc w:val="center"/>
              <w:rPr>
                <w:sz w:val="20"/>
                <w:szCs w:val="20"/>
              </w:rPr>
            </w:pPr>
            <w:r w:rsidRPr="000D4940">
              <w:rPr>
                <w:sz w:val="20"/>
                <w:szCs w:val="20"/>
              </w:rPr>
              <w:t>9 453,9</w:t>
            </w:r>
          </w:p>
        </w:tc>
        <w:tc>
          <w:tcPr>
            <w:tcW w:w="1286" w:type="dxa"/>
            <w:hideMark/>
          </w:tcPr>
          <w:p w:rsidR="000C6434" w:rsidRPr="000D4940" w:rsidRDefault="000C6434" w:rsidP="00902B01">
            <w:pPr>
              <w:spacing w:after="0" w:line="240" w:lineRule="auto"/>
              <w:ind w:right="44"/>
              <w:jc w:val="center"/>
              <w:rPr>
                <w:sz w:val="20"/>
                <w:szCs w:val="20"/>
              </w:rPr>
            </w:pPr>
            <w:r w:rsidRPr="000D4940">
              <w:rPr>
                <w:sz w:val="20"/>
                <w:szCs w:val="20"/>
              </w:rPr>
              <w:t>85,4%</w:t>
            </w:r>
          </w:p>
        </w:tc>
      </w:tr>
      <w:tr w:rsidR="000C6434" w:rsidRPr="002862EE" w:rsidTr="00902B01">
        <w:trPr>
          <w:trHeight w:val="300"/>
        </w:trPr>
        <w:tc>
          <w:tcPr>
            <w:tcW w:w="3970" w:type="dxa"/>
          </w:tcPr>
          <w:p w:rsidR="000C6434" w:rsidRPr="006F205C" w:rsidRDefault="000C6434" w:rsidP="00902B01">
            <w:pPr>
              <w:spacing w:after="0" w:line="240" w:lineRule="auto"/>
              <w:ind w:right="34"/>
              <w:jc w:val="left"/>
              <w:rPr>
                <w:sz w:val="20"/>
                <w:szCs w:val="20"/>
              </w:rPr>
            </w:pPr>
            <w:r w:rsidRPr="006F205C">
              <w:rPr>
                <w:sz w:val="20"/>
                <w:szCs w:val="20"/>
              </w:rPr>
              <w:t>Основное мероприятие «Совершенствование системы мониторинга и прогнозирования чрезвычайных ситуаций», всего, в том числе:</w:t>
            </w:r>
          </w:p>
        </w:tc>
        <w:tc>
          <w:tcPr>
            <w:tcW w:w="1417" w:type="dxa"/>
          </w:tcPr>
          <w:p w:rsidR="000C6434" w:rsidRPr="00FC54BA" w:rsidRDefault="000C6434" w:rsidP="00902B01">
            <w:pPr>
              <w:spacing w:after="0" w:line="240" w:lineRule="auto"/>
              <w:ind w:left="134" w:right="32"/>
              <w:jc w:val="center"/>
              <w:rPr>
                <w:sz w:val="20"/>
                <w:szCs w:val="20"/>
              </w:rPr>
            </w:pPr>
            <w:r w:rsidRPr="00FC54BA">
              <w:rPr>
                <w:sz w:val="20"/>
                <w:szCs w:val="20"/>
              </w:rPr>
              <w:t>28 691,5</w:t>
            </w:r>
          </w:p>
        </w:tc>
        <w:tc>
          <w:tcPr>
            <w:tcW w:w="1418" w:type="dxa"/>
          </w:tcPr>
          <w:p w:rsidR="000C6434" w:rsidRPr="000D4940" w:rsidRDefault="000C6434" w:rsidP="00902B01">
            <w:pPr>
              <w:spacing w:after="0" w:line="240" w:lineRule="auto"/>
              <w:jc w:val="center"/>
              <w:rPr>
                <w:sz w:val="20"/>
                <w:szCs w:val="20"/>
              </w:rPr>
            </w:pPr>
            <w:r w:rsidRPr="000D4940">
              <w:rPr>
                <w:sz w:val="20"/>
                <w:szCs w:val="20"/>
              </w:rPr>
              <w:t>18 803,0</w:t>
            </w:r>
          </w:p>
        </w:tc>
        <w:tc>
          <w:tcPr>
            <w:tcW w:w="1417" w:type="dxa"/>
          </w:tcPr>
          <w:p w:rsidR="000C6434" w:rsidRPr="000D4940" w:rsidRDefault="000C6434" w:rsidP="00902B01">
            <w:pPr>
              <w:spacing w:after="0" w:line="240" w:lineRule="auto"/>
              <w:jc w:val="center"/>
              <w:rPr>
                <w:sz w:val="20"/>
                <w:szCs w:val="20"/>
              </w:rPr>
            </w:pPr>
            <w:r w:rsidRPr="000D4940">
              <w:rPr>
                <w:sz w:val="20"/>
                <w:szCs w:val="20"/>
              </w:rPr>
              <w:t>18 803,0</w:t>
            </w:r>
          </w:p>
        </w:tc>
        <w:tc>
          <w:tcPr>
            <w:tcW w:w="1286" w:type="dxa"/>
          </w:tcPr>
          <w:p w:rsidR="000C6434" w:rsidRPr="000D4940" w:rsidRDefault="000C6434" w:rsidP="00902B01">
            <w:pPr>
              <w:spacing w:after="0" w:line="240" w:lineRule="auto"/>
              <w:ind w:left="156" w:right="44"/>
              <w:jc w:val="both"/>
              <w:rPr>
                <w:sz w:val="20"/>
                <w:szCs w:val="20"/>
              </w:rPr>
            </w:pPr>
            <w:r w:rsidRPr="000D4940">
              <w:rPr>
                <w:sz w:val="20"/>
                <w:szCs w:val="20"/>
              </w:rPr>
              <w:t xml:space="preserve">  100%</w:t>
            </w:r>
          </w:p>
        </w:tc>
      </w:tr>
      <w:tr w:rsidR="000C6434" w:rsidRPr="002862EE" w:rsidTr="00902B01">
        <w:trPr>
          <w:trHeight w:val="300"/>
        </w:trPr>
        <w:tc>
          <w:tcPr>
            <w:tcW w:w="3970" w:type="dxa"/>
          </w:tcPr>
          <w:p w:rsidR="000C6434" w:rsidRPr="006F205C" w:rsidRDefault="000C6434" w:rsidP="00902B01">
            <w:pPr>
              <w:spacing w:after="0" w:line="240" w:lineRule="auto"/>
              <w:ind w:right="34"/>
              <w:jc w:val="left"/>
              <w:rPr>
                <w:sz w:val="20"/>
                <w:szCs w:val="20"/>
              </w:rPr>
            </w:pPr>
            <w:r w:rsidRPr="006F205C">
              <w:rPr>
                <w:sz w:val="20"/>
                <w:szCs w:val="20"/>
              </w:rPr>
              <w:t>- бюджет города</w:t>
            </w:r>
          </w:p>
        </w:tc>
        <w:tc>
          <w:tcPr>
            <w:tcW w:w="1417" w:type="dxa"/>
          </w:tcPr>
          <w:p w:rsidR="000C6434" w:rsidRPr="00FC54BA" w:rsidRDefault="000C6434" w:rsidP="00902B01">
            <w:pPr>
              <w:spacing w:after="0" w:line="240" w:lineRule="auto"/>
              <w:ind w:left="134" w:right="32"/>
              <w:jc w:val="center"/>
              <w:rPr>
                <w:sz w:val="20"/>
                <w:szCs w:val="20"/>
              </w:rPr>
            </w:pPr>
            <w:r w:rsidRPr="00FC54BA">
              <w:rPr>
                <w:sz w:val="20"/>
                <w:szCs w:val="20"/>
              </w:rPr>
              <w:t>28 691,5</w:t>
            </w:r>
          </w:p>
        </w:tc>
        <w:tc>
          <w:tcPr>
            <w:tcW w:w="1418" w:type="dxa"/>
          </w:tcPr>
          <w:p w:rsidR="000C6434" w:rsidRPr="000D4940" w:rsidRDefault="000C6434" w:rsidP="00902B01">
            <w:pPr>
              <w:spacing w:after="0" w:line="240" w:lineRule="auto"/>
              <w:jc w:val="center"/>
              <w:rPr>
                <w:sz w:val="20"/>
                <w:szCs w:val="20"/>
              </w:rPr>
            </w:pPr>
            <w:r w:rsidRPr="000D4940">
              <w:rPr>
                <w:sz w:val="20"/>
                <w:szCs w:val="20"/>
              </w:rPr>
              <w:t>18 803,0</w:t>
            </w:r>
          </w:p>
        </w:tc>
        <w:tc>
          <w:tcPr>
            <w:tcW w:w="1417" w:type="dxa"/>
          </w:tcPr>
          <w:p w:rsidR="000C6434" w:rsidRPr="000D4940" w:rsidRDefault="000C6434" w:rsidP="00902B01">
            <w:pPr>
              <w:spacing w:after="0" w:line="240" w:lineRule="auto"/>
              <w:jc w:val="center"/>
              <w:rPr>
                <w:sz w:val="20"/>
                <w:szCs w:val="20"/>
              </w:rPr>
            </w:pPr>
            <w:r w:rsidRPr="000D4940">
              <w:rPr>
                <w:sz w:val="20"/>
                <w:szCs w:val="20"/>
              </w:rPr>
              <w:t>18 803,0</w:t>
            </w:r>
          </w:p>
        </w:tc>
        <w:tc>
          <w:tcPr>
            <w:tcW w:w="1286" w:type="dxa"/>
          </w:tcPr>
          <w:p w:rsidR="000C6434" w:rsidRPr="000D4940" w:rsidRDefault="000C6434" w:rsidP="00902B01">
            <w:pPr>
              <w:spacing w:after="0" w:line="240" w:lineRule="auto"/>
              <w:ind w:left="156" w:right="44"/>
              <w:jc w:val="both"/>
              <w:rPr>
                <w:sz w:val="20"/>
                <w:szCs w:val="20"/>
              </w:rPr>
            </w:pPr>
            <w:r w:rsidRPr="000D4940">
              <w:rPr>
                <w:sz w:val="20"/>
                <w:szCs w:val="20"/>
              </w:rPr>
              <w:t xml:space="preserve">  100%</w:t>
            </w:r>
          </w:p>
        </w:tc>
      </w:tr>
      <w:tr w:rsidR="000C6434" w:rsidRPr="002862EE" w:rsidTr="00902B01">
        <w:trPr>
          <w:trHeight w:val="300"/>
        </w:trPr>
        <w:tc>
          <w:tcPr>
            <w:tcW w:w="3970" w:type="dxa"/>
            <w:hideMark/>
          </w:tcPr>
          <w:p w:rsidR="000C6434" w:rsidRPr="00F729D2" w:rsidRDefault="000C6434" w:rsidP="00902B01">
            <w:pPr>
              <w:spacing w:after="0" w:line="240" w:lineRule="auto"/>
              <w:ind w:right="34"/>
              <w:jc w:val="left"/>
              <w:rPr>
                <w:sz w:val="20"/>
                <w:szCs w:val="20"/>
              </w:rPr>
            </w:pPr>
            <w:r w:rsidRPr="00F729D2">
              <w:rPr>
                <w:sz w:val="20"/>
                <w:szCs w:val="20"/>
              </w:rPr>
              <w:t xml:space="preserve">Подпрограмма </w:t>
            </w:r>
            <w:r w:rsidRPr="00F729D2">
              <w:rPr>
                <w:sz w:val="20"/>
                <w:szCs w:val="20"/>
                <w:lang w:val="en-US"/>
              </w:rPr>
              <w:t>II</w:t>
            </w:r>
            <w:r w:rsidRPr="00F729D2">
              <w:rPr>
                <w:sz w:val="20"/>
                <w:szCs w:val="20"/>
              </w:rPr>
              <w:t xml:space="preserve"> «Материально-техническое и финансовое обеспечение деятельности МКУ «Управление гражданской защиты населения», всего, в том числе:</w:t>
            </w:r>
          </w:p>
        </w:tc>
        <w:tc>
          <w:tcPr>
            <w:tcW w:w="1417" w:type="dxa"/>
            <w:hideMark/>
          </w:tcPr>
          <w:p w:rsidR="000C6434" w:rsidRPr="00FC54BA" w:rsidRDefault="000C6434" w:rsidP="00902B01">
            <w:pPr>
              <w:spacing w:after="0" w:line="240" w:lineRule="auto"/>
              <w:ind w:right="32"/>
              <w:jc w:val="center"/>
              <w:rPr>
                <w:sz w:val="20"/>
                <w:szCs w:val="20"/>
              </w:rPr>
            </w:pPr>
            <w:r w:rsidRPr="00FC54BA">
              <w:rPr>
                <w:sz w:val="20"/>
                <w:szCs w:val="20"/>
              </w:rPr>
              <w:t>135 537,9</w:t>
            </w:r>
          </w:p>
        </w:tc>
        <w:tc>
          <w:tcPr>
            <w:tcW w:w="1418" w:type="dxa"/>
          </w:tcPr>
          <w:p w:rsidR="000C6434" w:rsidRPr="006D1A78" w:rsidRDefault="000C6434" w:rsidP="00902B01">
            <w:pPr>
              <w:spacing w:after="0" w:line="240" w:lineRule="auto"/>
              <w:jc w:val="center"/>
              <w:rPr>
                <w:sz w:val="20"/>
                <w:szCs w:val="20"/>
              </w:rPr>
            </w:pPr>
            <w:r w:rsidRPr="006D1A78">
              <w:rPr>
                <w:sz w:val="20"/>
                <w:szCs w:val="20"/>
              </w:rPr>
              <w:t>150 549,7</w:t>
            </w:r>
          </w:p>
        </w:tc>
        <w:tc>
          <w:tcPr>
            <w:tcW w:w="1417" w:type="dxa"/>
          </w:tcPr>
          <w:p w:rsidR="000C6434" w:rsidRPr="006D1A78" w:rsidRDefault="000C6434" w:rsidP="00902B01">
            <w:pPr>
              <w:spacing w:after="0" w:line="240" w:lineRule="auto"/>
              <w:ind w:right="32"/>
              <w:jc w:val="center"/>
              <w:rPr>
                <w:sz w:val="20"/>
                <w:szCs w:val="20"/>
              </w:rPr>
            </w:pPr>
            <w:r w:rsidRPr="006D1A78">
              <w:rPr>
                <w:sz w:val="20"/>
                <w:szCs w:val="20"/>
              </w:rPr>
              <w:t>149 939,7</w:t>
            </w:r>
          </w:p>
        </w:tc>
        <w:tc>
          <w:tcPr>
            <w:tcW w:w="1286" w:type="dxa"/>
            <w:hideMark/>
          </w:tcPr>
          <w:p w:rsidR="000C6434" w:rsidRPr="006D1A78" w:rsidRDefault="000C6434" w:rsidP="00902B01">
            <w:pPr>
              <w:spacing w:after="0" w:line="240" w:lineRule="auto"/>
              <w:ind w:right="44"/>
              <w:jc w:val="center"/>
              <w:rPr>
                <w:sz w:val="20"/>
                <w:szCs w:val="20"/>
              </w:rPr>
            </w:pPr>
            <w:r w:rsidRPr="006D1A78">
              <w:rPr>
                <w:sz w:val="20"/>
                <w:szCs w:val="20"/>
              </w:rPr>
              <w:t>99,6%</w:t>
            </w:r>
          </w:p>
        </w:tc>
      </w:tr>
      <w:tr w:rsidR="000C6434" w:rsidRPr="002862EE" w:rsidTr="00902B01">
        <w:trPr>
          <w:trHeight w:val="300"/>
        </w:trPr>
        <w:tc>
          <w:tcPr>
            <w:tcW w:w="3970" w:type="dxa"/>
            <w:hideMark/>
          </w:tcPr>
          <w:p w:rsidR="000C6434" w:rsidRPr="00F729D2" w:rsidRDefault="000C6434" w:rsidP="00902B01">
            <w:pPr>
              <w:spacing w:after="0" w:line="240" w:lineRule="auto"/>
              <w:ind w:right="34"/>
              <w:jc w:val="left"/>
              <w:rPr>
                <w:sz w:val="20"/>
                <w:szCs w:val="20"/>
              </w:rPr>
            </w:pPr>
            <w:r w:rsidRPr="00F729D2">
              <w:rPr>
                <w:sz w:val="20"/>
                <w:szCs w:val="20"/>
              </w:rPr>
              <w:t>- бюджет города</w:t>
            </w:r>
          </w:p>
        </w:tc>
        <w:tc>
          <w:tcPr>
            <w:tcW w:w="1417" w:type="dxa"/>
            <w:hideMark/>
          </w:tcPr>
          <w:p w:rsidR="000C6434" w:rsidRPr="00FC54BA" w:rsidRDefault="000C6434" w:rsidP="00902B01">
            <w:pPr>
              <w:spacing w:after="0" w:line="240" w:lineRule="auto"/>
              <w:ind w:right="32"/>
              <w:jc w:val="center"/>
              <w:rPr>
                <w:sz w:val="20"/>
                <w:szCs w:val="20"/>
              </w:rPr>
            </w:pPr>
            <w:r w:rsidRPr="00FC54BA">
              <w:rPr>
                <w:sz w:val="20"/>
                <w:szCs w:val="20"/>
              </w:rPr>
              <w:t>135 537,9</w:t>
            </w:r>
          </w:p>
        </w:tc>
        <w:tc>
          <w:tcPr>
            <w:tcW w:w="1418" w:type="dxa"/>
          </w:tcPr>
          <w:p w:rsidR="000C6434" w:rsidRPr="006D1A78" w:rsidRDefault="000C6434" w:rsidP="00902B01">
            <w:pPr>
              <w:spacing w:after="0" w:line="240" w:lineRule="auto"/>
              <w:jc w:val="center"/>
              <w:rPr>
                <w:sz w:val="20"/>
                <w:szCs w:val="20"/>
              </w:rPr>
            </w:pPr>
            <w:r w:rsidRPr="006D1A78">
              <w:rPr>
                <w:sz w:val="20"/>
                <w:szCs w:val="20"/>
              </w:rPr>
              <w:t>150 549,7</w:t>
            </w:r>
          </w:p>
        </w:tc>
        <w:tc>
          <w:tcPr>
            <w:tcW w:w="1417" w:type="dxa"/>
          </w:tcPr>
          <w:p w:rsidR="000C6434" w:rsidRPr="006D1A78" w:rsidRDefault="000C6434" w:rsidP="00902B01">
            <w:pPr>
              <w:spacing w:after="0" w:line="240" w:lineRule="auto"/>
              <w:ind w:right="32"/>
              <w:jc w:val="center"/>
              <w:rPr>
                <w:sz w:val="20"/>
                <w:szCs w:val="20"/>
              </w:rPr>
            </w:pPr>
            <w:r w:rsidRPr="006D1A78">
              <w:rPr>
                <w:sz w:val="20"/>
                <w:szCs w:val="20"/>
              </w:rPr>
              <w:t>149 939,7</w:t>
            </w:r>
          </w:p>
        </w:tc>
        <w:tc>
          <w:tcPr>
            <w:tcW w:w="1286" w:type="dxa"/>
            <w:hideMark/>
          </w:tcPr>
          <w:p w:rsidR="000C6434" w:rsidRPr="006D1A78" w:rsidRDefault="000C6434" w:rsidP="00902B01">
            <w:pPr>
              <w:spacing w:after="0" w:line="240" w:lineRule="auto"/>
              <w:ind w:right="44"/>
              <w:jc w:val="center"/>
              <w:rPr>
                <w:sz w:val="20"/>
                <w:szCs w:val="20"/>
              </w:rPr>
            </w:pPr>
            <w:r w:rsidRPr="006D1A78">
              <w:rPr>
                <w:sz w:val="20"/>
                <w:szCs w:val="20"/>
              </w:rPr>
              <w:t>99,6%</w:t>
            </w:r>
          </w:p>
        </w:tc>
      </w:tr>
      <w:tr w:rsidR="000C6434" w:rsidRPr="002862EE" w:rsidTr="00902B01">
        <w:trPr>
          <w:trHeight w:val="300"/>
        </w:trPr>
        <w:tc>
          <w:tcPr>
            <w:tcW w:w="3970" w:type="dxa"/>
            <w:hideMark/>
          </w:tcPr>
          <w:p w:rsidR="000C6434" w:rsidRPr="002A3F73" w:rsidRDefault="000C6434" w:rsidP="00902B01">
            <w:pPr>
              <w:spacing w:after="0" w:line="240" w:lineRule="auto"/>
              <w:ind w:right="34"/>
              <w:jc w:val="left"/>
              <w:rPr>
                <w:sz w:val="20"/>
                <w:szCs w:val="20"/>
              </w:rPr>
            </w:pPr>
            <w:r w:rsidRPr="002A3F73">
              <w:rPr>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 всего, в том числе:</w:t>
            </w:r>
          </w:p>
        </w:tc>
        <w:tc>
          <w:tcPr>
            <w:tcW w:w="1417" w:type="dxa"/>
            <w:hideMark/>
          </w:tcPr>
          <w:p w:rsidR="000C6434" w:rsidRPr="00FC54BA" w:rsidRDefault="000C6434" w:rsidP="00902B01">
            <w:pPr>
              <w:spacing w:after="0" w:line="240" w:lineRule="auto"/>
              <w:ind w:right="32"/>
              <w:jc w:val="center"/>
              <w:rPr>
                <w:sz w:val="20"/>
                <w:szCs w:val="20"/>
              </w:rPr>
            </w:pPr>
            <w:r w:rsidRPr="00FC54BA">
              <w:rPr>
                <w:sz w:val="20"/>
                <w:szCs w:val="20"/>
              </w:rPr>
              <w:t>135 537,9</w:t>
            </w:r>
          </w:p>
        </w:tc>
        <w:tc>
          <w:tcPr>
            <w:tcW w:w="1418" w:type="dxa"/>
          </w:tcPr>
          <w:p w:rsidR="000C6434" w:rsidRPr="006D1A78" w:rsidRDefault="000C6434" w:rsidP="00902B01">
            <w:pPr>
              <w:spacing w:after="0" w:line="240" w:lineRule="auto"/>
              <w:jc w:val="center"/>
              <w:rPr>
                <w:sz w:val="20"/>
                <w:szCs w:val="20"/>
              </w:rPr>
            </w:pPr>
            <w:r w:rsidRPr="006D1A78">
              <w:rPr>
                <w:sz w:val="20"/>
                <w:szCs w:val="20"/>
              </w:rPr>
              <w:t>150 549,7</w:t>
            </w:r>
          </w:p>
        </w:tc>
        <w:tc>
          <w:tcPr>
            <w:tcW w:w="1417" w:type="dxa"/>
          </w:tcPr>
          <w:p w:rsidR="000C6434" w:rsidRPr="006D1A78" w:rsidRDefault="000C6434" w:rsidP="00902B01">
            <w:pPr>
              <w:spacing w:after="0" w:line="240" w:lineRule="auto"/>
              <w:ind w:right="32"/>
              <w:jc w:val="center"/>
              <w:rPr>
                <w:sz w:val="20"/>
                <w:szCs w:val="20"/>
              </w:rPr>
            </w:pPr>
            <w:r w:rsidRPr="006D1A78">
              <w:rPr>
                <w:sz w:val="20"/>
                <w:szCs w:val="20"/>
              </w:rPr>
              <w:t>149 939,7</w:t>
            </w:r>
          </w:p>
        </w:tc>
        <w:tc>
          <w:tcPr>
            <w:tcW w:w="1286" w:type="dxa"/>
            <w:hideMark/>
          </w:tcPr>
          <w:p w:rsidR="000C6434" w:rsidRPr="006D1A78" w:rsidRDefault="000C6434" w:rsidP="00902B01">
            <w:pPr>
              <w:spacing w:after="0" w:line="240" w:lineRule="auto"/>
              <w:ind w:right="44"/>
              <w:jc w:val="center"/>
              <w:rPr>
                <w:sz w:val="20"/>
                <w:szCs w:val="20"/>
              </w:rPr>
            </w:pPr>
            <w:r w:rsidRPr="006D1A78">
              <w:rPr>
                <w:sz w:val="20"/>
                <w:szCs w:val="20"/>
              </w:rPr>
              <w:t>99,6%</w:t>
            </w:r>
          </w:p>
        </w:tc>
      </w:tr>
      <w:tr w:rsidR="000C6434" w:rsidRPr="002862EE" w:rsidTr="00902B01">
        <w:trPr>
          <w:trHeight w:val="300"/>
        </w:trPr>
        <w:tc>
          <w:tcPr>
            <w:tcW w:w="3970" w:type="dxa"/>
            <w:hideMark/>
          </w:tcPr>
          <w:p w:rsidR="000C6434" w:rsidRPr="002A3F73" w:rsidRDefault="000C6434" w:rsidP="00902B01">
            <w:pPr>
              <w:spacing w:after="0" w:line="240" w:lineRule="auto"/>
              <w:ind w:right="34"/>
              <w:jc w:val="left"/>
              <w:rPr>
                <w:sz w:val="20"/>
                <w:szCs w:val="20"/>
              </w:rPr>
            </w:pPr>
            <w:r w:rsidRPr="002A3F73">
              <w:rPr>
                <w:sz w:val="20"/>
                <w:szCs w:val="20"/>
              </w:rPr>
              <w:t>- бюджет города</w:t>
            </w:r>
          </w:p>
        </w:tc>
        <w:tc>
          <w:tcPr>
            <w:tcW w:w="1417" w:type="dxa"/>
            <w:hideMark/>
          </w:tcPr>
          <w:p w:rsidR="000C6434" w:rsidRPr="00FC54BA" w:rsidRDefault="000C6434" w:rsidP="00902B01">
            <w:pPr>
              <w:spacing w:after="0" w:line="240" w:lineRule="auto"/>
              <w:ind w:right="32"/>
              <w:jc w:val="center"/>
              <w:rPr>
                <w:sz w:val="20"/>
                <w:szCs w:val="20"/>
              </w:rPr>
            </w:pPr>
            <w:r w:rsidRPr="00FC54BA">
              <w:rPr>
                <w:sz w:val="20"/>
                <w:szCs w:val="20"/>
              </w:rPr>
              <w:t>135 537,9</w:t>
            </w:r>
          </w:p>
        </w:tc>
        <w:tc>
          <w:tcPr>
            <w:tcW w:w="1418" w:type="dxa"/>
          </w:tcPr>
          <w:p w:rsidR="000C6434" w:rsidRPr="006D1A78" w:rsidRDefault="000C6434" w:rsidP="00902B01">
            <w:pPr>
              <w:spacing w:after="0" w:line="240" w:lineRule="auto"/>
              <w:jc w:val="center"/>
              <w:rPr>
                <w:sz w:val="20"/>
                <w:szCs w:val="20"/>
              </w:rPr>
            </w:pPr>
            <w:r w:rsidRPr="006D1A78">
              <w:rPr>
                <w:sz w:val="20"/>
                <w:szCs w:val="20"/>
              </w:rPr>
              <w:t>150 549,7</w:t>
            </w:r>
          </w:p>
        </w:tc>
        <w:tc>
          <w:tcPr>
            <w:tcW w:w="1417" w:type="dxa"/>
          </w:tcPr>
          <w:p w:rsidR="000C6434" w:rsidRPr="006D1A78" w:rsidRDefault="000C6434" w:rsidP="00902B01">
            <w:pPr>
              <w:spacing w:after="0" w:line="240" w:lineRule="auto"/>
              <w:ind w:right="32"/>
              <w:jc w:val="center"/>
              <w:rPr>
                <w:sz w:val="20"/>
                <w:szCs w:val="20"/>
              </w:rPr>
            </w:pPr>
            <w:r w:rsidRPr="006D1A78">
              <w:rPr>
                <w:sz w:val="20"/>
                <w:szCs w:val="20"/>
              </w:rPr>
              <w:t>149 939,7</w:t>
            </w:r>
          </w:p>
        </w:tc>
        <w:tc>
          <w:tcPr>
            <w:tcW w:w="1286" w:type="dxa"/>
            <w:hideMark/>
          </w:tcPr>
          <w:p w:rsidR="000C6434" w:rsidRPr="006D1A78" w:rsidRDefault="000C6434" w:rsidP="00902B01">
            <w:pPr>
              <w:spacing w:after="0" w:line="240" w:lineRule="auto"/>
              <w:ind w:right="44"/>
              <w:jc w:val="center"/>
              <w:rPr>
                <w:sz w:val="20"/>
                <w:szCs w:val="20"/>
              </w:rPr>
            </w:pPr>
            <w:r w:rsidRPr="006D1A78">
              <w:rPr>
                <w:sz w:val="20"/>
                <w:szCs w:val="20"/>
              </w:rPr>
              <w:t>99,6%</w:t>
            </w:r>
          </w:p>
        </w:tc>
      </w:tr>
    </w:tbl>
    <w:p w:rsidR="000C6434" w:rsidRDefault="000C6434" w:rsidP="000C6434">
      <w:pPr>
        <w:pStyle w:val="af"/>
        <w:spacing w:after="0"/>
        <w:ind w:left="0" w:firstLine="708"/>
        <w:jc w:val="both"/>
        <w:rPr>
          <w:sz w:val="28"/>
          <w:szCs w:val="28"/>
        </w:rPr>
      </w:pPr>
    </w:p>
    <w:p w:rsidR="000C6434" w:rsidRDefault="000C6434" w:rsidP="000C6434">
      <w:pPr>
        <w:pStyle w:val="af"/>
        <w:spacing w:after="0"/>
        <w:ind w:left="0" w:firstLine="708"/>
        <w:jc w:val="both"/>
        <w:rPr>
          <w:sz w:val="28"/>
          <w:szCs w:val="28"/>
        </w:rPr>
      </w:pPr>
      <w:r>
        <w:rPr>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0C6434" w:rsidRPr="00CD75E4" w:rsidRDefault="000C6434" w:rsidP="000C6434">
      <w:pPr>
        <w:pStyle w:val="af"/>
        <w:spacing w:after="0"/>
        <w:ind w:left="0" w:firstLine="708"/>
        <w:jc w:val="both"/>
        <w:rPr>
          <w:sz w:val="28"/>
          <w:szCs w:val="28"/>
        </w:rPr>
      </w:pPr>
      <w:r w:rsidRPr="00CD75E4">
        <w:rPr>
          <w:sz w:val="28"/>
          <w:szCs w:val="28"/>
        </w:rPr>
        <w:t xml:space="preserve">Подпрограмма </w:t>
      </w:r>
      <w:r w:rsidRPr="00CD75E4">
        <w:rPr>
          <w:sz w:val="28"/>
          <w:szCs w:val="28"/>
          <w:lang w:val="en-US"/>
        </w:rPr>
        <w:t>I</w:t>
      </w:r>
      <w:r w:rsidRPr="00CD75E4">
        <w:rPr>
          <w:sz w:val="28"/>
          <w:szCs w:val="28"/>
        </w:rPr>
        <w:t xml:space="preserve"> «Защита населения и территории от чрезвычайных ситуаций, обеспечение пожарной безопасности города Ханты-Мансийска».</w:t>
      </w:r>
    </w:p>
    <w:p w:rsidR="000C6434" w:rsidRDefault="000C6434" w:rsidP="000C6434">
      <w:pPr>
        <w:pStyle w:val="25"/>
        <w:spacing w:line="276" w:lineRule="auto"/>
        <w:ind w:firstLine="708"/>
        <w:jc w:val="both"/>
        <w:rPr>
          <w:szCs w:val="28"/>
        </w:rPr>
      </w:pPr>
      <w:r w:rsidRPr="00CD75E4">
        <w:rPr>
          <w:szCs w:val="28"/>
        </w:rPr>
        <w:t>1.Основное мероприятие «Совершенствование системы предупреждения и защиты населения от чрезвычайных ситуаций природ</w:t>
      </w:r>
      <w:r>
        <w:rPr>
          <w:szCs w:val="28"/>
        </w:rPr>
        <w:t>ного и техногенного характера», в том числе:</w:t>
      </w:r>
    </w:p>
    <w:p w:rsidR="000C6434" w:rsidRPr="006610E5" w:rsidRDefault="000C6434" w:rsidP="000C6434">
      <w:pPr>
        <w:spacing w:after="0"/>
        <w:ind w:firstLine="709"/>
        <w:jc w:val="both"/>
        <w:rPr>
          <w:sz w:val="28"/>
          <w:szCs w:val="28"/>
        </w:rPr>
      </w:pPr>
      <w:r w:rsidRPr="004A37AB">
        <w:rPr>
          <w:sz w:val="28"/>
          <w:szCs w:val="28"/>
        </w:rPr>
        <w:t>-проведение и организацию муниципального этапа XX</w:t>
      </w:r>
      <w:r w:rsidRPr="004A37AB">
        <w:rPr>
          <w:sz w:val="28"/>
          <w:szCs w:val="28"/>
          <w:lang w:val="en-US"/>
        </w:rPr>
        <w:t>VI</w:t>
      </w:r>
      <w:r w:rsidRPr="004A37AB">
        <w:rPr>
          <w:sz w:val="28"/>
          <w:szCs w:val="28"/>
        </w:rPr>
        <w:t xml:space="preserve"> регионального соревнования «Школа безопаснос</w:t>
      </w:r>
      <w:r>
        <w:rPr>
          <w:sz w:val="28"/>
          <w:szCs w:val="28"/>
        </w:rPr>
        <w:t xml:space="preserve">ти», </w:t>
      </w:r>
      <w:r w:rsidRPr="00407849">
        <w:rPr>
          <w:sz w:val="28"/>
          <w:szCs w:val="28"/>
        </w:rPr>
        <w:t xml:space="preserve">разработку и распространение памяток по безопасности жизнедеятельности </w:t>
      </w:r>
      <w:r>
        <w:rPr>
          <w:sz w:val="28"/>
          <w:szCs w:val="28"/>
        </w:rPr>
        <w:t>в сумме 684,7</w:t>
      </w:r>
      <w:r w:rsidRPr="004A37AB">
        <w:rPr>
          <w:sz w:val="28"/>
          <w:szCs w:val="28"/>
        </w:rPr>
        <w:t xml:space="preserve"> тыс. рублей</w:t>
      </w:r>
      <w:r>
        <w:rPr>
          <w:sz w:val="28"/>
          <w:szCs w:val="28"/>
        </w:rPr>
        <w:t>;</w:t>
      </w:r>
    </w:p>
    <w:p w:rsidR="000C6434" w:rsidRPr="008F5897" w:rsidRDefault="000C6434" w:rsidP="000C6434">
      <w:pPr>
        <w:spacing w:after="0"/>
        <w:ind w:firstLine="708"/>
        <w:jc w:val="both"/>
        <w:rPr>
          <w:sz w:val="28"/>
          <w:szCs w:val="28"/>
        </w:rPr>
      </w:pPr>
      <w:r w:rsidRPr="008F5897">
        <w:rPr>
          <w:sz w:val="28"/>
          <w:szCs w:val="28"/>
        </w:rPr>
        <w:t xml:space="preserve">-выполнение работ по замене пожарных гидрантов в городе </w:t>
      </w:r>
      <w:r>
        <w:rPr>
          <w:sz w:val="28"/>
          <w:szCs w:val="28"/>
        </w:rPr>
        <w:t>Ханты-Мансийске в сумме</w:t>
      </w:r>
      <w:r w:rsidRPr="008F5897">
        <w:rPr>
          <w:sz w:val="28"/>
          <w:szCs w:val="28"/>
        </w:rPr>
        <w:t xml:space="preserve"> 958,4 тыс. рублей;</w:t>
      </w:r>
    </w:p>
    <w:p w:rsidR="000C6434" w:rsidRPr="008F5897" w:rsidRDefault="000C6434" w:rsidP="000C6434">
      <w:pPr>
        <w:spacing w:after="0"/>
        <w:ind w:firstLine="709"/>
        <w:jc w:val="both"/>
        <w:rPr>
          <w:sz w:val="28"/>
          <w:szCs w:val="28"/>
        </w:rPr>
      </w:pPr>
      <w:r w:rsidRPr="008F5897">
        <w:rPr>
          <w:sz w:val="28"/>
          <w:szCs w:val="28"/>
        </w:rPr>
        <w:lastRenderedPageBreak/>
        <w:t xml:space="preserve">-обустройство противопожарных минерализованных полос </w:t>
      </w:r>
      <w:r>
        <w:rPr>
          <w:sz w:val="28"/>
          <w:szCs w:val="28"/>
        </w:rPr>
        <w:t>в сумме</w:t>
      </w:r>
      <w:r w:rsidRPr="008F5897">
        <w:rPr>
          <w:sz w:val="28"/>
          <w:szCs w:val="28"/>
        </w:rPr>
        <w:t xml:space="preserve"> 550,0 тыс. рублей;</w:t>
      </w:r>
    </w:p>
    <w:p w:rsidR="000C6434" w:rsidRDefault="000C6434" w:rsidP="000C6434">
      <w:pPr>
        <w:spacing w:after="0"/>
        <w:ind w:firstLine="709"/>
        <w:jc w:val="both"/>
        <w:rPr>
          <w:sz w:val="28"/>
          <w:szCs w:val="28"/>
        </w:rPr>
      </w:pPr>
      <w:r w:rsidRPr="009703D0">
        <w:rPr>
          <w:sz w:val="28"/>
          <w:szCs w:val="28"/>
        </w:rPr>
        <w:t>-приобретение аварийно-спасательной техни</w:t>
      </w:r>
      <w:r>
        <w:rPr>
          <w:sz w:val="28"/>
          <w:szCs w:val="28"/>
        </w:rPr>
        <w:t>ки, оборудования, снаряжения и форменного обмундирования в сумме 4 999,9</w:t>
      </w:r>
      <w:r w:rsidRPr="009703D0">
        <w:rPr>
          <w:sz w:val="28"/>
          <w:szCs w:val="28"/>
        </w:rPr>
        <w:t xml:space="preserve"> тыс. рублей</w:t>
      </w:r>
      <w:r>
        <w:rPr>
          <w:sz w:val="28"/>
          <w:szCs w:val="28"/>
        </w:rPr>
        <w:t>;</w:t>
      </w:r>
    </w:p>
    <w:p w:rsidR="000C6434" w:rsidRPr="00E6126B" w:rsidRDefault="000C6434" w:rsidP="000C6434">
      <w:pPr>
        <w:spacing w:after="0"/>
        <w:ind w:firstLine="708"/>
        <w:jc w:val="both"/>
        <w:rPr>
          <w:sz w:val="28"/>
          <w:szCs w:val="28"/>
        </w:rPr>
      </w:pPr>
      <w:r w:rsidRPr="00E6126B">
        <w:rPr>
          <w:sz w:val="28"/>
          <w:szCs w:val="28"/>
        </w:rPr>
        <w:t xml:space="preserve">-откачку талых, грунтовых и дождевых вод на придомовых территориях жилого фонда, а </w:t>
      </w:r>
      <w:r>
        <w:rPr>
          <w:sz w:val="28"/>
          <w:szCs w:val="28"/>
        </w:rPr>
        <w:t>также в жилых домах в сумме</w:t>
      </w:r>
      <w:r w:rsidRPr="00E6126B">
        <w:rPr>
          <w:sz w:val="28"/>
          <w:szCs w:val="28"/>
        </w:rPr>
        <w:t xml:space="preserve"> 501,9 тыс. рублей;</w:t>
      </w:r>
    </w:p>
    <w:p w:rsidR="000C6434" w:rsidRDefault="000C6434" w:rsidP="000C6434">
      <w:pPr>
        <w:spacing w:after="0"/>
        <w:ind w:firstLine="709"/>
        <w:jc w:val="both"/>
        <w:rPr>
          <w:rFonts w:eastAsia="Calibri"/>
          <w:color w:val="000000"/>
          <w:sz w:val="28"/>
          <w:szCs w:val="28"/>
        </w:rPr>
      </w:pPr>
      <w:r w:rsidRPr="000D482C">
        <w:rPr>
          <w:sz w:val="28"/>
          <w:szCs w:val="28"/>
        </w:rPr>
        <w:t>-</w:t>
      </w:r>
      <w:r w:rsidRPr="000D482C">
        <w:rPr>
          <w:rFonts w:eastAsia="Calibri"/>
          <w:color w:val="000000"/>
          <w:sz w:val="28"/>
          <w:szCs w:val="28"/>
        </w:rPr>
        <w:t>у</w:t>
      </w:r>
      <w:r w:rsidRPr="008B43B6">
        <w:rPr>
          <w:rFonts w:eastAsia="Calibri"/>
          <w:color w:val="000000"/>
          <w:sz w:val="28"/>
          <w:szCs w:val="28"/>
        </w:rPr>
        <w:t>комплектование пунктов временного размещения и защитных сооружений гражданской обороны (укрытий)</w:t>
      </w:r>
      <w:r>
        <w:rPr>
          <w:rFonts w:eastAsia="Calibri"/>
          <w:color w:val="000000"/>
          <w:sz w:val="28"/>
          <w:szCs w:val="28"/>
        </w:rPr>
        <w:t xml:space="preserve"> </w:t>
      </w:r>
      <w:r w:rsidRPr="008B43B6">
        <w:rPr>
          <w:rFonts w:eastAsia="Times New Roman"/>
          <w:sz w:val="28"/>
          <w:szCs w:val="28"/>
        </w:rPr>
        <w:t>в образовательных организациях</w:t>
      </w:r>
      <w:r>
        <w:rPr>
          <w:rFonts w:eastAsia="Times New Roman"/>
          <w:sz w:val="28"/>
          <w:szCs w:val="28"/>
        </w:rPr>
        <w:t xml:space="preserve"> в городе Ханты-Мансийске</w:t>
      </w:r>
      <w:r w:rsidRPr="008B43B6">
        <w:rPr>
          <w:rFonts w:eastAsia="Times New Roman"/>
          <w:sz w:val="28"/>
          <w:szCs w:val="28"/>
        </w:rPr>
        <w:t xml:space="preserve"> </w:t>
      </w:r>
      <w:r>
        <w:rPr>
          <w:rFonts w:eastAsia="Calibri"/>
          <w:color w:val="000000"/>
          <w:sz w:val="28"/>
          <w:szCs w:val="28"/>
        </w:rPr>
        <w:t xml:space="preserve">в сумме 1 759,0 тыс. рублей. </w:t>
      </w:r>
    </w:p>
    <w:p w:rsidR="000C6434" w:rsidRDefault="000C6434" w:rsidP="000C6434">
      <w:pPr>
        <w:spacing w:after="0"/>
        <w:ind w:firstLine="709"/>
        <w:jc w:val="both"/>
        <w:rPr>
          <w:rFonts w:eastAsia="Calibri"/>
          <w:color w:val="000000"/>
          <w:sz w:val="28"/>
          <w:szCs w:val="28"/>
        </w:rPr>
      </w:pPr>
      <w:r w:rsidRPr="00140060">
        <w:rPr>
          <w:sz w:val="28"/>
          <w:szCs w:val="28"/>
        </w:rPr>
        <w:t>Исполнение по данному мероприятию составило 9 453,9 тыс. рублей при плане 11 072,1 тыс. рублей, что составляет 85,4</w:t>
      </w:r>
      <w:r>
        <w:rPr>
          <w:sz w:val="28"/>
          <w:szCs w:val="28"/>
        </w:rPr>
        <w:t xml:space="preserve">% </w:t>
      </w:r>
      <w:r w:rsidRPr="00AF68F4">
        <w:rPr>
          <w:rFonts w:eastAsia="Times New Roman"/>
          <w:sz w:val="28"/>
          <w:szCs w:val="28"/>
        </w:rPr>
        <w:t>в связи с</w:t>
      </w:r>
      <w:r>
        <w:rPr>
          <w:rFonts w:eastAsia="Times New Roman"/>
          <w:sz w:val="28"/>
          <w:szCs w:val="28"/>
        </w:rPr>
        <w:t xml:space="preserve"> увеличением сроков поставки аварийно-спасательного инструмента (гидравлического комплекта) и </w:t>
      </w:r>
      <w:r w:rsidRPr="00AF68F4">
        <w:rPr>
          <w:rFonts w:eastAsia="Times New Roman"/>
          <w:sz w:val="28"/>
          <w:szCs w:val="28"/>
        </w:rPr>
        <w:t>переносом</w:t>
      </w:r>
      <w:r>
        <w:rPr>
          <w:rFonts w:eastAsia="Times New Roman"/>
          <w:sz w:val="28"/>
          <w:szCs w:val="28"/>
        </w:rPr>
        <w:t xml:space="preserve"> сроков выполнения работ на 2025</w:t>
      </w:r>
      <w:r w:rsidRPr="00AF68F4">
        <w:rPr>
          <w:rFonts w:eastAsia="Times New Roman"/>
          <w:sz w:val="28"/>
          <w:szCs w:val="28"/>
        </w:rPr>
        <w:t xml:space="preserve"> год.</w:t>
      </w:r>
    </w:p>
    <w:p w:rsidR="000C6434" w:rsidRDefault="000C6434" w:rsidP="000C6434">
      <w:pPr>
        <w:pStyle w:val="25"/>
        <w:spacing w:line="276" w:lineRule="auto"/>
        <w:ind w:firstLine="708"/>
        <w:jc w:val="both"/>
        <w:rPr>
          <w:szCs w:val="28"/>
        </w:rPr>
      </w:pPr>
      <w:r w:rsidRPr="003A0B7A">
        <w:rPr>
          <w:szCs w:val="28"/>
        </w:rPr>
        <w:t>2. Основное мероприятие «Совершенствование системы мониторинга и прогнози</w:t>
      </w:r>
      <w:r>
        <w:rPr>
          <w:szCs w:val="28"/>
        </w:rPr>
        <w:t>рования чрезвычайных ситуаций», в том числе:</w:t>
      </w:r>
    </w:p>
    <w:p w:rsidR="000C6434" w:rsidRDefault="000C6434" w:rsidP="000C6434">
      <w:pPr>
        <w:pStyle w:val="25"/>
        <w:spacing w:line="276" w:lineRule="auto"/>
        <w:ind w:firstLine="708"/>
        <w:jc w:val="both"/>
        <w:rPr>
          <w:szCs w:val="28"/>
        </w:rPr>
      </w:pPr>
      <w:r w:rsidRPr="00B16839">
        <w:rPr>
          <w:szCs w:val="28"/>
        </w:rPr>
        <w:t xml:space="preserve">-техническое обслуживание и поддержку работоспособности программного обеспечения единой дежурно-диспетчерской службы и «Системы </w:t>
      </w:r>
      <w:r>
        <w:rPr>
          <w:szCs w:val="28"/>
        </w:rPr>
        <w:t>112» в сумме</w:t>
      </w:r>
      <w:r w:rsidRPr="00B16839">
        <w:rPr>
          <w:szCs w:val="28"/>
        </w:rPr>
        <w:t xml:space="preserve"> </w:t>
      </w:r>
      <w:r>
        <w:rPr>
          <w:szCs w:val="28"/>
        </w:rPr>
        <w:t>3 488,5</w:t>
      </w:r>
      <w:r w:rsidRPr="00B16839">
        <w:rPr>
          <w:szCs w:val="28"/>
        </w:rPr>
        <w:t xml:space="preserve"> тыс. рублей</w:t>
      </w:r>
      <w:r>
        <w:rPr>
          <w:szCs w:val="28"/>
        </w:rPr>
        <w:t>;</w:t>
      </w:r>
    </w:p>
    <w:p w:rsidR="000C6434" w:rsidRDefault="000C6434" w:rsidP="000C6434">
      <w:pPr>
        <w:pStyle w:val="25"/>
        <w:spacing w:line="276" w:lineRule="auto"/>
        <w:ind w:firstLine="708"/>
        <w:jc w:val="both"/>
        <w:rPr>
          <w:szCs w:val="28"/>
        </w:rPr>
      </w:pPr>
      <w:r>
        <w:rPr>
          <w:szCs w:val="28"/>
        </w:rPr>
        <w:t xml:space="preserve">-содержание и </w:t>
      </w:r>
      <w:r w:rsidRPr="00E62C31">
        <w:rPr>
          <w:szCs w:val="28"/>
        </w:rPr>
        <w:t>обслуживание систе</w:t>
      </w:r>
      <w:r>
        <w:rPr>
          <w:szCs w:val="28"/>
        </w:rPr>
        <w:t>мы оповещения населения города в сумме 5 595,7 тыс. рублей;</w:t>
      </w:r>
    </w:p>
    <w:p w:rsidR="000C6434" w:rsidRPr="00D52625" w:rsidRDefault="000C6434" w:rsidP="000C6434">
      <w:pPr>
        <w:spacing w:after="0"/>
        <w:ind w:firstLine="709"/>
        <w:jc w:val="both"/>
        <w:rPr>
          <w:sz w:val="28"/>
          <w:szCs w:val="28"/>
        </w:rPr>
      </w:pPr>
      <w:r w:rsidRPr="00F66AAD">
        <w:rPr>
          <w:sz w:val="28"/>
          <w:szCs w:val="28"/>
        </w:rPr>
        <w:t>-</w:t>
      </w:r>
      <w:r>
        <w:rPr>
          <w:sz w:val="28"/>
          <w:szCs w:val="28"/>
        </w:rPr>
        <w:t xml:space="preserve">сопровождение </w:t>
      </w:r>
      <w:r w:rsidRPr="00F66AAD">
        <w:rPr>
          <w:sz w:val="28"/>
          <w:szCs w:val="28"/>
        </w:rPr>
        <w:t>специализированного программного обеспечения (СПО «Исток-СМ»)</w:t>
      </w:r>
      <w:r>
        <w:rPr>
          <w:sz w:val="28"/>
          <w:szCs w:val="28"/>
        </w:rPr>
        <w:t>,</w:t>
      </w:r>
      <w:r w:rsidRPr="00F66AAD">
        <w:rPr>
          <w:sz w:val="28"/>
          <w:szCs w:val="28"/>
        </w:rPr>
        <w:t xml:space="preserve"> </w:t>
      </w:r>
      <w:r w:rsidRPr="00D52625">
        <w:rPr>
          <w:sz w:val="28"/>
          <w:szCs w:val="28"/>
        </w:rPr>
        <w:t xml:space="preserve">содержание каналов связи и телекоммуникационных систем </w:t>
      </w:r>
      <w:r>
        <w:rPr>
          <w:sz w:val="28"/>
          <w:szCs w:val="28"/>
        </w:rPr>
        <w:t>в сумме 4 728,0</w:t>
      </w:r>
      <w:r w:rsidRPr="00D52625">
        <w:rPr>
          <w:sz w:val="28"/>
          <w:szCs w:val="28"/>
        </w:rPr>
        <w:t xml:space="preserve"> тыс. рублей;</w:t>
      </w:r>
    </w:p>
    <w:p w:rsidR="000C6434" w:rsidRDefault="000C6434" w:rsidP="000C6434">
      <w:pPr>
        <w:spacing w:after="0"/>
        <w:ind w:firstLine="709"/>
        <w:jc w:val="both"/>
        <w:rPr>
          <w:sz w:val="28"/>
          <w:szCs w:val="28"/>
        </w:rPr>
      </w:pPr>
      <w:r>
        <w:rPr>
          <w:sz w:val="28"/>
          <w:szCs w:val="28"/>
        </w:rPr>
        <w:t>-реализация мероприятий по модернизации существующих систем оповещения и установку новых устройств в городе Ханты-Мансийске в сумме 4 990,8 тыс. рублей.</w:t>
      </w:r>
    </w:p>
    <w:p w:rsidR="000C6434" w:rsidRDefault="000C6434" w:rsidP="000C6434">
      <w:pPr>
        <w:spacing w:after="0"/>
        <w:ind w:firstLine="709"/>
        <w:jc w:val="both"/>
        <w:rPr>
          <w:rFonts w:eastAsia="Times New Roman"/>
          <w:color w:val="000000"/>
          <w:sz w:val="28"/>
          <w:szCs w:val="28"/>
        </w:rPr>
      </w:pPr>
      <w:r w:rsidRPr="005A488E">
        <w:rPr>
          <w:sz w:val="28"/>
          <w:szCs w:val="28"/>
        </w:rPr>
        <w:t xml:space="preserve">Подпрограмма </w:t>
      </w:r>
      <w:r w:rsidRPr="005A488E">
        <w:rPr>
          <w:sz w:val="28"/>
          <w:szCs w:val="28"/>
          <w:lang w:val="en-US"/>
        </w:rPr>
        <w:t>II</w:t>
      </w:r>
      <w:r w:rsidRPr="005A488E">
        <w:rPr>
          <w:sz w:val="28"/>
          <w:szCs w:val="28"/>
        </w:rPr>
        <w:t xml:space="preserve"> </w:t>
      </w:r>
      <w:r w:rsidRPr="005A488E">
        <w:rPr>
          <w:rFonts w:eastAsia="Times New Roman"/>
          <w:color w:val="000000"/>
          <w:sz w:val="28"/>
          <w:szCs w:val="28"/>
        </w:rPr>
        <w:t>«</w:t>
      </w:r>
      <w:r w:rsidRPr="005A488E">
        <w:rPr>
          <w:sz w:val="28"/>
          <w:szCs w:val="28"/>
        </w:rPr>
        <w:t>Материально-техническое и финансовое обеспечение деятельности МКУ «Управление гражданской защиты населения</w:t>
      </w:r>
      <w:r>
        <w:rPr>
          <w:rFonts w:eastAsia="Times New Roman"/>
          <w:color w:val="000000"/>
          <w:sz w:val="28"/>
          <w:szCs w:val="28"/>
        </w:rPr>
        <w:t>», в том числе:</w:t>
      </w:r>
    </w:p>
    <w:p w:rsidR="000C6434" w:rsidRDefault="000C6434" w:rsidP="000C6434">
      <w:pPr>
        <w:spacing w:after="0"/>
        <w:ind w:firstLine="709"/>
        <w:jc w:val="both"/>
        <w:rPr>
          <w:sz w:val="28"/>
          <w:szCs w:val="28"/>
        </w:rPr>
      </w:pPr>
      <w:r>
        <w:rPr>
          <w:rFonts w:eastAsia="Times New Roman"/>
          <w:color w:val="000000"/>
          <w:sz w:val="28"/>
          <w:szCs w:val="28"/>
        </w:rPr>
        <w:t xml:space="preserve">-расходы на </w:t>
      </w:r>
      <w:r>
        <w:rPr>
          <w:sz w:val="28"/>
          <w:szCs w:val="28"/>
        </w:rPr>
        <w:t>о</w:t>
      </w:r>
      <w:r w:rsidRPr="0094482D">
        <w:rPr>
          <w:sz w:val="28"/>
          <w:szCs w:val="28"/>
        </w:rPr>
        <w:t>беспечение</w:t>
      </w:r>
      <w:r>
        <w:rPr>
          <w:sz w:val="28"/>
          <w:szCs w:val="28"/>
        </w:rPr>
        <w:t xml:space="preserve"> деятельности </w:t>
      </w:r>
      <w:r w:rsidRPr="0094482D">
        <w:rPr>
          <w:sz w:val="28"/>
          <w:szCs w:val="28"/>
        </w:rPr>
        <w:t>для выполнения функци</w:t>
      </w:r>
      <w:r>
        <w:rPr>
          <w:sz w:val="28"/>
          <w:szCs w:val="28"/>
        </w:rPr>
        <w:t>й и полномочий, возложенных на муниципальное казенное учреждение</w:t>
      </w:r>
      <w:r w:rsidRPr="0094482D">
        <w:rPr>
          <w:sz w:val="28"/>
          <w:szCs w:val="28"/>
        </w:rPr>
        <w:t xml:space="preserve"> «Управление</w:t>
      </w:r>
      <w:r>
        <w:rPr>
          <w:sz w:val="28"/>
          <w:szCs w:val="28"/>
        </w:rPr>
        <w:t xml:space="preserve"> гражданской защиты населения» в сумме 149 939,7 тыс. рублей.</w:t>
      </w:r>
    </w:p>
    <w:p w:rsidR="00AD6688" w:rsidRPr="0094482D" w:rsidRDefault="00AD6688" w:rsidP="000C6434">
      <w:pPr>
        <w:spacing w:after="0"/>
        <w:ind w:firstLine="709"/>
        <w:jc w:val="both"/>
        <w:rPr>
          <w:rFonts w:eastAsia="Calibri"/>
          <w:sz w:val="28"/>
          <w:szCs w:val="28"/>
          <w:lang w:eastAsia="en-US"/>
        </w:rPr>
      </w:pPr>
      <w:bookmarkStart w:id="6" w:name="_GoBack"/>
      <w:bookmarkEnd w:id="6"/>
    </w:p>
    <w:sectPr w:rsidR="00AD6688" w:rsidRPr="0094482D"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B9F" w:rsidRDefault="00843B9F" w:rsidP="00FF5332">
      <w:pPr>
        <w:spacing w:after="0" w:line="240" w:lineRule="auto"/>
      </w:pPr>
      <w:r>
        <w:separator/>
      </w:r>
    </w:p>
  </w:endnote>
  <w:endnote w:type="continuationSeparator" w:id="0">
    <w:p w:rsidR="00843B9F" w:rsidRDefault="00843B9F"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B9F" w:rsidRDefault="00843B9F" w:rsidP="00FF5332">
      <w:pPr>
        <w:spacing w:after="0" w:line="240" w:lineRule="auto"/>
      </w:pPr>
      <w:r>
        <w:separator/>
      </w:r>
    </w:p>
  </w:footnote>
  <w:footnote w:type="continuationSeparator" w:id="0">
    <w:p w:rsidR="00843B9F" w:rsidRDefault="00843B9F"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3B9F"/>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CB1"/>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9C7D51-6D04-4F29-8426-C6694D89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2025-04-03T06:32:00Z</dcterms:created>
  <dcterms:modified xsi:type="dcterms:W3CDTF">2025-04-03T06:32:00Z</dcterms:modified>
</cp:coreProperties>
</file>