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5B19" w14:textId="77777777" w:rsidR="00FF2666" w:rsidRDefault="00FF2666" w:rsidP="00A35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17D77B" w14:textId="06AC604E" w:rsidR="00460414" w:rsidRPr="00460414" w:rsidRDefault="003E09A8" w:rsidP="00460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460414" w:rsidRPr="00460414">
        <w:rPr>
          <w:rFonts w:ascii="Times New Roman" w:eastAsia="Times New Roman" w:hAnsi="Times New Roman" w:cs="Times New Roman"/>
          <w:b/>
          <w:bCs/>
          <w:sz w:val="20"/>
          <w:szCs w:val="20"/>
        </w:rPr>
        <w:t>РОЕКТ</w:t>
      </w:r>
    </w:p>
    <w:p w14:paraId="23B26D44" w14:textId="77777777" w:rsidR="00460414" w:rsidRPr="00460414" w:rsidRDefault="00460414" w:rsidP="00460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168C9E" w14:textId="77777777" w:rsidR="005D45B4" w:rsidRDefault="005D45B4" w:rsidP="0012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F1D44BD" w14:textId="77777777" w:rsidR="00460414" w:rsidRPr="00460414" w:rsidRDefault="00460414" w:rsidP="0012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0E30178" w14:textId="77777777" w:rsidR="00460414" w:rsidRPr="00460414" w:rsidRDefault="00460414" w:rsidP="0012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2FBC2758" w14:textId="77777777" w:rsidR="00460414" w:rsidRPr="00460414" w:rsidRDefault="00460414" w:rsidP="0012144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474A234" w14:textId="77777777" w:rsidR="00121442" w:rsidRDefault="00460414" w:rsidP="0012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603E3122" w14:textId="597F5AC3" w:rsidR="00460414" w:rsidRPr="00460414" w:rsidRDefault="00460414" w:rsidP="0012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4CEFE135" w14:textId="77777777" w:rsidR="00460414" w:rsidRPr="00460414" w:rsidRDefault="00460414" w:rsidP="00460414">
      <w:pPr>
        <w:shd w:val="clear" w:color="auto" w:fill="FFFFFF"/>
        <w:spacing w:before="223"/>
        <w:ind w:left="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</w:pPr>
    </w:p>
    <w:p w14:paraId="299F91C3" w14:textId="4A932BA1" w:rsidR="00460414" w:rsidRPr="00460414" w:rsidRDefault="00460414" w:rsidP="00460414">
      <w:pPr>
        <w:shd w:val="clear" w:color="auto" w:fill="FFFFFF"/>
        <w:spacing w:before="223"/>
        <w:ind w:left="7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                                        </w:t>
      </w:r>
      <w:r w:rsidR="00E70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</w:t>
      </w:r>
      <w:r w:rsidR="003E09A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от «____»_______2020</w:t>
      </w: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</w:p>
    <w:p w14:paraId="69A7A1B5" w14:textId="77777777" w:rsidR="00460414" w:rsidRPr="00460414" w:rsidRDefault="00460414" w:rsidP="0046041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EF37B9D" w14:textId="77777777" w:rsidR="00460414" w:rsidRPr="00460414" w:rsidRDefault="00460414" w:rsidP="0046041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3DDA0E3A" w14:textId="77777777" w:rsidR="00460414" w:rsidRPr="00460414" w:rsidRDefault="00460414" w:rsidP="0046041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4C8D951F" w14:textId="77777777" w:rsidR="003E09A8" w:rsidRDefault="00460414" w:rsidP="003E09A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9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CA">
        <w:rPr>
          <w:rFonts w:ascii="Times New Roman" w:eastAsia="Calibri" w:hAnsi="Times New Roman" w:cs="Times New Roman"/>
          <w:sz w:val="28"/>
          <w:szCs w:val="28"/>
        </w:rPr>
        <w:t xml:space="preserve">11.06.2015 </w:t>
      </w:r>
      <w:r w:rsidR="00D97FFD">
        <w:rPr>
          <w:rFonts w:ascii="Times New Roman" w:eastAsia="Calibri" w:hAnsi="Times New Roman" w:cs="Times New Roman"/>
          <w:sz w:val="28"/>
          <w:szCs w:val="28"/>
        </w:rPr>
        <w:t xml:space="preserve">№ 709 </w:t>
      </w:r>
      <w:r w:rsidR="003E09A8" w:rsidRPr="003E09A8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</w:p>
    <w:p w14:paraId="56FAD0E9" w14:textId="77777777" w:rsidR="003E09A8" w:rsidRDefault="003E09A8" w:rsidP="003E09A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09A8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14:paraId="381D7595" w14:textId="77777777" w:rsidR="003E09A8" w:rsidRDefault="003E09A8" w:rsidP="003E09A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09A8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по присвоению объекту </w:t>
      </w:r>
    </w:p>
    <w:p w14:paraId="494030BB" w14:textId="77777777" w:rsidR="003E09A8" w:rsidRDefault="003E09A8" w:rsidP="003E09A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09A8">
        <w:rPr>
          <w:rFonts w:ascii="Times New Roman" w:eastAsia="Calibri" w:hAnsi="Times New Roman" w:cs="Times New Roman"/>
          <w:sz w:val="28"/>
          <w:szCs w:val="28"/>
        </w:rPr>
        <w:t>адресации адреса, аннулированию его адреса на</w:t>
      </w:r>
    </w:p>
    <w:p w14:paraId="41B0E811" w14:textId="77777777" w:rsidR="003E09A8" w:rsidRDefault="003E09A8" w:rsidP="003E09A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09A8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</w:t>
      </w:r>
    </w:p>
    <w:p w14:paraId="7F6227D9" w14:textId="77777777" w:rsidR="003E09A8" w:rsidRDefault="003E09A8" w:rsidP="003E09A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09A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14:paraId="34E7A697" w14:textId="739F9FB2" w:rsidR="00460414" w:rsidRPr="00460414" w:rsidRDefault="003E09A8" w:rsidP="003E09A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09A8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город Ханты-Мансийск»</w:t>
      </w:r>
    </w:p>
    <w:p w14:paraId="35EEC254" w14:textId="77777777" w:rsidR="00460414" w:rsidRDefault="00460414" w:rsidP="00460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A1D155" w14:textId="58FE8EDA" w:rsidR="00460414" w:rsidRPr="00460414" w:rsidRDefault="00D323DA" w:rsidP="00460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приведения муниципальных правовых актов города Ханты-Мансийска в соответствие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действующим законодательством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BA3113">
        <w:rPr>
          <w:rFonts w:ascii="Times New Roman" w:eastAsia="Calibri" w:hAnsi="Times New Roman" w:cs="Times New Roman"/>
          <w:sz w:val="28"/>
          <w:szCs w:val="28"/>
          <w:lang w:eastAsia="en-US"/>
        </w:rPr>
        <w:t>атьей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71 Устава города Ханты-Ма</w:t>
      </w:r>
      <w:r w:rsidR="00BA3113">
        <w:rPr>
          <w:rFonts w:ascii="Times New Roman" w:eastAsia="Calibri" w:hAnsi="Times New Roman" w:cs="Times New Roman"/>
          <w:sz w:val="28"/>
          <w:szCs w:val="28"/>
          <w:lang w:eastAsia="en-US"/>
        </w:rPr>
        <w:t>нсийска:</w:t>
      </w:r>
    </w:p>
    <w:p w14:paraId="3554178B" w14:textId="77E8B24F" w:rsidR="008A3AB3" w:rsidRPr="00C31389" w:rsidRDefault="00460414" w:rsidP="00C31389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города Хант</w:t>
      </w:r>
      <w:r w:rsidR="00E706CA"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>ы-Мансийска от 11.06</w:t>
      </w:r>
      <w:r w:rsidR="00D97FFD"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>.2015</w:t>
      </w:r>
      <w:r w:rsidR="00BA3113">
        <w:rPr>
          <w:rFonts w:ascii="Times New Roman" w:eastAsia="Calibri" w:hAnsi="Times New Roman" w:cs="Times New Roman"/>
          <w:sz w:val="28"/>
          <w:szCs w:val="28"/>
        </w:rPr>
        <w:t xml:space="preserve"> № 709 </w:t>
      </w:r>
      <w:r w:rsidR="00121442"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Ханты-Мансийского автономного округа – Югры городской округ город Хант</w:t>
      </w:r>
      <w:r w:rsidR="00BA3113">
        <w:rPr>
          <w:rFonts w:ascii="Times New Roman" w:eastAsia="Calibri" w:hAnsi="Times New Roman" w:cs="Times New Roman"/>
          <w:sz w:val="28"/>
          <w:szCs w:val="28"/>
          <w:lang w:eastAsia="en-US"/>
        </w:rPr>
        <w:t>ы-Мансийск» (дале</w:t>
      </w:r>
      <w:r w:rsidR="00FF2666">
        <w:rPr>
          <w:rFonts w:ascii="Times New Roman" w:eastAsia="Calibri" w:hAnsi="Times New Roman" w:cs="Times New Roman"/>
          <w:sz w:val="28"/>
          <w:szCs w:val="28"/>
          <w:lang w:eastAsia="en-US"/>
        </w:rPr>
        <w:t>е -</w:t>
      </w:r>
      <w:r w:rsidR="00D32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BA3113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</w:t>
      </w:r>
      <w:r w:rsidR="00121442"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D323DA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согласно приложению к настоящему постановлению.</w:t>
      </w:r>
    </w:p>
    <w:p w14:paraId="18679399" w14:textId="19FD29F5" w:rsidR="00121442" w:rsidRPr="00121442" w:rsidRDefault="00121442" w:rsidP="0012144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силу после </w:t>
      </w:r>
      <w:r w:rsidR="00C31389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</w:t>
      </w:r>
      <w:r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опубликования.</w:t>
      </w:r>
    </w:p>
    <w:p w14:paraId="6541278B" w14:textId="77777777" w:rsidR="00460414" w:rsidRDefault="00460414" w:rsidP="0046041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DB34A8" w14:textId="77777777" w:rsidR="009B15F4" w:rsidRPr="00460414" w:rsidRDefault="009B15F4" w:rsidP="0046041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91E863" w14:textId="77777777" w:rsidR="00121442" w:rsidRDefault="00121442" w:rsidP="0046041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</w:p>
    <w:p w14:paraId="07B80453" w14:textId="7015EEBC" w:rsidR="00460414" w:rsidRPr="00460414" w:rsidRDefault="00121442" w:rsidP="0046041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                                                               </w:t>
      </w:r>
      <w:r w:rsid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398AAB1C" w14:textId="77777777" w:rsidR="00D97FFD" w:rsidRDefault="00D97FFD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17D32B8A" w14:textId="77777777" w:rsidR="00E706CA" w:rsidRDefault="00E706CA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1B3A02DC" w14:textId="77777777" w:rsidR="00E706CA" w:rsidRDefault="00E706CA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7858431E" w14:textId="77777777" w:rsidR="00B77F3E" w:rsidRDefault="00B77F3E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D13BC06" w14:textId="77777777" w:rsidR="00B77F3E" w:rsidRDefault="00B77F3E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549E29F6" w14:textId="77777777" w:rsidR="00334679" w:rsidRPr="00334679" w:rsidRDefault="00334679" w:rsidP="003346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67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14:paraId="52BCAA71" w14:textId="77777777" w:rsidR="00334679" w:rsidRPr="00334679" w:rsidRDefault="00334679" w:rsidP="003346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67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Ханты-Мансийска</w:t>
      </w:r>
    </w:p>
    <w:p w14:paraId="2AE3965B" w14:textId="55A0E61C" w:rsidR="00334679" w:rsidRPr="00334679" w:rsidRDefault="00334679" w:rsidP="00334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6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34679">
        <w:rPr>
          <w:rFonts w:ascii="Times New Roman" w:eastAsia="Times New Roman" w:hAnsi="Times New Roman" w:cs="Times New Roman"/>
          <w:sz w:val="28"/>
          <w:szCs w:val="28"/>
        </w:rPr>
        <w:t xml:space="preserve"> ________2020 №_____</w:t>
      </w:r>
    </w:p>
    <w:p w14:paraId="780BEAB6" w14:textId="77777777" w:rsidR="00334679" w:rsidRPr="00334679" w:rsidRDefault="00334679" w:rsidP="00334679">
      <w:pPr>
        <w:tabs>
          <w:tab w:val="left" w:pos="332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383728" w14:textId="77777777" w:rsidR="00334679" w:rsidRPr="00334679" w:rsidRDefault="00334679" w:rsidP="00334679">
      <w:pPr>
        <w:tabs>
          <w:tab w:val="left" w:pos="332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679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14:paraId="79634648" w14:textId="68D35426" w:rsidR="00334679" w:rsidRDefault="00FF2666" w:rsidP="00334679">
      <w:pPr>
        <w:widowControl w:val="0"/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en-US"/>
        </w:rPr>
        <w:t>в</w:t>
      </w:r>
      <w:r w:rsidR="00334679"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en-US"/>
        </w:rPr>
        <w:t xml:space="preserve"> постановление Администрации города Ханты-Мансийска </w:t>
      </w:r>
      <w:r w:rsidR="00334679" w:rsidRPr="00334679"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en-US"/>
        </w:rPr>
        <w:t xml:space="preserve"> </w:t>
      </w:r>
      <w:r w:rsidR="00334679" w:rsidRPr="003E09A8"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en-US"/>
        </w:rPr>
        <w:t xml:space="preserve">«О внесении изменений в постановление Администрации города Ханты-Мансийска </w:t>
      </w:r>
      <w:r w:rsidR="00334679" w:rsidRPr="003E09A8">
        <w:rPr>
          <w:rFonts w:ascii="Times New Roman" w:eastAsia="Calibri" w:hAnsi="Times New Roman" w:cs="Times New Roman"/>
          <w:sz w:val="27"/>
          <w:szCs w:val="27"/>
        </w:rPr>
        <w:t>от  11.06.2015 № 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Ханты-Мансийского автономного округа – Югры городской округ город Ханты-Мансийск».</w:t>
      </w:r>
    </w:p>
    <w:p w14:paraId="46662090" w14:textId="77777777" w:rsidR="00FF2666" w:rsidRPr="003E09A8" w:rsidRDefault="00FF2666" w:rsidP="00334679">
      <w:pPr>
        <w:widowControl w:val="0"/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D40D3E4" w14:textId="1F335A48" w:rsidR="00334679" w:rsidRPr="00FF2666" w:rsidRDefault="00334679" w:rsidP="00FF2666">
      <w:pPr>
        <w:pStyle w:val="a5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2666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приложение к постановлению следующие изменения:</w:t>
      </w:r>
    </w:p>
    <w:p w14:paraId="56FC115F" w14:textId="77777777" w:rsidR="00FF2666" w:rsidRPr="00FF2666" w:rsidRDefault="00FF2666" w:rsidP="00FF266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1CA9FB" w14:textId="77777777" w:rsidR="00D323DA" w:rsidRDefault="00D323DA" w:rsidP="00D323D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П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одпунк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3 пункта 20 приложения к Постановлению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EB1F139" w14:textId="77777777" w:rsidR="00D323DA" w:rsidRDefault="00D323DA" w:rsidP="00D323D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3) правоустанавливающие и (или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правоудостоверяющие документы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на объект (объекты) адресации, права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который не зарегистрированы в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Едином государс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твенном реестре недвижимости;». </w:t>
      </w:r>
    </w:p>
    <w:p w14:paraId="0B801F68" w14:textId="77777777" w:rsidR="00D323DA" w:rsidRPr="008A3AB3" w:rsidRDefault="00D323DA" w:rsidP="00D323D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1.2.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21 </w:t>
      </w:r>
      <w:r w:rsidRPr="00121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к Постановлению изложить в следующей редакции: </w:t>
      </w:r>
    </w:p>
    <w:p w14:paraId="4D418A75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«21. Исчерпывающий перечень документов, необходимых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и, запрашиваемых и получаемых в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межведомственного информационного взаимодействия:</w:t>
      </w:r>
    </w:p>
    <w:p w14:paraId="666994C0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1) правоустанавливающие и (или) правоудостоверяющие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объект (объекты)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адресации (в случае присвоения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адреса зданию (строению) или сооруж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ению, в том числе строительство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 не завершено, в соответств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с Градостроительным кодексом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строительства которых получение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разрешения на строительство не 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ебуется, правоустанавливающие и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(или) правоудостоверяющие док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ументы на земельный участок, на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котором расположены указанное здание (строение), сооружение);</w:t>
      </w:r>
    </w:p>
    <w:p w14:paraId="7B7C7951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2) выписки из Единого государственного реестра недвижимости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объектах недвижимости, следствием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преобразования которых является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 одного и более объекта адр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есации (в случае преобразования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недвижимости с образование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одного и более новых объектов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адресации);</w:t>
      </w:r>
    </w:p>
    <w:p w14:paraId="71470405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3) выписка из Единого государственного реестра недвижимости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об объекте недвижимости, являющем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объектов адресации (в случае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присвоения адреса объекту адресаци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и, поставленному на кадастровый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учет);</w:t>
      </w:r>
    </w:p>
    <w:p w14:paraId="4C722DB9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4) выписка из Единого государственного реестра недвижимости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объекте недвижимости,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который снят с государственного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кадастрового учета,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являющем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объектом адресации (в случае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аннулирования адреса объекта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дресации вследствие прекращения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существования объекта адресации);</w:t>
      </w:r>
    </w:p>
    <w:p w14:paraId="5351006D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5) разрешение на строительство объекта адресации (при присвоении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адреса строящимся объектам адресации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(за исключением случаев, если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кодексом Российской Федерации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для строительства или реконструкци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здания (строения), сооружения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разрешения на строител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ьство не требуется) и (или) при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 разрешения на ввод объекта адресации в эксплуатацию;</w:t>
      </w:r>
    </w:p>
    <w:p w14:paraId="658A36DA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6) решение уполномоченного органа о переводе жилого помещения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нежилое помещение или нежилого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 в жилое помещение (в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случае присвоения помещению адреса,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зменения и аннулирования такого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адреса вследствие его перевод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из жилого помещения в нежилое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или нежилого помещения в жилое помещение);</w:t>
      </w:r>
    </w:p>
    <w:p w14:paraId="0267408F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7) акт приемочной комиссии при переустройстве и (или)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перепланировке помещения, приводящих к образованию одного и более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новых объектов адресации (в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преобразования объектов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недвижимости (помещений) с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разованием одного и более новых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адресации);</w:t>
      </w:r>
    </w:p>
    <w:p w14:paraId="4E246EFD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8) схема расположения объекта адресации на кадастровом плане 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кадастровой карте соответствующей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(в случае присвоения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земельному участку адреса);</w:t>
      </w:r>
    </w:p>
    <w:p w14:paraId="66C2ACDD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9) документ, подтверждающий государственную регистрацию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юридического лица или индивидуально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предпринимателя - выписку из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государственного реестра юр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идических лиц (для юридического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лица) или Единого государс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твенного реестра индивидуальных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предпринимателей (для индивидуального предпринимателя);</w:t>
      </w:r>
    </w:p>
    <w:p w14:paraId="556E79AB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10) уведомление об отсутствии в Едином государственном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реестре недвижимости запрашиваемых сведений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объекту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недвижимости, являющему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объектом адресации (в случае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аннулирования адреса объекта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дресации вследствие прекращения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существования объекта адресации).</w:t>
      </w:r>
    </w:p>
    <w:p w14:paraId="0A3E77BB" w14:textId="77777777" w:rsidR="00D323DA" w:rsidRPr="008A3AB3" w:rsidRDefault="00D323DA" w:rsidP="00D323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указанные в настоя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щем пункте (их копии, сведения,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содержащиеся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них), Департамент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запрашивает в государственных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органах, органах местного 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моуправления и подведомственных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государственным органам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органам местного самоуправления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организациях, в распоряжении которых находятся указанные документы.</w:t>
      </w:r>
    </w:p>
    <w:p w14:paraId="1983F5E9" w14:textId="77777777" w:rsidR="00D323DA" w:rsidRDefault="00D323DA" w:rsidP="00D323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указанные в настоящем пункте, могут быть представлены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заявит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елем по собственной инициативе.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указанные в подпунк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тах 2,3,4,10 настоящего пункта,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запрашив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ает в порядке межведомственного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информационного взаи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модействия в федеральном органе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исполнительной власти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уполномоченном Правительством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 на предоста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вление сведений, содержащихся в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государственном реестре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едвижимости, или действующем на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основании решения указанн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органа подведомственным ему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государ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ственным бюджетным учреждением. </w:t>
      </w:r>
    </w:p>
    <w:p w14:paraId="7729C748" w14:textId="767DAF3A" w:rsidR="00B77F3E" w:rsidRDefault="00D323DA" w:rsidP="0033467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Cs w:val="20"/>
        </w:rPr>
      </w:pP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(представители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заявителя) при подаче заявления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приложить к нему 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кументы, указанные в подпунктах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1,5,6,7,8 настоящего пункта, если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такие документы не находятся в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распоряжении органа государственной власти,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 местного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самоуправления либо подведомс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твенных государственным органам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или органам местн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самоуправления организаций.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заявителем докум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ентов, которые заявитель вправе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по собственной инициативе, не является основанием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3AB3">
        <w:rPr>
          <w:rFonts w:ascii="Times New Roman" w:eastAsia="Calibri" w:hAnsi="Times New Roman" w:cs="Times New Roman"/>
          <w:sz w:val="28"/>
          <w:szCs w:val="28"/>
          <w:lang w:eastAsia="en-US"/>
        </w:rPr>
        <w:t>отказа заявителю в предоставлении муниципальной услуги.».</w:t>
      </w:r>
    </w:p>
    <w:p w14:paraId="18CEFD4F" w14:textId="77777777" w:rsidR="00B77F3E" w:rsidRDefault="00B77F3E" w:rsidP="0033467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14:paraId="57D885C2" w14:textId="77777777" w:rsidR="00B77F3E" w:rsidRDefault="00B77F3E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89036F3" w14:textId="77777777" w:rsidR="00B77F3E" w:rsidRDefault="00B77F3E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0E5214F3" w14:textId="77777777" w:rsidR="00B77F3E" w:rsidRDefault="00B77F3E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1C3CE814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7A00E25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024B9B34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98DD3BD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4100B5D5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534C7163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36A6C7F8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3752493D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AD08253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5C2489D6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00C8AEF0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DEBD8A6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4BE31945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24D3D8D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483F2556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39882949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37A4B594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44D6C35C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7E117D08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7FF68939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FFB5083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574C6E5B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A327ED0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E37BEA9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B9A5613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1AE4FA56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5D646A37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704BA9ED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1C2E328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4C914B53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7D03882A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0B8BAB5F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083A1596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375AC634" w14:textId="77777777" w:rsidR="00334679" w:rsidRDefault="00334679" w:rsidP="00D97F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5A3F1C8B" w14:textId="77777777" w:rsidR="00334679" w:rsidRDefault="00334679" w:rsidP="00FF2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61C9603" w14:textId="77777777" w:rsidR="00FF2666" w:rsidRDefault="00FF2666" w:rsidP="00FF2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DFA7275" w14:textId="77777777" w:rsidR="00B77F3E" w:rsidRDefault="00B77F3E" w:rsidP="00A358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sectPr w:rsidR="00B77F3E" w:rsidSect="006C25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B86FD" w15:done="0"/>
  <w15:commentEx w15:paraId="79BC49E2" w15:done="0"/>
  <w15:commentEx w15:paraId="289940CC" w15:done="0"/>
  <w15:commentEx w15:paraId="7DA61360" w15:done="0"/>
  <w15:commentEx w15:paraId="2706A79C" w15:done="0"/>
  <w15:commentEx w15:paraId="0CFDEF19" w15:done="0"/>
  <w15:commentEx w15:paraId="3D700EFF" w15:done="0"/>
  <w15:commentEx w15:paraId="56321353" w15:done="0"/>
  <w15:commentEx w15:paraId="24D56625" w15:done="0"/>
  <w15:commentEx w15:paraId="42D5AC91" w15:done="0"/>
  <w15:commentEx w15:paraId="4FCF6EB1" w15:done="0"/>
  <w15:commentEx w15:paraId="0A772A1D" w15:done="0"/>
  <w15:commentEx w15:paraId="07CD1339" w15:done="0"/>
  <w15:commentEx w15:paraId="1A654F32" w15:done="0"/>
  <w15:commentEx w15:paraId="2FB652A3" w15:done="0"/>
  <w15:commentEx w15:paraId="3DF87060" w15:done="0"/>
  <w15:commentEx w15:paraId="428FF0CA" w15:done="0"/>
  <w15:commentEx w15:paraId="6A14F0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3B4"/>
    <w:multiLevelType w:val="hybridMultilevel"/>
    <w:tmpl w:val="18E2181A"/>
    <w:lvl w:ilvl="0" w:tplc="7C5C3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1B001E"/>
    <w:multiLevelType w:val="hybridMultilevel"/>
    <w:tmpl w:val="7EF26D58"/>
    <w:lvl w:ilvl="0" w:tplc="215E6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424DE"/>
    <w:rsid w:val="00084E72"/>
    <w:rsid w:val="000B08C1"/>
    <w:rsid w:val="000B7616"/>
    <w:rsid w:val="00121442"/>
    <w:rsid w:val="00182F34"/>
    <w:rsid w:val="00187390"/>
    <w:rsid w:val="001A656C"/>
    <w:rsid w:val="001E4C0C"/>
    <w:rsid w:val="002456AF"/>
    <w:rsid w:val="00261914"/>
    <w:rsid w:val="0028388F"/>
    <w:rsid w:val="00294431"/>
    <w:rsid w:val="00296DD3"/>
    <w:rsid w:val="002A0D89"/>
    <w:rsid w:val="002D7EFA"/>
    <w:rsid w:val="00322DFE"/>
    <w:rsid w:val="00334679"/>
    <w:rsid w:val="00362050"/>
    <w:rsid w:val="003B7958"/>
    <w:rsid w:val="003C2245"/>
    <w:rsid w:val="003E09A8"/>
    <w:rsid w:val="003E1464"/>
    <w:rsid w:val="003F6710"/>
    <w:rsid w:val="00421C38"/>
    <w:rsid w:val="00460414"/>
    <w:rsid w:val="004675E2"/>
    <w:rsid w:val="004B4F84"/>
    <w:rsid w:val="004B78CF"/>
    <w:rsid w:val="00502D3D"/>
    <w:rsid w:val="00512B8E"/>
    <w:rsid w:val="005348C2"/>
    <w:rsid w:val="00573C67"/>
    <w:rsid w:val="005D45B4"/>
    <w:rsid w:val="005F0B8E"/>
    <w:rsid w:val="0064640F"/>
    <w:rsid w:val="006850D7"/>
    <w:rsid w:val="006B0D9F"/>
    <w:rsid w:val="006B4AE9"/>
    <w:rsid w:val="006B699F"/>
    <w:rsid w:val="006C25A9"/>
    <w:rsid w:val="006C3ABA"/>
    <w:rsid w:val="006E463E"/>
    <w:rsid w:val="006F587F"/>
    <w:rsid w:val="007144BA"/>
    <w:rsid w:val="007206F6"/>
    <w:rsid w:val="007254BF"/>
    <w:rsid w:val="00726CD8"/>
    <w:rsid w:val="00743A72"/>
    <w:rsid w:val="00760BAF"/>
    <w:rsid w:val="00794BAD"/>
    <w:rsid w:val="007B3B84"/>
    <w:rsid w:val="007D26EA"/>
    <w:rsid w:val="008569FD"/>
    <w:rsid w:val="008641EE"/>
    <w:rsid w:val="00886974"/>
    <w:rsid w:val="00887272"/>
    <w:rsid w:val="00892262"/>
    <w:rsid w:val="008A3AB3"/>
    <w:rsid w:val="008C1874"/>
    <w:rsid w:val="008C3B02"/>
    <w:rsid w:val="008C5799"/>
    <w:rsid w:val="008C5886"/>
    <w:rsid w:val="009409DF"/>
    <w:rsid w:val="009530AB"/>
    <w:rsid w:val="00966888"/>
    <w:rsid w:val="009B15F4"/>
    <w:rsid w:val="009F3F1E"/>
    <w:rsid w:val="00A13479"/>
    <w:rsid w:val="00A35827"/>
    <w:rsid w:val="00A52411"/>
    <w:rsid w:val="00A565A1"/>
    <w:rsid w:val="00A60E03"/>
    <w:rsid w:val="00A91DE8"/>
    <w:rsid w:val="00AA2CF3"/>
    <w:rsid w:val="00AB74B8"/>
    <w:rsid w:val="00AD678E"/>
    <w:rsid w:val="00B74D8E"/>
    <w:rsid w:val="00B77F3E"/>
    <w:rsid w:val="00B87355"/>
    <w:rsid w:val="00BA3113"/>
    <w:rsid w:val="00BA6191"/>
    <w:rsid w:val="00BB19DB"/>
    <w:rsid w:val="00BE01EA"/>
    <w:rsid w:val="00C31389"/>
    <w:rsid w:val="00C5175D"/>
    <w:rsid w:val="00C52693"/>
    <w:rsid w:val="00CF60AD"/>
    <w:rsid w:val="00D316D8"/>
    <w:rsid w:val="00D323DA"/>
    <w:rsid w:val="00D452A4"/>
    <w:rsid w:val="00D511F3"/>
    <w:rsid w:val="00D97FFD"/>
    <w:rsid w:val="00DB1325"/>
    <w:rsid w:val="00DD176C"/>
    <w:rsid w:val="00DE29C4"/>
    <w:rsid w:val="00E12FEB"/>
    <w:rsid w:val="00E14959"/>
    <w:rsid w:val="00E33447"/>
    <w:rsid w:val="00E706CA"/>
    <w:rsid w:val="00EC3B86"/>
    <w:rsid w:val="00ED7091"/>
    <w:rsid w:val="00EE3916"/>
    <w:rsid w:val="00EF13B1"/>
    <w:rsid w:val="00F0388E"/>
    <w:rsid w:val="00F12731"/>
    <w:rsid w:val="00F12F1D"/>
    <w:rsid w:val="00F2645C"/>
    <w:rsid w:val="00F440D7"/>
    <w:rsid w:val="00F51AA6"/>
    <w:rsid w:val="00F5510F"/>
    <w:rsid w:val="00F9264B"/>
    <w:rsid w:val="00FA153C"/>
    <w:rsid w:val="00FB4D63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C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2959-E9F2-4C95-B118-26CC03A3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2020-10-14T11:20:00Z</cp:lastPrinted>
  <dcterms:created xsi:type="dcterms:W3CDTF">2020-10-14T13:14:00Z</dcterms:created>
  <dcterms:modified xsi:type="dcterms:W3CDTF">2020-10-14T13:15:00Z</dcterms:modified>
</cp:coreProperties>
</file>