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38" w:rsidRDefault="00502B69" w:rsidP="00502B69">
      <w:pPr>
        <w:pStyle w:val="1"/>
      </w:pPr>
      <w:bookmarkStart w:id="0" w:name="_Toc131164278"/>
      <w:bookmarkStart w:id="1" w:name="_Toc3795533"/>
      <w:bookmarkStart w:id="2" w:name="_Toc40779058"/>
      <w:bookmarkStart w:id="3" w:name="_Toc130222746"/>
      <w:r w:rsidRPr="001C79DD">
        <w:t>Муниципальная программа «Защита населения и территории от чрезвычайных ситуаций, обеспечение пожарной безопасности города</w:t>
      </w:r>
      <w:bookmarkEnd w:id="0"/>
      <w:r w:rsidRPr="001C79DD">
        <w:t xml:space="preserve"> </w:t>
      </w:r>
    </w:p>
    <w:p w:rsidR="00502B69" w:rsidRPr="001C79DD" w:rsidRDefault="00502B69" w:rsidP="00502B69">
      <w:pPr>
        <w:pStyle w:val="1"/>
      </w:pPr>
      <w:bookmarkStart w:id="4" w:name="_Toc131164279"/>
      <w:r w:rsidRPr="001C79DD">
        <w:t>Ханты-Мансийска»</w:t>
      </w:r>
      <w:bookmarkEnd w:id="1"/>
      <w:bookmarkEnd w:id="2"/>
      <w:bookmarkEnd w:id="3"/>
      <w:bookmarkEnd w:id="4"/>
    </w:p>
    <w:p w:rsidR="00502B69" w:rsidRPr="000D6C53" w:rsidRDefault="00502B69" w:rsidP="00502B69"/>
    <w:p w:rsidR="00502B69" w:rsidRPr="000D6C53" w:rsidRDefault="00502B69" w:rsidP="00502B69">
      <w:pPr>
        <w:spacing w:after="0"/>
        <w:ind w:firstLine="709"/>
        <w:jc w:val="both"/>
        <w:rPr>
          <w:sz w:val="28"/>
          <w:szCs w:val="28"/>
        </w:rPr>
      </w:pPr>
      <w:r w:rsidRPr="000D6C53">
        <w:rPr>
          <w:sz w:val="28"/>
          <w:szCs w:val="28"/>
        </w:rPr>
        <w:t xml:space="preserve">Муниципальная программа утверждена постановлением Администрации города Ханты-Мансийска от 17.10.2014 № 1026 «О муниципальной программе «Защита населения и территории от чрезвычайных ситуаций, обеспечение пожарной безопасности города Ханты-Мансийска». </w:t>
      </w:r>
    </w:p>
    <w:p w:rsidR="00502B69" w:rsidRPr="000D6C53" w:rsidRDefault="00502B69" w:rsidP="00502B69">
      <w:pPr>
        <w:spacing w:after="0"/>
        <w:ind w:firstLine="709"/>
        <w:jc w:val="both"/>
        <w:rPr>
          <w:sz w:val="28"/>
          <w:szCs w:val="28"/>
        </w:rPr>
      </w:pPr>
      <w:r w:rsidRPr="000D6C53">
        <w:rPr>
          <w:rFonts w:eastAsia="Calibri"/>
          <w:sz w:val="28"/>
          <w:szCs w:val="28"/>
        </w:rPr>
        <w:t>Разработчиком и</w:t>
      </w:r>
      <w:r w:rsidRPr="000D6C53">
        <w:rPr>
          <w:sz w:val="28"/>
          <w:szCs w:val="28"/>
        </w:rPr>
        <w:t xml:space="preserve"> координатором муниципальной программы является </w:t>
      </w:r>
      <w:r w:rsidRPr="000D6C53">
        <w:rPr>
          <w:bCs/>
          <w:sz w:val="28"/>
          <w:szCs w:val="28"/>
        </w:rPr>
        <w:t>муниципальное казенное учреждение «</w:t>
      </w:r>
      <w:r w:rsidRPr="000D6C53">
        <w:rPr>
          <w:sz w:val="28"/>
          <w:szCs w:val="28"/>
        </w:rPr>
        <w:t>Управление гражданской защиты населения».</w:t>
      </w:r>
      <w:r>
        <w:rPr>
          <w:sz w:val="28"/>
          <w:szCs w:val="28"/>
        </w:rPr>
        <w:t xml:space="preserve">                 </w:t>
      </w:r>
    </w:p>
    <w:p w:rsidR="00502B69" w:rsidRPr="000D6C53" w:rsidRDefault="00502B69" w:rsidP="00502B69">
      <w:pPr>
        <w:spacing w:after="0"/>
        <w:ind w:firstLine="709"/>
        <w:jc w:val="both"/>
        <w:rPr>
          <w:rFonts w:eastAsia="Times New Roman"/>
          <w:sz w:val="28"/>
          <w:szCs w:val="28"/>
        </w:rPr>
      </w:pPr>
      <w:r w:rsidRPr="000D6C53">
        <w:rPr>
          <w:sz w:val="28"/>
          <w:szCs w:val="28"/>
        </w:rPr>
        <w:t>Цель</w:t>
      </w:r>
      <w:r w:rsidRPr="000D6C53">
        <w:rPr>
          <w:rFonts w:eastAsia="Times New Roman"/>
          <w:sz w:val="28"/>
          <w:szCs w:val="28"/>
        </w:rPr>
        <w:t>ю муниципальной программы являются:</w:t>
      </w:r>
    </w:p>
    <w:p w:rsidR="00502B69" w:rsidRPr="000D6C53" w:rsidRDefault="00502B69" w:rsidP="00502B69">
      <w:pPr>
        <w:widowControl w:val="0"/>
        <w:autoSpaceDE w:val="0"/>
        <w:autoSpaceDN w:val="0"/>
        <w:spacing w:after="0"/>
        <w:ind w:firstLine="709"/>
        <w:jc w:val="both"/>
        <w:rPr>
          <w:rFonts w:eastAsia="Times New Roman"/>
          <w:sz w:val="28"/>
          <w:szCs w:val="28"/>
        </w:rPr>
      </w:pPr>
      <w:r w:rsidRPr="000D6C53">
        <w:rPr>
          <w:rFonts w:eastAsia="Times New Roman"/>
          <w:sz w:val="28"/>
          <w:szCs w:val="28"/>
        </w:rPr>
        <w:t>1.Обеспечение и поддержание высокой готовности сил и средств гражданской обороны, защита населения и территории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w:t>
      </w:r>
    </w:p>
    <w:p w:rsidR="00502B69" w:rsidRPr="000D6C53" w:rsidRDefault="00502B69" w:rsidP="00502B69">
      <w:pPr>
        <w:spacing w:after="0"/>
        <w:ind w:firstLine="709"/>
        <w:jc w:val="both"/>
        <w:rPr>
          <w:sz w:val="28"/>
          <w:szCs w:val="28"/>
        </w:rPr>
      </w:pPr>
      <w:r w:rsidRPr="000D6C53">
        <w:rPr>
          <w:rFonts w:eastAsia="Times New Roman"/>
          <w:sz w:val="28"/>
          <w:szCs w:val="28"/>
        </w:rPr>
        <w:t xml:space="preserve">2.Создание условий для осуществления эффективной деятельности </w:t>
      </w:r>
      <w:r w:rsidRPr="000D6C53">
        <w:rPr>
          <w:bCs/>
          <w:sz w:val="28"/>
          <w:szCs w:val="28"/>
        </w:rPr>
        <w:t>муниципального казенного учреждения «</w:t>
      </w:r>
      <w:r w:rsidRPr="000D6C53">
        <w:rPr>
          <w:sz w:val="28"/>
          <w:szCs w:val="28"/>
        </w:rPr>
        <w:t>Управление гражданской защиты населения».</w:t>
      </w:r>
    </w:p>
    <w:p w:rsidR="00502B69" w:rsidRPr="00F44094" w:rsidRDefault="00502B69" w:rsidP="00502B69">
      <w:pPr>
        <w:spacing w:after="0"/>
        <w:ind w:firstLine="709"/>
        <w:jc w:val="both"/>
        <w:rPr>
          <w:sz w:val="28"/>
          <w:szCs w:val="28"/>
        </w:rPr>
      </w:pPr>
      <w:r w:rsidRPr="00F44094">
        <w:rPr>
          <w:sz w:val="28"/>
          <w:szCs w:val="28"/>
        </w:rPr>
        <w:t>Задачи муниципальной программы:</w:t>
      </w:r>
    </w:p>
    <w:p w:rsidR="00502B69" w:rsidRPr="00F44094" w:rsidRDefault="00502B69" w:rsidP="00502B69">
      <w:pPr>
        <w:spacing w:after="0"/>
        <w:ind w:firstLine="709"/>
        <w:jc w:val="both"/>
        <w:rPr>
          <w:rFonts w:eastAsia="Times New Roman"/>
          <w:sz w:val="28"/>
          <w:szCs w:val="28"/>
        </w:rPr>
      </w:pPr>
      <w:r w:rsidRPr="00F44094">
        <w:rPr>
          <w:rFonts w:eastAsia="Times New Roman"/>
          <w:sz w:val="28"/>
          <w:szCs w:val="28"/>
        </w:rPr>
        <w:t>1.Совершенствование системы предупреждения и защиты населения от чрезвычайных ситуаций природного и техногенного характера.</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2.Обучение населения способам защиты и действиям в чрезвычайных ситуациях.</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3.Создание и развитие «Системы 112».</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4.Совершенствование системы мониторинга и прогнозирования чрезвычайных ситуаций.</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5.Создание, содержание и организация деятельности спасательной станции - аварийно-спасательного формирования и единой дежурно-диспетчерской службы.</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6.Укрепление пожарной безопасности.</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7.Обеспечение безопасности людей на водных объектах.</w:t>
      </w:r>
    </w:p>
    <w:p w:rsidR="00502B69" w:rsidRPr="00F44094" w:rsidRDefault="00502B69" w:rsidP="00502B69">
      <w:pPr>
        <w:widowControl w:val="0"/>
        <w:autoSpaceDE w:val="0"/>
        <w:autoSpaceDN w:val="0"/>
        <w:spacing w:after="0"/>
        <w:ind w:firstLine="709"/>
        <w:jc w:val="both"/>
        <w:rPr>
          <w:rFonts w:eastAsia="Times New Roman"/>
          <w:sz w:val="28"/>
          <w:szCs w:val="28"/>
        </w:rPr>
      </w:pPr>
      <w:r w:rsidRPr="00F44094">
        <w:rPr>
          <w:rFonts w:eastAsia="Times New Roman"/>
          <w:sz w:val="28"/>
          <w:szCs w:val="28"/>
        </w:rPr>
        <w:t>8.Создание резерва для ликвидации чрезвычайных ситуаций.</w:t>
      </w:r>
    </w:p>
    <w:p w:rsidR="00502B69" w:rsidRPr="00F44094" w:rsidRDefault="00502B69" w:rsidP="00502B69">
      <w:pPr>
        <w:spacing w:after="0"/>
        <w:ind w:firstLine="709"/>
        <w:jc w:val="both"/>
        <w:rPr>
          <w:sz w:val="28"/>
          <w:szCs w:val="28"/>
        </w:rPr>
      </w:pPr>
      <w:r w:rsidRPr="00F44094">
        <w:rPr>
          <w:sz w:val="28"/>
          <w:szCs w:val="28"/>
        </w:rPr>
        <w:t>9.Создание и развитие «Системы 05».</w:t>
      </w:r>
    </w:p>
    <w:p w:rsidR="00502B69" w:rsidRPr="00F44094" w:rsidRDefault="00502B69" w:rsidP="00B54A27">
      <w:pPr>
        <w:spacing w:after="0"/>
        <w:ind w:firstLine="709"/>
        <w:jc w:val="both"/>
        <w:rPr>
          <w:sz w:val="28"/>
          <w:szCs w:val="28"/>
        </w:rPr>
      </w:pPr>
      <w:r w:rsidRPr="00F44094">
        <w:rPr>
          <w:rFonts w:eastAsia="Times New Roman"/>
          <w:sz w:val="28"/>
          <w:szCs w:val="28"/>
        </w:rPr>
        <w:lastRenderedPageBreak/>
        <w:t xml:space="preserve">10.Создание условий для выполнения функций и полномочий, возложенных на </w:t>
      </w:r>
      <w:r w:rsidRPr="00F44094">
        <w:rPr>
          <w:bCs/>
          <w:sz w:val="28"/>
          <w:szCs w:val="28"/>
        </w:rPr>
        <w:t>муниципальное казенное учреждение «</w:t>
      </w:r>
      <w:r w:rsidRPr="00F44094">
        <w:rPr>
          <w:sz w:val="28"/>
          <w:szCs w:val="28"/>
        </w:rPr>
        <w:t>Управление гражданской защиты населения».</w:t>
      </w:r>
    </w:p>
    <w:p w:rsidR="00502B69" w:rsidRPr="000F1893" w:rsidRDefault="00502B69" w:rsidP="00502B69">
      <w:pPr>
        <w:pStyle w:val="ConsPlusTitle"/>
        <w:spacing w:line="276" w:lineRule="auto"/>
        <w:ind w:firstLine="709"/>
        <w:jc w:val="both"/>
        <w:rPr>
          <w:rFonts w:ascii="Times New Roman" w:hAnsi="Times New Roman" w:cs="Times New Roman"/>
          <w:b w:val="0"/>
          <w:bCs w:val="0"/>
          <w:sz w:val="28"/>
          <w:szCs w:val="28"/>
        </w:rPr>
      </w:pPr>
      <w:r w:rsidRPr="00C6420F">
        <w:rPr>
          <w:rFonts w:ascii="Times New Roman" w:hAnsi="Times New Roman" w:cs="Times New Roman"/>
          <w:b w:val="0"/>
          <w:bCs w:val="0"/>
          <w:sz w:val="28"/>
          <w:szCs w:val="28"/>
        </w:rPr>
        <w:t xml:space="preserve">На финансирование муниципальной программы в 2022 году предусмотрены средства </w:t>
      </w:r>
      <w:r w:rsidRPr="000F1893">
        <w:rPr>
          <w:rFonts w:ascii="Times New Roman" w:hAnsi="Times New Roman" w:cs="Times New Roman"/>
          <w:b w:val="0"/>
          <w:bCs w:val="0"/>
          <w:sz w:val="28"/>
          <w:szCs w:val="28"/>
        </w:rPr>
        <w:t>бюджета города Ханты-Мансийска в объеме 163 950,0 тыс. рублей.</w:t>
      </w:r>
      <w:r>
        <w:rPr>
          <w:rFonts w:ascii="Times New Roman" w:hAnsi="Times New Roman" w:cs="Times New Roman"/>
          <w:b w:val="0"/>
          <w:bCs w:val="0"/>
          <w:sz w:val="28"/>
          <w:szCs w:val="28"/>
        </w:rPr>
        <w:t xml:space="preserve">        </w:t>
      </w:r>
    </w:p>
    <w:p w:rsidR="00502B69" w:rsidRPr="000F1893" w:rsidRDefault="00502B69" w:rsidP="00502B69">
      <w:pPr>
        <w:pStyle w:val="ConsPlusTitle"/>
        <w:spacing w:line="276" w:lineRule="auto"/>
        <w:ind w:firstLine="709"/>
        <w:jc w:val="both"/>
        <w:rPr>
          <w:rFonts w:ascii="Times New Roman" w:hAnsi="Times New Roman" w:cs="Times New Roman"/>
          <w:b w:val="0"/>
          <w:bCs w:val="0"/>
          <w:sz w:val="28"/>
          <w:szCs w:val="28"/>
        </w:rPr>
      </w:pPr>
      <w:r w:rsidRPr="000F1893">
        <w:rPr>
          <w:rFonts w:ascii="Times New Roman" w:hAnsi="Times New Roman" w:cs="Times New Roman"/>
          <w:b w:val="0"/>
          <w:bCs w:val="0"/>
          <w:sz w:val="28"/>
          <w:szCs w:val="28"/>
        </w:rPr>
        <w:t xml:space="preserve">Исполнение </w:t>
      </w:r>
      <w:r w:rsidRPr="000F1893">
        <w:rPr>
          <w:rFonts w:ascii="Times New Roman" w:hAnsi="Times New Roman" w:cs="Times New Roman"/>
          <w:b w:val="0"/>
          <w:sz w:val="28"/>
          <w:szCs w:val="28"/>
        </w:rPr>
        <w:t>муниципальной программы</w:t>
      </w:r>
      <w:r w:rsidRPr="000F1893">
        <w:rPr>
          <w:rFonts w:ascii="Times New Roman" w:hAnsi="Times New Roman" w:cs="Times New Roman"/>
          <w:b w:val="0"/>
          <w:bCs w:val="0"/>
          <w:sz w:val="28"/>
          <w:szCs w:val="28"/>
        </w:rPr>
        <w:t xml:space="preserve"> на отчетную дату составляет 162 805,2 тыс. рублей или 99,3% от годового объема финансирования. </w:t>
      </w:r>
    </w:p>
    <w:p w:rsidR="00502B69" w:rsidRPr="00CD5241" w:rsidRDefault="00502B69" w:rsidP="00502B69">
      <w:pPr>
        <w:pStyle w:val="ConsPlusTitle"/>
        <w:spacing w:line="276" w:lineRule="auto"/>
        <w:jc w:val="both"/>
        <w:rPr>
          <w:rFonts w:ascii="Times New Roman" w:hAnsi="Times New Roman" w:cs="Times New Roman"/>
          <w:b w:val="0"/>
          <w:bCs w:val="0"/>
          <w:sz w:val="28"/>
          <w:szCs w:val="28"/>
          <w:highlight w:val="yellow"/>
        </w:rPr>
      </w:pPr>
    </w:p>
    <w:p w:rsidR="00502B69" w:rsidRPr="00EC0ABE" w:rsidRDefault="00502B69" w:rsidP="00502B69">
      <w:pPr>
        <w:pStyle w:val="ae"/>
        <w:tabs>
          <w:tab w:val="left" w:pos="0"/>
        </w:tabs>
        <w:suppressAutoHyphens/>
        <w:spacing w:before="0" w:beforeAutospacing="0" w:after="0" w:afterAutospacing="0" w:line="276" w:lineRule="auto"/>
        <w:ind w:firstLine="709"/>
      </w:pPr>
      <w:r w:rsidRPr="00EC0ABE">
        <w:t>Рисунок 3.15.1.</w:t>
      </w:r>
    </w:p>
    <w:p w:rsidR="00502B69" w:rsidRPr="00EC0ABE" w:rsidRDefault="00502B69" w:rsidP="00502B69">
      <w:pPr>
        <w:pStyle w:val="ae"/>
        <w:tabs>
          <w:tab w:val="left" w:pos="0"/>
        </w:tabs>
        <w:suppressAutoHyphens/>
        <w:spacing w:before="0" w:beforeAutospacing="0" w:after="0" w:afterAutospacing="0" w:line="276" w:lineRule="auto"/>
        <w:ind w:firstLine="709"/>
        <w:jc w:val="center"/>
        <w:rPr>
          <w:b/>
          <w:sz w:val="28"/>
          <w:szCs w:val="28"/>
        </w:rPr>
      </w:pPr>
      <w:r w:rsidRPr="00EC0ABE">
        <w:rPr>
          <w:b/>
          <w:sz w:val="28"/>
          <w:szCs w:val="28"/>
        </w:rPr>
        <w:t xml:space="preserve">Объемы ассигнований на реализацию </w:t>
      </w:r>
    </w:p>
    <w:p w:rsidR="00502B69" w:rsidRPr="00EC0ABE" w:rsidRDefault="00502B69" w:rsidP="00502B69">
      <w:pPr>
        <w:pStyle w:val="ae"/>
        <w:tabs>
          <w:tab w:val="left" w:pos="0"/>
        </w:tabs>
        <w:suppressAutoHyphens/>
        <w:spacing w:before="0" w:beforeAutospacing="0" w:after="0" w:afterAutospacing="0" w:line="276" w:lineRule="auto"/>
        <w:ind w:firstLine="709"/>
        <w:jc w:val="center"/>
        <w:rPr>
          <w:b/>
          <w:sz w:val="28"/>
          <w:szCs w:val="28"/>
        </w:rPr>
      </w:pPr>
      <w:r w:rsidRPr="00EC0ABE">
        <w:rPr>
          <w:b/>
          <w:sz w:val="28"/>
          <w:szCs w:val="28"/>
        </w:rPr>
        <w:t>муниципальной программы</w:t>
      </w:r>
    </w:p>
    <w:p w:rsidR="00502B69" w:rsidRPr="00EC0ABE" w:rsidRDefault="00502B69" w:rsidP="00502B69">
      <w:pPr>
        <w:spacing w:after="0"/>
        <w:ind w:firstLine="709"/>
        <w:jc w:val="center"/>
        <w:rPr>
          <w:b/>
          <w:sz w:val="28"/>
          <w:szCs w:val="28"/>
        </w:rPr>
      </w:pPr>
      <w:r w:rsidRPr="00EC0ABE">
        <w:rPr>
          <w:b/>
          <w:sz w:val="28"/>
          <w:szCs w:val="28"/>
        </w:rPr>
        <w:t xml:space="preserve">«Защита населения и территории от чрезвычайных ситуаций, обеспечение пожарной безопасности города Ханты-Мансийска»  </w:t>
      </w:r>
    </w:p>
    <w:tbl>
      <w:tblPr>
        <w:tblW w:w="17376" w:type="dxa"/>
        <w:tblLook w:val="04A0" w:firstRow="1" w:lastRow="0" w:firstColumn="1" w:lastColumn="0" w:noHBand="0" w:noVBand="1"/>
      </w:tblPr>
      <w:tblGrid>
        <w:gridCol w:w="9576"/>
        <w:gridCol w:w="1560"/>
        <w:gridCol w:w="1560"/>
        <w:gridCol w:w="1560"/>
        <w:gridCol w:w="1560"/>
        <w:gridCol w:w="1560"/>
      </w:tblGrid>
      <w:tr w:rsidR="00502B69" w:rsidRPr="00CD5241" w:rsidTr="003844EE">
        <w:trPr>
          <w:trHeight w:val="885"/>
        </w:trPr>
        <w:tc>
          <w:tcPr>
            <w:tcW w:w="9576" w:type="dxa"/>
            <w:tcBorders>
              <w:top w:val="nil"/>
              <w:left w:val="nil"/>
              <w:bottom w:val="nil"/>
              <w:right w:val="nil"/>
            </w:tcBorders>
            <w:shd w:val="clear" w:color="auto" w:fill="auto"/>
            <w:noWrap/>
            <w:vAlign w:val="bottom"/>
            <w:hideMark/>
          </w:tcPr>
          <w:p w:rsidR="0021633F" w:rsidRDefault="0021633F" w:rsidP="003844EE">
            <w:pPr>
              <w:spacing w:after="0" w:line="240" w:lineRule="auto"/>
              <w:rPr>
                <w:sz w:val="28"/>
                <w:szCs w:val="28"/>
              </w:rPr>
            </w:pPr>
          </w:p>
          <w:p w:rsidR="0021633F" w:rsidRDefault="0021633F" w:rsidP="003844EE">
            <w:pPr>
              <w:spacing w:after="0" w:line="240" w:lineRule="auto"/>
              <w:rPr>
                <w:sz w:val="28"/>
                <w:szCs w:val="28"/>
              </w:rPr>
            </w:pPr>
          </w:p>
          <w:p w:rsidR="0021633F" w:rsidRDefault="0021633F" w:rsidP="003844EE">
            <w:pPr>
              <w:spacing w:after="0" w:line="240" w:lineRule="auto"/>
              <w:rPr>
                <w:sz w:val="28"/>
                <w:szCs w:val="28"/>
              </w:rPr>
            </w:pPr>
          </w:p>
          <w:p w:rsidR="0021633F" w:rsidRDefault="0021633F" w:rsidP="003844EE">
            <w:pPr>
              <w:spacing w:after="0" w:line="240" w:lineRule="auto"/>
              <w:rPr>
                <w:sz w:val="28"/>
                <w:szCs w:val="28"/>
              </w:rPr>
            </w:pPr>
          </w:p>
          <w:p w:rsidR="0021633F" w:rsidRDefault="0021633F" w:rsidP="003844EE">
            <w:pPr>
              <w:spacing w:after="0" w:line="240" w:lineRule="auto"/>
              <w:rPr>
                <w:sz w:val="28"/>
                <w:szCs w:val="28"/>
              </w:rPr>
            </w:pPr>
          </w:p>
          <w:p w:rsidR="0021633F" w:rsidRDefault="0021633F" w:rsidP="003844EE">
            <w:pPr>
              <w:spacing w:after="0" w:line="240" w:lineRule="auto"/>
              <w:rPr>
                <w:sz w:val="28"/>
                <w:szCs w:val="28"/>
              </w:rPr>
            </w:pPr>
          </w:p>
          <w:p w:rsidR="00502B69" w:rsidRPr="00EC0ABE" w:rsidRDefault="00502B69" w:rsidP="003844EE">
            <w:pPr>
              <w:spacing w:after="0" w:line="240" w:lineRule="auto"/>
              <w:rPr>
                <w:rFonts w:eastAsia="Times New Roman"/>
                <w:sz w:val="24"/>
                <w:szCs w:val="24"/>
              </w:rPr>
            </w:pPr>
            <w:r w:rsidRPr="00EC0ABE">
              <w:rPr>
                <w:sz w:val="28"/>
                <w:szCs w:val="28"/>
              </w:rPr>
              <w:t>тыс. рублей</w:t>
            </w:r>
          </w:p>
        </w:tc>
        <w:tc>
          <w:tcPr>
            <w:tcW w:w="1560" w:type="dxa"/>
            <w:tcBorders>
              <w:top w:val="nil"/>
              <w:left w:val="nil"/>
              <w:bottom w:val="nil"/>
              <w:right w:val="nil"/>
            </w:tcBorders>
            <w:shd w:val="clear" w:color="auto" w:fill="auto"/>
            <w:noWrap/>
            <w:vAlign w:val="bottom"/>
            <w:hideMark/>
          </w:tcPr>
          <w:p w:rsidR="00502B69" w:rsidRPr="00EC0ABE" w:rsidRDefault="00502B69" w:rsidP="003844EE">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02B69" w:rsidRPr="00EC0ABE" w:rsidRDefault="00502B69" w:rsidP="003844EE">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02B69" w:rsidRPr="00EC0ABE" w:rsidRDefault="00502B69" w:rsidP="003844EE">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02B69" w:rsidRPr="00EC0ABE" w:rsidRDefault="00502B69" w:rsidP="003844EE">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02B69" w:rsidRPr="00EC0ABE" w:rsidRDefault="00502B69" w:rsidP="003844EE">
            <w:pPr>
              <w:spacing w:after="0" w:line="240" w:lineRule="auto"/>
              <w:jc w:val="left"/>
              <w:rPr>
                <w:rFonts w:eastAsia="Times New Roman"/>
                <w:sz w:val="20"/>
                <w:szCs w:val="20"/>
              </w:rPr>
            </w:pPr>
          </w:p>
        </w:tc>
      </w:tr>
    </w:tbl>
    <w:p w:rsidR="00502B69" w:rsidRDefault="00502B69" w:rsidP="00502B69">
      <w:pPr>
        <w:pStyle w:val="ae"/>
        <w:tabs>
          <w:tab w:val="left" w:pos="0"/>
        </w:tabs>
        <w:suppressAutoHyphens/>
        <w:spacing w:before="0" w:beforeAutospacing="0" w:after="0" w:afterAutospacing="0" w:line="276" w:lineRule="auto"/>
        <w:jc w:val="both"/>
        <w:rPr>
          <w:sz w:val="28"/>
          <w:szCs w:val="28"/>
          <w:highlight w:val="yellow"/>
        </w:rPr>
      </w:pPr>
    </w:p>
    <w:p w:rsidR="00502B69" w:rsidRDefault="00502B69" w:rsidP="00502B69">
      <w:pPr>
        <w:pStyle w:val="ae"/>
        <w:tabs>
          <w:tab w:val="left" w:pos="0"/>
        </w:tabs>
        <w:suppressAutoHyphens/>
        <w:spacing w:before="0" w:beforeAutospacing="0" w:after="0" w:afterAutospacing="0" w:line="276" w:lineRule="auto"/>
        <w:jc w:val="both"/>
        <w:rPr>
          <w:sz w:val="28"/>
          <w:szCs w:val="28"/>
          <w:highlight w:val="yellow"/>
        </w:rPr>
      </w:pPr>
      <w:r>
        <w:rPr>
          <w:noProof/>
        </w:rPr>
        <w:drawing>
          <wp:inline distT="0" distB="0" distL="0" distR="0" wp14:anchorId="3690D5E3" wp14:editId="6D6A36D6">
            <wp:extent cx="5463540" cy="1638300"/>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B69" w:rsidRPr="00CD5241" w:rsidRDefault="00502B69" w:rsidP="00502B69">
      <w:pPr>
        <w:pStyle w:val="ae"/>
        <w:tabs>
          <w:tab w:val="left" w:pos="0"/>
        </w:tabs>
        <w:suppressAutoHyphens/>
        <w:spacing w:before="0" w:beforeAutospacing="0" w:after="0" w:afterAutospacing="0" w:line="276" w:lineRule="auto"/>
        <w:jc w:val="both"/>
        <w:rPr>
          <w:sz w:val="28"/>
          <w:szCs w:val="28"/>
          <w:highlight w:val="yellow"/>
        </w:rPr>
      </w:pPr>
    </w:p>
    <w:p w:rsidR="00502B69" w:rsidRPr="00CD5241" w:rsidRDefault="00502B69" w:rsidP="00502B69">
      <w:pPr>
        <w:pStyle w:val="ae"/>
        <w:tabs>
          <w:tab w:val="left" w:pos="0"/>
        </w:tabs>
        <w:suppressAutoHyphens/>
        <w:spacing w:before="0" w:beforeAutospacing="0" w:after="0" w:afterAutospacing="0" w:line="276" w:lineRule="auto"/>
        <w:jc w:val="center"/>
        <w:rPr>
          <w:sz w:val="28"/>
          <w:szCs w:val="28"/>
          <w:highlight w:val="yellow"/>
        </w:rPr>
      </w:pPr>
    </w:p>
    <w:p w:rsidR="00502B69" w:rsidRPr="00410C53" w:rsidRDefault="00502B69" w:rsidP="00502B69">
      <w:pPr>
        <w:pStyle w:val="ae"/>
        <w:tabs>
          <w:tab w:val="left" w:pos="0"/>
        </w:tabs>
        <w:suppressAutoHyphens/>
        <w:spacing w:before="0" w:beforeAutospacing="0" w:after="0" w:afterAutospacing="0" w:line="276" w:lineRule="auto"/>
        <w:jc w:val="center"/>
        <w:rPr>
          <w:sz w:val="28"/>
          <w:szCs w:val="28"/>
        </w:rPr>
      </w:pPr>
      <w:r w:rsidRPr="00410C53">
        <w:rPr>
          <w:sz w:val="28"/>
          <w:szCs w:val="28"/>
        </w:rPr>
        <w:t>Объемы бюджетных ассигнований распределены следующим образом:</w:t>
      </w:r>
    </w:p>
    <w:p w:rsidR="00502B69" w:rsidRPr="00410C53" w:rsidRDefault="00502B69" w:rsidP="00502B69">
      <w:pPr>
        <w:pStyle w:val="ae"/>
        <w:tabs>
          <w:tab w:val="left" w:pos="0"/>
        </w:tabs>
        <w:suppressAutoHyphens/>
        <w:spacing w:before="0" w:beforeAutospacing="0" w:after="0" w:afterAutospacing="0" w:line="276" w:lineRule="auto"/>
        <w:jc w:val="center"/>
        <w:rPr>
          <w:sz w:val="28"/>
          <w:szCs w:val="28"/>
        </w:rPr>
      </w:pPr>
    </w:p>
    <w:p w:rsidR="00502B69" w:rsidRDefault="00502B69" w:rsidP="00502B69">
      <w:pPr>
        <w:pStyle w:val="ae"/>
        <w:tabs>
          <w:tab w:val="left" w:pos="0"/>
        </w:tabs>
        <w:suppressAutoHyphens/>
        <w:spacing w:before="0" w:beforeAutospacing="0" w:after="0" w:afterAutospacing="0" w:line="276" w:lineRule="auto"/>
        <w:ind w:firstLine="709"/>
      </w:pPr>
      <w:r w:rsidRPr="00410C53">
        <w:t>Таблица 3.15.1.</w:t>
      </w:r>
    </w:p>
    <w:p w:rsidR="00502B69" w:rsidRPr="00410C53" w:rsidRDefault="00502B69" w:rsidP="00502B69">
      <w:pPr>
        <w:pStyle w:val="ae"/>
        <w:tabs>
          <w:tab w:val="left" w:pos="0"/>
        </w:tabs>
        <w:suppressAutoHyphens/>
        <w:spacing w:before="0" w:beforeAutospacing="0" w:after="0" w:afterAutospacing="0" w:line="276" w:lineRule="auto"/>
        <w:ind w:firstLine="709"/>
      </w:pPr>
    </w:p>
    <w:p w:rsidR="00502B69" w:rsidRPr="00410C53" w:rsidRDefault="00502B69" w:rsidP="00502B69">
      <w:pPr>
        <w:pStyle w:val="ae"/>
        <w:tabs>
          <w:tab w:val="left" w:pos="459"/>
        </w:tabs>
        <w:suppressAutoHyphens/>
        <w:spacing w:before="0" w:beforeAutospacing="0" w:after="0" w:afterAutospacing="0" w:line="276" w:lineRule="auto"/>
        <w:ind w:firstLine="709"/>
        <w:jc w:val="center"/>
        <w:rPr>
          <w:b/>
          <w:sz w:val="28"/>
          <w:szCs w:val="28"/>
        </w:rPr>
      </w:pPr>
      <w:r w:rsidRPr="00410C53">
        <w:rPr>
          <w:b/>
          <w:sz w:val="28"/>
          <w:szCs w:val="28"/>
        </w:rPr>
        <w:t>Объем бюджетных ассигнований за 2022 год по основному исполнителю и соисполнителям муниципальной программы «Защита населения и территории от чрезвычайных ситуаций, обеспечение пожарной безопасности города Ханты-Мансийска»</w:t>
      </w:r>
    </w:p>
    <w:p w:rsidR="00F87238" w:rsidRDefault="00502B69" w:rsidP="00502B69">
      <w:pPr>
        <w:pStyle w:val="ae"/>
        <w:tabs>
          <w:tab w:val="left" w:pos="459"/>
        </w:tabs>
        <w:suppressAutoHyphens/>
        <w:spacing w:before="0" w:beforeAutospacing="0" w:after="0" w:afterAutospacing="0" w:line="276" w:lineRule="auto"/>
        <w:ind w:firstLine="709"/>
        <w:jc w:val="center"/>
        <w:rPr>
          <w:b/>
        </w:rPr>
      </w:pPr>
      <w:r w:rsidRPr="00410C53">
        <w:rPr>
          <w:b/>
        </w:rPr>
        <w:t xml:space="preserve">                                                                                                                  </w:t>
      </w:r>
    </w:p>
    <w:p w:rsidR="00502B69" w:rsidRPr="00F87238" w:rsidRDefault="00502B69" w:rsidP="00F87238">
      <w:pPr>
        <w:pStyle w:val="ae"/>
        <w:tabs>
          <w:tab w:val="left" w:pos="459"/>
        </w:tabs>
        <w:suppressAutoHyphens/>
        <w:spacing w:before="0" w:beforeAutospacing="0" w:after="0" w:afterAutospacing="0" w:line="276" w:lineRule="auto"/>
        <w:ind w:firstLine="709"/>
      </w:pPr>
      <w:r w:rsidRPr="00F87238">
        <w:lastRenderedPageBreak/>
        <w:t>(тыс. рублей)</w:t>
      </w:r>
    </w:p>
    <w:tbl>
      <w:tblPr>
        <w:tblW w:w="9356" w:type="dxa"/>
        <w:tblInd w:w="108" w:type="dxa"/>
        <w:tblLayout w:type="fixed"/>
        <w:tblLook w:val="04A0" w:firstRow="1" w:lastRow="0" w:firstColumn="1" w:lastColumn="0" w:noHBand="0" w:noVBand="1"/>
      </w:tblPr>
      <w:tblGrid>
        <w:gridCol w:w="567"/>
        <w:gridCol w:w="3261"/>
        <w:gridCol w:w="1276"/>
        <w:gridCol w:w="1417"/>
        <w:gridCol w:w="1559"/>
        <w:gridCol w:w="1276"/>
      </w:tblGrid>
      <w:tr w:rsidR="00502B69" w:rsidRPr="00CD5241" w:rsidTr="003844EE">
        <w:trPr>
          <w:trHeight w:val="300"/>
          <w:tblHeader/>
        </w:trPr>
        <w:tc>
          <w:tcPr>
            <w:tcW w:w="567" w:type="dxa"/>
            <w:vMerge w:val="restart"/>
            <w:tcBorders>
              <w:top w:val="single" w:sz="4" w:space="0" w:color="auto"/>
              <w:left w:val="single" w:sz="4" w:space="0" w:color="auto"/>
              <w:right w:val="single" w:sz="4" w:space="0" w:color="auto"/>
            </w:tcBorders>
            <w:vAlign w:val="center"/>
          </w:tcPr>
          <w:p w:rsidR="00502B69" w:rsidRPr="007712F4" w:rsidRDefault="00502B69" w:rsidP="003844EE">
            <w:pPr>
              <w:spacing w:after="0" w:line="240" w:lineRule="auto"/>
              <w:ind w:left="33" w:right="34" w:hanging="33"/>
              <w:jc w:val="center"/>
              <w:rPr>
                <w:sz w:val="20"/>
                <w:szCs w:val="20"/>
              </w:rPr>
            </w:pPr>
            <w:r w:rsidRPr="007712F4">
              <w:rPr>
                <w:sz w:val="20"/>
                <w:szCs w:val="20"/>
              </w:rPr>
              <w:t xml:space="preserve">№ п/п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69" w:rsidRPr="007712F4" w:rsidRDefault="00502B69" w:rsidP="003844EE">
            <w:pPr>
              <w:spacing w:after="0" w:line="240" w:lineRule="auto"/>
              <w:ind w:right="424"/>
              <w:jc w:val="center"/>
              <w:rPr>
                <w:sz w:val="20"/>
                <w:szCs w:val="20"/>
              </w:rPr>
            </w:pPr>
            <w:r w:rsidRPr="007712F4">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B69" w:rsidRPr="00380BB7" w:rsidRDefault="00502B69" w:rsidP="003844EE">
            <w:pPr>
              <w:spacing w:after="0" w:line="240" w:lineRule="auto"/>
              <w:ind w:right="176"/>
              <w:jc w:val="center"/>
              <w:rPr>
                <w:sz w:val="20"/>
                <w:szCs w:val="20"/>
              </w:rPr>
            </w:pPr>
            <w:r w:rsidRPr="00380BB7">
              <w:rPr>
                <w:sz w:val="20"/>
                <w:szCs w:val="20"/>
              </w:rPr>
              <w:t>2021 год (отчет)</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502B69" w:rsidRPr="00380BB7" w:rsidRDefault="00502B69" w:rsidP="003844EE">
            <w:pPr>
              <w:spacing w:after="0" w:line="240" w:lineRule="auto"/>
              <w:ind w:right="424"/>
              <w:jc w:val="center"/>
              <w:rPr>
                <w:sz w:val="20"/>
                <w:szCs w:val="20"/>
              </w:rPr>
            </w:pPr>
            <w:r w:rsidRPr="00380BB7">
              <w:rPr>
                <w:sz w:val="20"/>
                <w:szCs w:val="20"/>
              </w:rPr>
              <w:t xml:space="preserve">2022 год </w:t>
            </w:r>
          </w:p>
        </w:tc>
      </w:tr>
      <w:tr w:rsidR="00502B69" w:rsidRPr="00CD5241" w:rsidTr="003844EE">
        <w:trPr>
          <w:trHeight w:val="597"/>
          <w:tblHeader/>
        </w:trPr>
        <w:tc>
          <w:tcPr>
            <w:tcW w:w="567" w:type="dxa"/>
            <w:vMerge/>
            <w:tcBorders>
              <w:left w:val="single" w:sz="4" w:space="0" w:color="auto"/>
              <w:bottom w:val="single" w:sz="4" w:space="0" w:color="auto"/>
              <w:right w:val="single" w:sz="4" w:space="0" w:color="auto"/>
            </w:tcBorders>
          </w:tcPr>
          <w:p w:rsidR="00502B69" w:rsidRPr="00CD5241" w:rsidRDefault="00502B69" w:rsidP="003844EE">
            <w:pPr>
              <w:spacing w:after="0" w:line="240" w:lineRule="auto"/>
              <w:ind w:right="424"/>
              <w:rPr>
                <w:sz w:val="20"/>
                <w:szCs w:val="20"/>
                <w:highlight w:val="yellow"/>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02B69" w:rsidRPr="00CD5241" w:rsidRDefault="00502B69" w:rsidP="003844EE">
            <w:pPr>
              <w:spacing w:after="0" w:line="240" w:lineRule="auto"/>
              <w:ind w:right="424"/>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2B69" w:rsidRPr="00380BB7" w:rsidRDefault="00502B69" w:rsidP="003844EE">
            <w:pPr>
              <w:spacing w:after="0" w:line="240" w:lineRule="auto"/>
              <w:ind w:right="424"/>
              <w:rPr>
                <w:sz w:val="20"/>
                <w:szCs w:val="20"/>
              </w:rPr>
            </w:pPr>
          </w:p>
        </w:tc>
        <w:tc>
          <w:tcPr>
            <w:tcW w:w="1417" w:type="dxa"/>
            <w:tcBorders>
              <w:top w:val="nil"/>
              <w:left w:val="nil"/>
              <w:bottom w:val="single" w:sz="4" w:space="0" w:color="auto"/>
              <w:right w:val="single" w:sz="4" w:space="0" w:color="auto"/>
            </w:tcBorders>
            <w:shd w:val="clear" w:color="auto" w:fill="auto"/>
            <w:hideMark/>
          </w:tcPr>
          <w:p w:rsidR="00502B69" w:rsidRPr="00380BB7" w:rsidRDefault="00502B69" w:rsidP="003844EE">
            <w:pPr>
              <w:jc w:val="center"/>
              <w:rPr>
                <w:rFonts w:eastAsia="Times New Roman"/>
                <w:color w:val="000000" w:themeColor="text1"/>
                <w:sz w:val="20"/>
                <w:szCs w:val="20"/>
              </w:rPr>
            </w:pPr>
            <w:r w:rsidRPr="00380BB7">
              <w:rPr>
                <w:rFonts w:eastAsia="Times New Roman"/>
                <w:color w:val="000000" w:themeColor="text1"/>
                <w:sz w:val="20"/>
                <w:szCs w:val="20"/>
              </w:rPr>
              <w:t>Уточненный план</w:t>
            </w:r>
          </w:p>
        </w:tc>
        <w:tc>
          <w:tcPr>
            <w:tcW w:w="1559" w:type="dxa"/>
            <w:tcBorders>
              <w:top w:val="nil"/>
              <w:left w:val="nil"/>
              <w:bottom w:val="single" w:sz="4" w:space="0" w:color="auto"/>
              <w:right w:val="single" w:sz="4" w:space="0" w:color="auto"/>
            </w:tcBorders>
            <w:shd w:val="clear" w:color="auto" w:fill="auto"/>
            <w:hideMark/>
          </w:tcPr>
          <w:p w:rsidR="00502B69" w:rsidRPr="00380BB7" w:rsidRDefault="00502B69" w:rsidP="003844EE">
            <w:pPr>
              <w:jc w:val="center"/>
              <w:rPr>
                <w:rFonts w:eastAsia="Times New Roman"/>
                <w:color w:val="000000" w:themeColor="text1"/>
                <w:sz w:val="20"/>
                <w:szCs w:val="20"/>
              </w:rPr>
            </w:pPr>
            <w:r w:rsidRPr="00380BB7">
              <w:rPr>
                <w:rFonts w:eastAsia="Times New Roman"/>
                <w:color w:val="000000" w:themeColor="text1"/>
                <w:sz w:val="20"/>
                <w:szCs w:val="20"/>
              </w:rPr>
              <w:t>Исполнение</w:t>
            </w:r>
          </w:p>
        </w:tc>
        <w:tc>
          <w:tcPr>
            <w:tcW w:w="1276" w:type="dxa"/>
            <w:tcBorders>
              <w:top w:val="nil"/>
              <w:left w:val="nil"/>
              <w:bottom w:val="single" w:sz="4" w:space="0" w:color="auto"/>
              <w:right w:val="single" w:sz="4" w:space="0" w:color="auto"/>
            </w:tcBorders>
            <w:shd w:val="clear" w:color="auto" w:fill="auto"/>
            <w:hideMark/>
          </w:tcPr>
          <w:p w:rsidR="00502B69" w:rsidRPr="00380BB7" w:rsidRDefault="00502B69" w:rsidP="003844EE">
            <w:pPr>
              <w:spacing w:after="0"/>
              <w:jc w:val="center"/>
              <w:rPr>
                <w:rFonts w:eastAsia="Times New Roman"/>
                <w:color w:val="000000" w:themeColor="text1"/>
                <w:sz w:val="20"/>
                <w:szCs w:val="20"/>
              </w:rPr>
            </w:pPr>
            <w:r w:rsidRPr="00380BB7">
              <w:rPr>
                <w:rFonts w:eastAsia="Times New Roman"/>
                <w:color w:val="000000" w:themeColor="text1"/>
                <w:sz w:val="20"/>
                <w:szCs w:val="20"/>
              </w:rPr>
              <w:t>% исполнения</w:t>
            </w:r>
          </w:p>
        </w:tc>
      </w:tr>
      <w:tr w:rsidR="00502B69" w:rsidRPr="00CD5241" w:rsidTr="003844EE">
        <w:trPr>
          <w:trHeight w:val="300"/>
        </w:trPr>
        <w:tc>
          <w:tcPr>
            <w:tcW w:w="567" w:type="dxa"/>
            <w:tcBorders>
              <w:top w:val="nil"/>
              <w:left w:val="single" w:sz="4" w:space="0" w:color="auto"/>
              <w:bottom w:val="single" w:sz="4" w:space="0" w:color="auto"/>
              <w:right w:val="single" w:sz="4" w:space="0" w:color="auto"/>
            </w:tcBorders>
          </w:tcPr>
          <w:p w:rsidR="00502B69" w:rsidRPr="00CD5241" w:rsidRDefault="00502B69" w:rsidP="003844EE">
            <w:pPr>
              <w:spacing w:after="0" w:line="240" w:lineRule="auto"/>
              <w:ind w:right="424"/>
              <w:rPr>
                <w:sz w:val="20"/>
                <w:szCs w:val="20"/>
                <w:highlight w:val="yellow"/>
              </w:rPr>
            </w:pPr>
          </w:p>
        </w:tc>
        <w:tc>
          <w:tcPr>
            <w:tcW w:w="3261" w:type="dxa"/>
            <w:tcBorders>
              <w:top w:val="nil"/>
              <w:left w:val="single" w:sz="4" w:space="0" w:color="auto"/>
              <w:bottom w:val="single" w:sz="4" w:space="0" w:color="auto"/>
              <w:right w:val="single" w:sz="4" w:space="0" w:color="auto"/>
            </w:tcBorders>
            <w:shd w:val="clear" w:color="auto" w:fill="auto"/>
            <w:hideMark/>
          </w:tcPr>
          <w:p w:rsidR="00502B69" w:rsidRPr="00164CE1" w:rsidRDefault="00502B69" w:rsidP="003844EE">
            <w:pPr>
              <w:spacing w:after="0" w:line="240" w:lineRule="auto"/>
              <w:ind w:right="34"/>
              <w:jc w:val="left"/>
              <w:rPr>
                <w:sz w:val="20"/>
                <w:szCs w:val="20"/>
              </w:rPr>
            </w:pPr>
            <w:r w:rsidRPr="00164CE1">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02B69" w:rsidRPr="007712F4" w:rsidRDefault="00502B69" w:rsidP="003844EE">
            <w:pPr>
              <w:spacing w:after="0" w:line="240" w:lineRule="auto"/>
              <w:ind w:right="33"/>
              <w:jc w:val="center"/>
              <w:rPr>
                <w:sz w:val="20"/>
                <w:szCs w:val="20"/>
              </w:rPr>
            </w:pPr>
            <w:r w:rsidRPr="007712F4">
              <w:rPr>
                <w:sz w:val="20"/>
                <w:szCs w:val="20"/>
              </w:rPr>
              <w:t>138 669,6</w:t>
            </w:r>
          </w:p>
        </w:tc>
        <w:tc>
          <w:tcPr>
            <w:tcW w:w="1417"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4"/>
              <w:jc w:val="center"/>
              <w:rPr>
                <w:sz w:val="20"/>
                <w:szCs w:val="20"/>
              </w:rPr>
            </w:pPr>
            <w:r w:rsidRPr="00E31CD3">
              <w:rPr>
                <w:sz w:val="20"/>
                <w:szCs w:val="20"/>
              </w:rPr>
              <w:t>163 950,0</w:t>
            </w:r>
          </w:p>
        </w:tc>
        <w:tc>
          <w:tcPr>
            <w:tcW w:w="1559"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3"/>
              <w:jc w:val="center"/>
              <w:rPr>
                <w:sz w:val="20"/>
                <w:szCs w:val="20"/>
              </w:rPr>
            </w:pPr>
            <w:r w:rsidRPr="00E31CD3">
              <w:rPr>
                <w:sz w:val="20"/>
                <w:szCs w:val="20"/>
              </w:rPr>
              <w:t>162 805,2</w:t>
            </w:r>
          </w:p>
        </w:tc>
        <w:tc>
          <w:tcPr>
            <w:tcW w:w="1276" w:type="dxa"/>
            <w:tcBorders>
              <w:top w:val="nil"/>
              <w:left w:val="nil"/>
              <w:bottom w:val="single" w:sz="4" w:space="0" w:color="auto"/>
              <w:right w:val="single" w:sz="4" w:space="0" w:color="auto"/>
            </w:tcBorders>
            <w:shd w:val="clear" w:color="auto" w:fill="auto"/>
            <w:hideMark/>
          </w:tcPr>
          <w:p w:rsidR="00502B69" w:rsidRPr="00E31CD3" w:rsidRDefault="00502B69" w:rsidP="003844EE">
            <w:pPr>
              <w:spacing w:after="0" w:line="240" w:lineRule="auto"/>
              <w:ind w:right="34"/>
              <w:jc w:val="center"/>
              <w:rPr>
                <w:sz w:val="20"/>
                <w:szCs w:val="20"/>
              </w:rPr>
            </w:pPr>
            <w:r w:rsidRPr="00E31CD3">
              <w:rPr>
                <w:sz w:val="20"/>
                <w:szCs w:val="20"/>
              </w:rPr>
              <w:t>99,3%</w:t>
            </w:r>
          </w:p>
        </w:tc>
      </w:tr>
      <w:tr w:rsidR="00502B69" w:rsidRPr="00CD5241" w:rsidTr="003844EE">
        <w:trPr>
          <w:trHeight w:val="568"/>
        </w:trPr>
        <w:tc>
          <w:tcPr>
            <w:tcW w:w="567" w:type="dxa"/>
            <w:tcBorders>
              <w:top w:val="nil"/>
              <w:left w:val="single" w:sz="4" w:space="0" w:color="auto"/>
              <w:bottom w:val="single" w:sz="4" w:space="0" w:color="auto"/>
              <w:right w:val="single" w:sz="4" w:space="0" w:color="auto"/>
            </w:tcBorders>
          </w:tcPr>
          <w:p w:rsidR="00502B69" w:rsidRPr="00164CE1" w:rsidRDefault="00502B69" w:rsidP="003844EE">
            <w:pPr>
              <w:tabs>
                <w:tab w:val="left" w:pos="33"/>
              </w:tabs>
              <w:spacing w:after="0" w:line="240" w:lineRule="auto"/>
              <w:ind w:right="34"/>
              <w:jc w:val="both"/>
              <w:rPr>
                <w:sz w:val="20"/>
                <w:szCs w:val="20"/>
              </w:rPr>
            </w:pPr>
            <w:r w:rsidRPr="00164CE1">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hideMark/>
          </w:tcPr>
          <w:p w:rsidR="00502B69" w:rsidRPr="00164CE1" w:rsidRDefault="00502B69" w:rsidP="003844EE">
            <w:pPr>
              <w:spacing w:after="0" w:line="240" w:lineRule="auto"/>
              <w:ind w:right="34"/>
              <w:jc w:val="left"/>
              <w:rPr>
                <w:sz w:val="20"/>
                <w:szCs w:val="20"/>
              </w:rPr>
            </w:pPr>
            <w:r w:rsidRPr="00164CE1">
              <w:rPr>
                <w:bCs/>
                <w:sz w:val="20"/>
                <w:szCs w:val="20"/>
              </w:rPr>
              <w:t>Муниципальное казенное учреждение «</w:t>
            </w:r>
            <w:r w:rsidRPr="00164CE1">
              <w:rPr>
                <w:sz w:val="20"/>
                <w:szCs w:val="20"/>
              </w:rPr>
              <w:t>Управление гражданской защиты населения»</w:t>
            </w:r>
          </w:p>
        </w:tc>
        <w:tc>
          <w:tcPr>
            <w:tcW w:w="1276" w:type="dxa"/>
            <w:tcBorders>
              <w:top w:val="nil"/>
              <w:left w:val="nil"/>
              <w:bottom w:val="single" w:sz="4" w:space="0" w:color="auto"/>
              <w:right w:val="single" w:sz="4" w:space="0" w:color="auto"/>
            </w:tcBorders>
            <w:shd w:val="clear" w:color="auto" w:fill="auto"/>
            <w:hideMark/>
          </w:tcPr>
          <w:p w:rsidR="00502B69" w:rsidRPr="007712F4" w:rsidRDefault="00502B69" w:rsidP="003844EE">
            <w:pPr>
              <w:spacing w:after="0" w:line="240" w:lineRule="auto"/>
              <w:ind w:right="33"/>
              <w:jc w:val="center"/>
              <w:rPr>
                <w:sz w:val="20"/>
                <w:szCs w:val="20"/>
              </w:rPr>
            </w:pPr>
            <w:r w:rsidRPr="007712F4">
              <w:rPr>
                <w:sz w:val="20"/>
                <w:szCs w:val="20"/>
              </w:rPr>
              <w:t>130 521,1</w:t>
            </w:r>
          </w:p>
        </w:tc>
        <w:tc>
          <w:tcPr>
            <w:tcW w:w="1417"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4"/>
              <w:jc w:val="center"/>
              <w:rPr>
                <w:sz w:val="20"/>
                <w:szCs w:val="20"/>
              </w:rPr>
            </w:pPr>
            <w:r w:rsidRPr="00E31CD3">
              <w:rPr>
                <w:sz w:val="20"/>
                <w:szCs w:val="20"/>
              </w:rPr>
              <w:t>154 726,8</w:t>
            </w:r>
          </w:p>
        </w:tc>
        <w:tc>
          <w:tcPr>
            <w:tcW w:w="1559"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3"/>
              <w:jc w:val="center"/>
              <w:rPr>
                <w:sz w:val="20"/>
                <w:szCs w:val="20"/>
              </w:rPr>
            </w:pPr>
            <w:r w:rsidRPr="00E31CD3">
              <w:rPr>
                <w:sz w:val="20"/>
                <w:szCs w:val="20"/>
              </w:rPr>
              <w:t>153 582,0</w:t>
            </w:r>
          </w:p>
        </w:tc>
        <w:tc>
          <w:tcPr>
            <w:tcW w:w="1276" w:type="dxa"/>
            <w:tcBorders>
              <w:top w:val="nil"/>
              <w:left w:val="nil"/>
              <w:bottom w:val="single" w:sz="4" w:space="0" w:color="auto"/>
              <w:right w:val="single" w:sz="4" w:space="0" w:color="auto"/>
            </w:tcBorders>
            <w:shd w:val="clear" w:color="auto" w:fill="auto"/>
            <w:hideMark/>
          </w:tcPr>
          <w:p w:rsidR="00502B69" w:rsidRPr="00E31CD3" w:rsidRDefault="00502B69" w:rsidP="003844EE">
            <w:pPr>
              <w:spacing w:after="0" w:line="240" w:lineRule="auto"/>
              <w:ind w:right="34"/>
              <w:jc w:val="center"/>
              <w:rPr>
                <w:sz w:val="20"/>
                <w:szCs w:val="20"/>
              </w:rPr>
            </w:pPr>
            <w:r w:rsidRPr="00E31CD3">
              <w:rPr>
                <w:sz w:val="20"/>
                <w:szCs w:val="20"/>
              </w:rPr>
              <w:t>99,3%</w:t>
            </w:r>
          </w:p>
        </w:tc>
      </w:tr>
      <w:tr w:rsidR="00502B69" w:rsidRPr="00CD5241" w:rsidTr="003844EE">
        <w:trPr>
          <w:trHeight w:val="605"/>
        </w:trPr>
        <w:tc>
          <w:tcPr>
            <w:tcW w:w="567" w:type="dxa"/>
            <w:tcBorders>
              <w:top w:val="nil"/>
              <w:left w:val="single" w:sz="4" w:space="0" w:color="auto"/>
              <w:bottom w:val="single" w:sz="4" w:space="0" w:color="auto"/>
              <w:right w:val="single" w:sz="4" w:space="0" w:color="auto"/>
            </w:tcBorders>
          </w:tcPr>
          <w:p w:rsidR="00502B69" w:rsidRPr="00164CE1" w:rsidRDefault="00502B69" w:rsidP="003844EE">
            <w:pPr>
              <w:spacing w:after="0" w:line="240" w:lineRule="auto"/>
              <w:ind w:right="424"/>
              <w:jc w:val="center"/>
              <w:rPr>
                <w:bCs/>
                <w:sz w:val="20"/>
                <w:szCs w:val="20"/>
              </w:rPr>
            </w:pPr>
            <w:r w:rsidRPr="00164CE1">
              <w:rPr>
                <w:bCs/>
                <w:sz w:val="20"/>
                <w:szCs w:val="20"/>
              </w:rPr>
              <w:t>2</w:t>
            </w:r>
          </w:p>
        </w:tc>
        <w:tc>
          <w:tcPr>
            <w:tcW w:w="3261" w:type="dxa"/>
            <w:tcBorders>
              <w:top w:val="nil"/>
              <w:left w:val="single" w:sz="4" w:space="0" w:color="auto"/>
              <w:bottom w:val="single" w:sz="4" w:space="0" w:color="auto"/>
              <w:right w:val="single" w:sz="4" w:space="0" w:color="auto"/>
            </w:tcBorders>
            <w:shd w:val="clear" w:color="auto" w:fill="auto"/>
            <w:hideMark/>
          </w:tcPr>
          <w:p w:rsidR="00502B69" w:rsidRPr="00164CE1" w:rsidRDefault="00502B69" w:rsidP="003844EE">
            <w:pPr>
              <w:spacing w:after="0" w:line="240" w:lineRule="auto"/>
              <w:ind w:right="34"/>
              <w:jc w:val="left"/>
              <w:rPr>
                <w:sz w:val="20"/>
                <w:szCs w:val="20"/>
              </w:rPr>
            </w:pPr>
            <w:r w:rsidRPr="00164CE1">
              <w:rPr>
                <w:sz w:val="20"/>
                <w:szCs w:val="20"/>
              </w:rPr>
              <w:t>Муниципальное казенное учреждение «Служба муниципального заказа в жилищно-коммунальном хозяйстве»</w:t>
            </w:r>
          </w:p>
        </w:tc>
        <w:tc>
          <w:tcPr>
            <w:tcW w:w="1276" w:type="dxa"/>
            <w:tcBorders>
              <w:top w:val="nil"/>
              <w:left w:val="nil"/>
              <w:bottom w:val="single" w:sz="4" w:space="0" w:color="auto"/>
              <w:right w:val="single" w:sz="4" w:space="0" w:color="auto"/>
            </w:tcBorders>
            <w:shd w:val="clear" w:color="auto" w:fill="auto"/>
            <w:hideMark/>
          </w:tcPr>
          <w:p w:rsidR="00502B69" w:rsidRPr="007712F4" w:rsidRDefault="00502B69" w:rsidP="003844EE">
            <w:pPr>
              <w:spacing w:after="0" w:line="240" w:lineRule="auto"/>
              <w:ind w:right="33"/>
              <w:jc w:val="center"/>
              <w:rPr>
                <w:sz w:val="20"/>
                <w:szCs w:val="20"/>
              </w:rPr>
            </w:pPr>
            <w:r w:rsidRPr="007712F4">
              <w:rPr>
                <w:sz w:val="20"/>
                <w:szCs w:val="20"/>
              </w:rPr>
              <w:t>1 297,5</w:t>
            </w:r>
          </w:p>
        </w:tc>
        <w:tc>
          <w:tcPr>
            <w:tcW w:w="1417"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4"/>
              <w:jc w:val="center"/>
              <w:rPr>
                <w:sz w:val="20"/>
                <w:szCs w:val="20"/>
              </w:rPr>
            </w:pPr>
            <w:r w:rsidRPr="00E31CD3">
              <w:rPr>
                <w:sz w:val="20"/>
                <w:szCs w:val="20"/>
              </w:rPr>
              <w:t>5 171,8</w:t>
            </w:r>
          </w:p>
        </w:tc>
        <w:tc>
          <w:tcPr>
            <w:tcW w:w="1559"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33"/>
              <w:jc w:val="center"/>
              <w:rPr>
                <w:sz w:val="20"/>
                <w:szCs w:val="20"/>
              </w:rPr>
            </w:pPr>
            <w:r w:rsidRPr="00E31CD3">
              <w:rPr>
                <w:sz w:val="20"/>
                <w:szCs w:val="20"/>
              </w:rPr>
              <w:t>5 171,8</w:t>
            </w:r>
          </w:p>
        </w:tc>
        <w:tc>
          <w:tcPr>
            <w:tcW w:w="1276" w:type="dxa"/>
            <w:tcBorders>
              <w:top w:val="nil"/>
              <w:left w:val="nil"/>
              <w:bottom w:val="single" w:sz="4" w:space="0" w:color="auto"/>
              <w:right w:val="single" w:sz="4" w:space="0" w:color="auto"/>
            </w:tcBorders>
            <w:shd w:val="clear" w:color="auto" w:fill="auto"/>
            <w:hideMark/>
          </w:tcPr>
          <w:p w:rsidR="00502B69" w:rsidRPr="00E31CD3" w:rsidRDefault="00502B69" w:rsidP="003844EE">
            <w:pPr>
              <w:spacing w:after="0" w:line="240" w:lineRule="auto"/>
              <w:ind w:right="34"/>
              <w:jc w:val="center"/>
              <w:rPr>
                <w:sz w:val="20"/>
                <w:szCs w:val="20"/>
              </w:rPr>
            </w:pPr>
            <w:r w:rsidRPr="00E31CD3">
              <w:rPr>
                <w:sz w:val="20"/>
                <w:szCs w:val="20"/>
              </w:rPr>
              <w:t>100%</w:t>
            </w:r>
          </w:p>
        </w:tc>
      </w:tr>
      <w:tr w:rsidR="00502B69" w:rsidRPr="00CD5241" w:rsidTr="003844EE">
        <w:trPr>
          <w:trHeight w:val="557"/>
        </w:trPr>
        <w:tc>
          <w:tcPr>
            <w:tcW w:w="567" w:type="dxa"/>
            <w:tcBorders>
              <w:top w:val="nil"/>
              <w:left w:val="single" w:sz="4" w:space="0" w:color="auto"/>
              <w:bottom w:val="single" w:sz="4" w:space="0" w:color="auto"/>
              <w:right w:val="single" w:sz="4" w:space="0" w:color="auto"/>
            </w:tcBorders>
          </w:tcPr>
          <w:p w:rsidR="00502B69" w:rsidRPr="00164CE1" w:rsidRDefault="00502B69" w:rsidP="003844EE">
            <w:pPr>
              <w:spacing w:after="0" w:line="240" w:lineRule="auto"/>
              <w:ind w:right="424"/>
              <w:jc w:val="center"/>
              <w:rPr>
                <w:bCs/>
                <w:sz w:val="20"/>
                <w:szCs w:val="20"/>
              </w:rPr>
            </w:pPr>
            <w:r w:rsidRPr="00164CE1">
              <w:rPr>
                <w:bCs/>
                <w:sz w:val="20"/>
                <w:szCs w:val="20"/>
              </w:rPr>
              <w:t>3</w:t>
            </w:r>
          </w:p>
        </w:tc>
        <w:tc>
          <w:tcPr>
            <w:tcW w:w="3261" w:type="dxa"/>
            <w:tcBorders>
              <w:top w:val="nil"/>
              <w:left w:val="single" w:sz="4" w:space="0" w:color="auto"/>
              <w:bottom w:val="single" w:sz="4" w:space="0" w:color="auto"/>
              <w:right w:val="single" w:sz="4" w:space="0" w:color="auto"/>
            </w:tcBorders>
            <w:shd w:val="clear" w:color="auto" w:fill="auto"/>
            <w:hideMark/>
          </w:tcPr>
          <w:p w:rsidR="00502B69" w:rsidRPr="00164CE1" w:rsidRDefault="00502B69" w:rsidP="003844EE">
            <w:pPr>
              <w:spacing w:after="0" w:line="240" w:lineRule="auto"/>
              <w:ind w:right="424"/>
              <w:jc w:val="left"/>
              <w:rPr>
                <w:sz w:val="20"/>
                <w:szCs w:val="20"/>
              </w:rPr>
            </w:pPr>
            <w:r w:rsidRPr="00164CE1">
              <w:rPr>
                <w:bCs/>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hideMark/>
          </w:tcPr>
          <w:p w:rsidR="00502B69" w:rsidRPr="007712F4" w:rsidRDefault="00502B69" w:rsidP="003844EE">
            <w:pPr>
              <w:spacing w:after="0" w:line="240" w:lineRule="auto"/>
              <w:ind w:right="118"/>
              <w:jc w:val="center"/>
              <w:rPr>
                <w:sz w:val="20"/>
                <w:szCs w:val="20"/>
              </w:rPr>
            </w:pPr>
            <w:r w:rsidRPr="007712F4">
              <w:rPr>
                <w:sz w:val="20"/>
                <w:szCs w:val="20"/>
              </w:rPr>
              <w:t>6 851,0</w:t>
            </w:r>
          </w:p>
        </w:tc>
        <w:tc>
          <w:tcPr>
            <w:tcW w:w="1417"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260"/>
              <w:jc w:val="center"/>
              <w:rPr>
                <w:sz w:val="20"/>
                <w:szCs w:val="20"/>
              </w:rPr>
            </w:pPr>
            <w:r w:rsidRPr="00E31CD3">
              <w:rPr>
                <w:sz w:val="20"/>
                <w:szCs w:val="20"/>
              </w:rPr>
              <w:t xml:space="preserve">      4 051,4</w:t>
            </w:r>
          </w:p>
        </w:tc>
        <w:tc>
          <w:tcPr>
            <w:tcW w:w="1559" w:type="dxa"/>
            <w:tcBorders>
              <w:top w:val="nil"/>
              <w:left w:val="nil"/>
              <w:bottom w:val="single" w:sz="4" w:space="0" w:color="auto"/>
              <w:right w:val="single" w:sz="4" w:space="0" w:color="auto"/>
            </w:tcBorders>
            <w:shd w:val="clear" w:color="auto" w:fill="auto"/>
          </w:tcPr>
          <w:p w:rsidR="00502B69" w:rsidRPr="00E31CD3" w:rsidRDefault="00502B69" w:rsidP="003844EE">
            <w:pPr>
              <w:spacing w:after="0" w:line="240" w:lineRule="auto"/>
              <w:ind w:right="118"/>
              <w:jc w:val="center"/>
              <w:rPr>
                <w:sz w:val="20"/>
                <w:szCs w:val="20"/>
              </w:rPr>
            </w:pPr>
            <w:r w:rsidRPr="00E31CD3">
              <w:rPr>
                <w:sz w:val="20"/>
                <w:szCs w:val="20"/>
              </w:rPr>
              <w:t xml:space="preserve"> 4 051,4</w:t>
            </w:r>
          </w:p>
        </w:tc>
        <w:tc>
          <w:tcPr>
            <w:tcW w:w="1276" w:type="dxa"/>
            <w:tcBorders>
              <w:top w:val="nil"/>
              <w:left w:val="nil"/>
              <w:bottom w:val="single" w:sz="4" w:space="0" w:color="auto"/>
              <w:right w:val="single" w:sz="4" w:space="0" w:color="auto"/>
            </w:tcBorders>
            <w:shd w:val="clear" w:color="auto" w:fill="auto"/>
            <w:hideMark/>
          </w:tcPr>
          <w:p w:rsidR="00502B69" w:rsidRPr="00E31CD3" w:rsidRDefault="00502B69" w:rsidP="003844EE">
            <w:pPr>
              <w:spacing w:after="0" w:line="240" w:lineRule="auto"/>
              <w:ind w:right="119"/>
              <w:jc w:val="center"/>
              <w:rPr>
                <w:sz w:val="20"/>
                <w:szCs w:val="20"/>
              </w:rPr>
            </w:pPr>
            <w:r w:rsidRPr="00E31CD3">
              <w:rPr>
                <w:sz w:val="20"/>
                <w:szCs w:val="20"/>
              </w:rPr>
              <w:t>100%</w:t>
            </w:r>
          </w:p>
        </w:tc>
      </w:tr>
    </w:tbl>
    <w:p w:rsidR="00502B69" w:rsidRPr="00CD5241" w:rsidRDefault="00502B69" w:rsidP="00502B69">
      <w:pPr>
        <w:pStyle w:val="ae"/>
        <w:tabs>
          <w:tab w:val="left" w:pos="0"/>
        </w:tabs>
        <w:suppressAutoHyphens/>
        <w:spacing w:before="0" w:beforeAutospacing="0" w:after="0" w:afterAutospacing="0" w:line="276" w:lineRule="auto"/>
        <w:ind w:right="424"/>
        <w:jc w:val="both"/>
        <w:rPr>
          <w:highlight w:val="yellow"/>
        </w:rPr>
      </w:pPr>
    </w:p>
    <w:p w:rsidR="00502B69" w:rsidRPr="007157A0" w:rsidRDefault="00502B69" w:rsidP="00502B69">
      <w:pPr>
        <w:pStyle w:val="ae"/>
        <w:tabs>
          <w:tab w:val="left" w:pos="0"/>
        </w:tabs>
        <w:suppressAutoHyphens/>
        <w:spacing w:before="0" w:beforeAutospacing="0" w:after="0" w:afterAutospacing="0" w:line="276" w:lineRule="auto"/>
        <w:ind w:firstLine="709"/>
      </w:pPr>
      <w:r w:rsidRPr="007157A0">
        <w:t>Рисунок 3.15.2.</w:t>
      </w:r>
    </w:p>
    <w:p w:rsidR="00502B69" w:rsidRPr="007157A0" w:rsidRDefault="00502B69" w:rsidP="00502B69">
      <w:pPr>
        <w:pStyle w:val="ae"/>
        <w:tabs>
          <w:tab w:val="left" w:pos="0"/>
        </w:tabs>
        <w:suppressAutoHyphens/>
        <w:spacing w:before="0" w:beforeAutospacing="0" w:after="0" w:afterAutospacing="0" w:line="276" w:lineRule="auto"/>
        <w:ind w:firstLine="709"/>
      </w:pPr>
    </w:p>
    <w:p w:rsidR="00502B69" w:rsidRPr="007D66CB" w:rsidRDefault="00502B69" w:rsidP="00502B69">
      <w:pPr>
        <w:pStyle w:val="ae"/>
        <w:tabs>
          <w:tab w:val="left" w:pos="459"/>
        </w:tabs>
        <w:suppressAutoHyphens/>
        <w:spacing w:before="0" w:beforeAutospacing="0" w:after="0" w:afterAutospacing="0" w:line="276" w:lineRule="auto"/>
        <w:jc w:val="center"/>
        <w:rPr>
          <w:b/>
          <w:sz w:val="28"/>
          <w:szCs w:val="28"/>
        </w:rPr>
      </w:pPr>
      <w:r w:rsidRPr="007157A0">
        <w:rPr>
          <w:b/>
          <w:sz w:val="28"/>
          <w:szCs w:val="28"/>
        </w:rPr>
        <w:t>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 тыс. рублей</w:t>
      </w:r>
    </w:p>
    <w:p w:rsidR="00502B69" w:rsidRDefault="00502B69" w:rsidP="00502B69">
      <w:pPr>
        <w:pStyle w:val="ae"/>
        <w:tabs>
          <w:tab w:val="left" w:pos="459"/>
        </w:tabs>
        <w:suppressAutoHyphens/>
        <w:spacing w:before="0" w:beforeAutospacing="0" w:after="0" w:afterAutospacing="0" w:line="276" w:lineRule="auto"/>
        <w:ind w:right="424" w:firstLine="709"/>
        <w:rPr>
          <w:highlight w:val="yellow"/>
        </w:rPr>
      </w:pPr>
    </w:p>
    <w:p w:rsidR="00502B69" w:rsidRDefault="00502B69" w:rsidP="00502B69">
      <w:pPr>
        <w:pStyle w:val="ae"/>
        <w:tabs>
          <w:tab w:val="left" w:pos="459"/>
        </w:tabs>
        <w:suppressAutoHyphens/>
        <w:spacing w:before="0" w:beforeAutospacing="0" w:after="0" w:afterAutospacing="0" w:line="276" w:lineRule="auto"/>
        <w:ind w:right="424" w:firstLine="709"/>
        <w:rPr>
          <w:highlight w:val="yellow"/>
        </w:rPr>
      </w:pPr>
      <w:r>
        <w:rPr>
          <w:noProof/>
        </w:rPr>
        <w:drawing>
          <wp:inline distT="0" distB="0" distL="0" distR="0" wp14:anchorId="1EC693A0" wp14:editId="431A198C">
            <wp:extent cx="5334000" cy="2967990"/>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2B69" w:rsidRDefault="00502B69" w:rsidP="00502B69">
      <w:pPr>
        <w:pStyle w:val="ae"/>
        <w:tabs>
          <w:tab w:val="left" w:pos="459"/>
        </w:tabs>
        <w:suppressAutoHyphens/>
        <w:spacing w:before="0" w:beforeAutospacing="0" w:after="0" w:afterAutospacing="0" w:line="276" w:lineRule="auto"/>
        <w:ind w:right="424"/>
        <w:jc w:val="both"/>
        <w:rPr>
          <w:highlight w:val="yellow"/>
        </w:rPr>
      </w:pPr>
    </w:p>
    <w:p w:rsidR="00502B69" w:rsidRPr="00CD5241" w:rsidRDefault="00502B69" w:rsidP="00502B69">
      <w:pPr>
        <w:pStyle w:val="ae"/>
        <w:tabs>
          <w:tab w:val="left" w:pos="459"/>
        </w:tabs>
        <w:suppressAutoHyphens/>
        <w:spacing w:before="0" w:beforeAutospacing="0" w:after="0" w:afterAutospacing="0" w:line="276" w:lineRule="auto"/>
        <w:ind w:right="424" w:firstLine="709"/>
        <w:rPr>
          <w:highlight w:val="yellow"/>
        </w:rPr>
      </w:pPr>
    </w:p>
    <w:p w:rsidR="00502B69" w:rsidRPr="008274B2" w:rsidRDefault="00502B69" w:rsidP="00502B69">
      <w:pPr>
        <w:pStyle w:val="ae"/>
        <w:tabs>
          <w:tab w:val="left" w:pos="459"/>
        </w:tabs>
        <w:suppressAutoHyphens/>
        <w:spacing w:before="0" w:beforeAutospacing="0" w:after="0" w:afterAutospacing="0" w:line="276" w:lineRule="auto"/>
        <w:ind w:firstLine="709"/>
      </w:pPr>
      <w:r w:rsidRPr="008274B2">
        <w:t>Таблица 3.15.2.</w:t>
      </w:r>
    </w:p>
    <w:p w:rsidR="00502B69" w:rsidRPr="008274B2" w:rsidRDefault="00502B69" w:rsidP="00502B69">
      <w:pPr>
        <w:pStyle w:val="ae"/>
        <w:tabs>
          <w:tab w:val="left" w:pos="459"/>
        </w:tabs>
        <w:suppressAutoHyphens/>
        <w:spacing w:before="0" w:beforeAutospacing="0" w:after="0" w:afterAutospacing="0" w:line="276" w:lineRule="auto"/>
        <w:jc w:val="center"/>
        <w:rPr>
          <w:b/>
          <w:sz w:val="28"/>
          <w:szCs w:val="28"/>
        </w:rPr>
      </w:pPr>
      <w:r w:rsidRPr="008274B2">
        <w:rPr>
          <w:b/>
          <w:sz w:val="28"/>
          <w:szCs w:val="28"/>
        </w:rPr>
        <w:t>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w:t>
      </w:r>
    </w:p>
    <w:p w:rsidR="00FB5812" w:rsidRDefault="00502B69" w:rsidP="00502B69">
      <w:pPr>
        <w:pStyle w:val="ae"/>
        <w:tabs>
          <w:tab w:val="left" w:pos="459"/>
        </w:tabs>
        <w:suppressAutoHyphens/>
        <w:spacing w:before="0" w:beforeAutospacing="0" w:after="0" w:afterAutospacing="0" w:line="276" w:lineRule="auto"/>
        <w:ind w:firstLine="709"/>
        <w:jc w:val="center"/>
        <w:rPr>
          <w:sz w:val="22"/>
          <w:szCs w:val="22"/>
        </w:rPr>
      </w:pPr>
      <w:r w:rsidRPr="008274B2">
        <w:rPr>
          <w:sz w:val="22"/>
          <w:szCs w:val="22"/>
        </w:rPr>
        <w:t xml:space="preserve">                                                                                                                             </w:t>
      </w:r>
    </w:p>
    <w:p w:rsidR="00FB5812" w:rsidRDefault="00FB5812" w:rsidP="00502B69">
      <w:pPr>
        <w:pStyle w:val="ae"/>
        <w:tabs>
          <w:tab w:val="left" w:pos="459"/>
        </w:tabs>
        <w:suppressAutoHyphens/>
        <w:spacing w:before="0" w:beforeAutospacing="0" w:after="0" w:afterAutospacing="0" w:line="276" w:lineRule="auto"/>
        <w:ind w:firstLine="709"/>
        <w:jc w:val="center"/>
        <w:rPr>
          <w:sz w:val="22"/>
          <w:szCs w:val="22"/>
        </w:rPr>
      </w:pPr>
    </w:p>
    <w:p w:rsidR="00502B69" w:rsidRPr="008274B2" w:rsidRDefault="00502B69" w:rsidP="00FB5812">
      <w:pPr>
        <w:pStyle w:val="ae"/>
        <w:tabs>
          <w:tab w:val="left" w:pos="459"/>
        </w:tabs>
        <w:suppressAutoHyphens/>
        <w:spacing w:before="0" w:beforeAutospacing="0" w:after="0" w:afterAutospacing="0" w:line="276" w:lineRule="auto"/>
        <w:ind w:firstLine="709"/>
      </w:pPr>
      <w:r w:rsidRPr="008274B2">
        <w:rPr>
          <w:sz w:val="22"/>
          <w:szCs w:val="22"/>
        </w:rPr>
        <w:t xml:space="preserve"> (</w:t>
      </w:r>
      <w:r w:rsidRPr="008274B2">
        <w:t>тыс. рублей)</w:t>
      </w:r>
    </w:p>
    <w:tbl>
      <w:tblPr>
        <w:tblW w:w="9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1418"/>
        <w:gridCol w:w="1417"/>
        <w:gridCol w:w="1286"/>
      </w:tblGrid>
      <w:tr w:rsidR="00502B69" w:rsidRPr="00CD5241" w:rsidTr="003844EE">
        <w:trPr>
          <w:trHeight w:val="300"/>
          <w:tblHeader/>
        </w:trPr>
        <w:tc>
          <w:tcPr>
            <w:tcW w:w="3970" w:type="dxa"/>
            <w:vMerge w:val="restart"/>
            <w:hideMark/>
          </w:tcPr>
          <w:p w:rsidR="00502B69" w:rsidRPr="00DF2594" w:rsidRDefault="00502B69" w:rsidP="003844EE">
            <w:pPr>
              <w:spacing w:after="0" w:line="240" w:lineRule="auto"/>
              <w:ind w:right="34"/>
              <w:jc w:val="center"/>
              <w:rPr>
                <w:sz w:val="20"/>
                <w:szCs w:val="20"/>
              </w:rPr>
            </w:pPr>
            <w:r w:rsidRPr="00DF2594">
              <w:rPr>
                <w:sz w:val="20"/>
                <w:szCs w:val="20"/>
              </w:rPr>
              <w:lastRenderedPageBreak/>
              <w:t>Наименование муниципальной программы, подпрограммы муниципальной программы, мероприятия муниципальной программы</w:t>
            </w:r>
          </w:p>
        </w:tc>
        <w:tc>
          <w:tcPr>
            <w:tcW w:w="1417" w:type="dxa"/>
            <w:vMerge w:val="restart"/>
            <w:noWrap/>
            <w:hideMark/>
          </w:tcPr>
          <w:p w:rsidR="00502B69" w:rsidRPr="00DF2594" w:rsidRDefault="00502B69" w:rsidP="003844EE">
            <w:pPr>
              <w:spacing w:after="0" w:line="240" w:lineRule="auto"/>
              <w:ind w:right="424"/>
              <w:jc w:val="center"/>
              <w:rPr>
                <w:sz w:val="20"/>
                <w:szCs w:val="20"/>
              </w:rPr>
            </w:pPr>
          </w:p>
          <w:p w:rsidR="00502B69" w:rsidRPr="00DF2594" w:rsidRDefault="00502B69" w:rsidP="003844EE">
            <w:pPr>
              <w:spacing w:after="0" w:line="240" w:lineRule="auto"/>
              <w:ind w:right="33"/>
              <w:jc w:val="center"/>
              <w:rPr>
                <w:sz w:val="20"/>
                <w:szCs w:val="20"/>
              </w:rPr>
            </w:pPr>
            <w:r w:rsidRPr="00DF2594">
              <w:rPr>
                <w:sz w:val="20"/>
                <w:szCs w:val="20"/>
              </w:rPr>
              <w:t>2021 год (отчет)</w:t>
            </w:r>
          </w:p>
        </w:tc>
        <w:tc>
          <w:tcPr>
            <w:tcW w:w="4121" w:type="dxa"/>
            <w:gridSpan w:val="3"/>
            <w:noWrap/>
            <w:hideMark/>
          </w:tcPr>
          <w:p w:rsidR="00502B69" w:rsidRPr="00DF2594" w:rsidRDefault="00502B69" w:rsidP="003844EE">
            <w:pPr>
              <w:spacing w:after="0" w:line="240" w:lineRule="auto"/>
              <w:ind w:right="424"/>
              <w:jc w:val="center"/>
              <w:rPr>
                <w:sz w:val="20"/>
                <w:szCs w:val="20"/>
              </w:rPr>
            </w:pPr>
            <w:r w:rsidRPr="00DF2594">
              <w:rPr>
                <w:sz w:val="20"/>
                <w:szCs w:val="20"/>
              </w:rPr>
              <w:t xml:space="preserve">2022 год </w:t>
            </w:r>
          </w:p>
        </w:tc>
      </w:tr>
      <w:tr w:rsidR="00502B69" w:rsidRPr="00CD5241" w:rsidTr="003844EE">
        <w:trPr>
          <w:trHeight w:val="575"/>
          <w:tblHeader/>
        </w:trPr>
        <w:tc>
          <w:tcPr>
            <w:tcW w:w="3970" w:type="dxa"/>
            <w:vMerge/>
            <w:hideMark/>
          </w:tcPr>
          <w:p w:rsidR="00502B69" w:rsidRPr="00DF2594" w:rsidRDefault="00502B69" w:rsidP="003844EE">
            <w:pPr>
              <w:spacing w:after="0" w:line="240" w:lineRule="auto"/>
              <w:ind w:right="34"/>
              <w:rPr>
                <w:sz w:val="20"/>
                <w:szCs w:val="20"/>
              </w:rPr>
            </w:pPr>
          </w:p>
        </w:tc>
        <w:tc>
          <w:tcPr>
            <w:tcW w:w="1417" w:type="dxa"/>
            <w:vMerge/>
            <w:hideMark/>
          </w:tcPr>
          <w:p w:rsidR="00502B69" w:rsidRPr="00DF2594" w:rsidRDefault="00502B69" w:rsidP="003844EE">
            <w:pPr>
              <w:spacing w:after="0" w:line="240" w:lineRule="auto"/>
              <w:ind w:right="424"/>
              <w:rPr>
                <w:sz w:val="20"/>
                <w:szCs w:val="20"/>
              </w:rPr>
            </w:pPr>
          </w:p>
        </w:tc>
        <w:tc>
          <w:tcPr>
            <w:tcW w:w="1418" w:type="dxa"/>
            <w:hideMark/>
          </w:tcPr>
          <w:p w:rsidR="00502B69" w:rsidRPr="00DF2594" w:rsidRDefault="00502B69" w:rsidP="003844EE">
            <w:pPr>
              <w:jc w:val="center"/>
              <w:rPr>
                <w:rFonts w:eastAsia="Times New Roman"/>
                <w:color w:val="000000" w:themeColor="text1"/>
                <w:sz w:val="20"/>
                <w:szCs w:val="20"/>
              </w:rPr>
            </w:pPr>
            <w:r w:rsidRPr="00DF2594">
              <w:rPr>
                <w:rFonts w:eastAsia="Times New Roman"/>
                <w:color w:val="000000" w:themeColor="text1"/>
                <w:sz w:val="20"/>
                <w:szCs w:val="20"/>
              </w:rPr>
              <w:t>Уточненный план</w:t>
            </w:r>
          </w:p>
        </w:tc>
        <w:tc>
          <w:tcPr>
            <w:tcW w:w="1417" w:type="dxa"/>
            <w:hideMark/>
          </w:tcPr>
          <w:p w:rsidR="00502B69" w:rsidRPr="00DF2594" w:rsidRDefault="00502B69" w:rsidP="003844EE">
            <w:pPr>
              <w:jc w:val="center"/>
              <w:rPr>
                <w:rFonts w:eastAsia="Times New Roman"/>
                <w:color w:val="000000" w:themeColor="text1"/>
                <w:sz w:val="20"/>
                <w:szCs w:val="20"/>
              </w:rPr>
            </w:pPr>
            <w:r w:rsidRPr="00DF2594">
              <w:rPr>
                <w:rFonts w:eastAsia="Times New Roman"/>
                <w:color w:val="000000" w:themeColor="text1"/>
                <w:sz w:val="20"/>
                <w:szCs w:val="20"/>
              </w:rPr>
              <w:t>Исполнение</w:t>
            </w:r>
          </w:p>
        </w:tc>
        <w:tc>
          <w:tcPr>
            <w:tcW w:w="1286" w:type="dxa"/>
            <w:hideMark/>
          </w:tcPr>
          <w:p w:rsidR="00502B69" w:rsidRPr="00DF2594" w:rsidRDefault="00502B69" w:rsidP="003844EE">
            <w:pPr>
              <w:spacing w:after="0"/>
              <w:jc w:val="center"/>
              <w:rPr>
                <w:rFonts w:eastAsia="Times New Roman"/>
                <w:color w:val="000000" w:themeColor="text1"/>
                <w:sz w:val="20"/>
                <w:szCs w:val="20"/>
              </w:rPr>
            </w:pPr>
            <w:r w:rsidRPr="00DF2594">
              <w:rPr>
                <w:rFonts w:eastAsia="Times New Roman"/>
                <w:color w:val="000000" w:themeColor="text1"/>
                <w:sz w:val="20"/>
                <w:szCs w:val="20"/>
              </w:rPr>
              <w:t>% исполнения</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Всего по муниципальной программе, в том числе:</w:t>
            </w:r>
          </w:p>
        </w:tc>
        <w:tc>
          <w:tcPr>
            <w:tcW w:w="1417" w:type="dxa"/>
            <w:hideMark/>
          </w:tcPr>
          <w:p w:rsidR="00502B69" w:rsidRPr="005026A8" w:rsidRDefault="00502B69" w:rsidP="003844EE">
            <w:pPr>
              <w:spacing w:after="0" w:line="240" w:lineRule="auto"/>
              <w:ind w:right="33"/>
              <w:jc w:val="center"/>
              <w:rPr>
                <w:sz w:val="20"/>
                <w:szCs w:val="20"/>
              </w:rPr>
            </w:pPr>
            <w:r w:rsidRPr="005026A8">
              <w:rPr>
                <w:sz w:val="20"/>
                <w:szCs w:val="20"/>
              </w:rPr>
              <w:t>138 669,6</w:t>
            </w:r>
          </w:p>
        </w:tc>
        <w:tc>
          <w:tcPr>
            <w:tcW w:w="1418" w:type="dxa"/>
          </w:tcPr>
          <w:p w:rsidR="00502B69" w:rsidRPr="00DC1C0C" w:rsidRDefault="00502B69" w:rsidP="003844EE">
            <w:pPr>
              <w:spacing w:after="0" w:line="240" w:lineRule="auto"/>
              <w:ind w:right="34"/>
              <w:jc w:val="center"/>
              <w:rPr>
                <w:sz w:val="20"/>
                <w:szCs w:val="20"/>
              </w:rPr>
            </w:pPr>
            <w:r w:rsidRPr="00DC1C0C">
              <w:rPr>
                <w:sz w:val="20"/>
                <w:szCs w:val="20"/>
              </w:rPr>
              <w:t>163 950,0</w:t>
            </w:r>
          </w:p>
        </w:tc>
        <w:tc>
          <w:tcPr>
            <w:tcW w:w="1417" w:type="dxa"/>
          </w:tcPr>
          <w:p w:rsidR="00502B69" w:rsidRPr="00DC1C0C" w:rsidRDefault="00502B69" w:rsidP="003844EE">
            <w:pPr>
              <w:spacing w:after="0" w:line="240" w:lineRule="auto"/>
              <w:ind w:right="33"/>
              <w:jc w:val="center"/>
              <w:rPr>
                <w:sz w:val="20"/>
                <w:szCs w:val="20"/>
              </w:rPr>
            </w:pPr>
            <w:r w:rsidRPr="00DC1C0C">
              <w:rPr>
                <w:sz w:val="20"/>
                <w:szCs w:val="20"/>
              </w:rPr>
              <w:t>162 805,2</w:t>
            </w:r>
          </w:p>
        </w:tc>
        <w:tc>
          <w:tcPr>
            <w:tcW w:w="1286" w:type="dxa"/>
            <w:hideMark/>
          </w:tcPr>
          <w:p w:rsidR="00502B69" w:rsidRPr="00DC1C0C" w:rsidRDefault="00502B69" w:rsidP="003844EE">
            <w:pPr>
              <w:spacing w:after="0" w:line="240" w:lineRule="auto"/>
              <w:ind w:right="34"/>
              <w:jc w:val="center"/>
              <w:rPr>
                <w:sz w:val="20"/>
                <w:szCs w:val="20"/>
              </w:rPr>
            </w:pPr>
            <w:r w:rsidRPr="00DC1C0C">
              <w:rPr>
                <w:sz w:val="20"/>
                <w:szCs w:val="20"/>
              </w:rPr>
              <w:t>99,3%</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hideMark/>
          </w:tcPr>
          <w:p w:rsidR="00502B69" w:rsidRPr="005026A8" w:rsidRDefault="00502B69" w:rsidP="003844EE">
            <w:pPr>
              <w:spacing w:after="0" w:line="240" w:lineRule="auto"/>
              <w:ind w:right="33"/>
              <w:jc w:val="center"/>
              <w:rPr>
                <w:sz w:val="20"/>
                <w:szCs w:val="20"/>
              </w:rPr>
            </w:pPr>
            <w:r w:rsidRPr="005026A8">
              <w:rPr>
                <w:sz w:val="20"/>
                <w:szCs w:val="20"/>
              </w:rPr>
              <w:t>138 669,6</w:t>
            </w:r>
          </w:p>
        </w:tc>
        <w:tc>
          <w:tcPr>
            <w:tcW w:w="1418" w:type="dxa"/>
          </w:tcPr>
          <w:p w:rsidR="00502B69" w:rsidRPr="00DC1C0C" w:rsidRDefault="00502B69" w:rsidP="003844EE">
            <w:pPr>
              <w:spacing w:after="0" w:line="240" w:lineRule="auto"/>
              <w:ind w:right="34"/>
              <w:jc w:val="center"/>
              <w:rPr>
                <w:sz w:val="20"/>
                <w:szCs w:val="20"/>
              </w:rPr>
            </w:pPr>
            <w:r w:rsidRPr="00DC1C0C">
              <w:rPr>
                <w:sz w:val="20"/>
                <w:szCs w:val="20"/>
              </w:rPr>
              <w:t>163 950,0</w:t>
            </w:r>
          </w:p>
        </w:tc>
        <w:tc>
          <w:tcPr>
            <w:tcW w:w="1417" w:type="dxa"/>
          </w:tcPr>
          <w:p w:rsidR="00502B69" w:rsidRPr="00DC1C0C" w:rsidRDefault="00502B69" w:rsidP="003844EE">
            <w:pPr>
              <w:spacing w:after="0" w:line="240" w:lineRule="auto"/>
              <w:ind w:right="33"/>
              <w:jc w:val="center"/>
              <w:rPr>
                <w:sz w:val="20"/>
                <w:szCs w:val="20"/>
              </w:rPr>
            </w:pPr>
            <w:r w:rsidRPr="00DC1C0C">
              <w:rPr>
                <w:sz w:val="20"/>
                <w:szCs w:val="20"/>
              </w:rPr>
              <w:t>162 805,2</w:t>
            </w:r>
          </w:p>
        </w:tc>
        <w:tc>
          <w:tcPr>
            <w:tcW w:w="1286" w:type="dxa"/>
            <w:hideMark/>
          </w:tcPr>
          <w:p w:rsidR="00502B69" w:rsidRPr="00DC1C0C" w:rsidRDefault="00502B69" w:rsidP="003844EE">
            <w:pPr>
              <w:spacing w:after="0" w:line="240" w:lineRule="auto"/>
              <w:ind w:right="34"/>
              <w:jc w:val="center"/>
              <w:rPr>
                <w:sz w:val="20"/>
                <w:szCs w:val="20"/>
              </w:rPr>
            </w:pPr>
            <w:r w:rsidRPr="00DC1C0C">
              <w:rPr>
                <w:sz w:val="20"/>
                <w:szCs w:val="20"/>
              </w:rPr>
              <w:t>99,3%</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Подпрограмма </w:t>
            </w:r>
            <w:r w:rsidRPr="0005666A">
              <w:rPr>
                <w:sz w:val="20"/>
                <w:szCs w:val="20"/>
                <w:lang w:val="en-US"/>
              </w:rPr>
              <w:t>I</w:t>
            </w:r>
            <w:r w:rsidRPr="0005666A">
              <w:rPr>
                <w:sz w:val="20"/>
                <w:szCs w:val="20"/>
              </w:rPr>
              <w:t xml:space="preserve"> «Защита населения и территории от чрезвычайных ситуаций, обеспечение пожарной безопасности города Ханты-Мансийска», всего, в том числе:</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21 100,1</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19 839,2</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19 243,5</w:t>
            </w:r>
          </w:p>
        </w:tc>
        <w:tc>
          <w:tcPr>
            <w:tcW w:w="1286" w:type="dxa"/>
            <w:hideMark/>
          </w:tcPr>
          <w:p w:rsidR="00502B69" w:rsidRPr="00DC1C0C" w:rsidRDefault="00502B69" w:rsidP="0008090E">
            <w:pPr>
              <w:spacing w:after="0" w:line="240" w:lineRule="auto"/>
              <w:ind w:right="44"/>
              <w:jc w:val="center"/>
              <w:rPr>
                <w:sz w:val="20"/>
                <w:szCs w:val="20"/>
              </w:rPr>
            </w:pPr>
            <w:r w:rsidRPr="00DC1C0C">
              <w:rPr>
                <w:sz w:val="20"/>
                <w:szCs w:val="20"/>
              </w:rPr>
              <w:t>97%</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21 100,1</w:t>
            </w:r>
          </w:p>
        </w:tc>
        <w:tc>
          <w:tcPr>
            <w:tcW w:w="1418" w:type="dxa"/>
          </w:tcPr>
          <w:p w:rsidR="00502B69" w:rsidRPr="00DC1C0C" w:rsidRDefault="00502B69" w:rsidP="003844EE">
            <w:pPr>
              <w:spacing w:after="0" w:line="240" w:lineRule="auto"/>
              <w:ind w:left="-129"/>
              <w:jc w:val="center"/>
              <w:rPr>
                <w:sz w:val="20"/>
                <w:szCs w:val="20"/>
              </w:rPr>
            </w:pPr>
            <w:r w:rsidRPr="00DC1C0C">
              <w:rPr>
                <w:sz w:val="20"/>
                <w:szCs w:val="20"/>
              </w:rPr>
              <w:t>19 839,2</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19 243,5</w:t>
            </w:r>
          </w:p>
        </w:tc>
        <w:tc>
          <w:tcPr>
            <w:tcW w:w="1286" w:type="dxa"/>
            <w:hideMark/>
          </w:tcPr>
          <w:p w:rsidR="00502B69" w:rsidRPr="00DC1C0C" w:rsidRDefault="00502B69" w:rsidP="0008090E">
            <w:pPr>
              <w:spacing w:after="0" w:line="240" w:lineRule="auto"/>
              <w:ind w:right="44"/>
              <w:jc w:val="center"/>
              <w:rPr>
                <w:sz w:val="20"/>
                <w:szCs w:val="20"/>
              </w:rPr>
            </w:pPr>
            <w:r w:rsidRPr="00DC1C0C">
              <w:rPr>
                <w:sz w:val="20"/>
                <w:szCs w:val="20"/>
              </w:rPr>
              <w:t>97%</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 всего, в том числе:</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10 736,2</w:t>
            </w:r>
          </w:p>
        </w:tc>
        <w:tc>
          <w:tcPr>
            <w:tcW w:w="1418" w:type="dxa"/>
          </w:tcPr>
          <w:p w:rsidR="00502B69" w:rsidRPr="00DC1C0C" w:rsidRDefault="00502B69" w:rsidP="003844EE">
            <w:pPr>
              <w:spacing w:after="0" w:line="240" w:lineRule="auto"/>
              <w:ind w:left="154" w:hanging="283"/>
              <w:jc w:val="center"/>
              <w:rPr>
                <w:sz w:val="20"/>
                <w:szCs w:val="20"/>
              </w:rPr>
            </w:pPr>
            <w:r w:rsidRPr="00DC1C0C">
              <w:rPr>
                <w:sz w:val="20"/>
                <w:szCs w:val="20"/>
              </w:rPr>
              <w:t xml:space="preserve">  9 182,3</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9 182,3</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100%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 xml:space="preserve">  10 736,2</w:t>
            </w:r>
          </w:p>
        </w:tc>
        <w:tc>
          <w:tcPr>
            <w:tcW w:w="1418" w:type="dxa"/>
          </w:tcPr>
          <w:p w:rsidR="00502B69" w:rsidRPr="00DC1C0C" w:rsidRDefault="00502B69" w:rsidP="003844EE">
            <w:pPr>
              <w:spacing w:after="0" w:line="240" w:lineRule="auto"/>
              <w:ind w:left="154" w:hanging="283"/>
              <w:jc w:val="center"/>
              <w:rPr>
                <w:sz w:val="20"/>
                <w:szCs w:val="20"/>
              </w:rPr>
            </w:pPr>
            <w:r w:rsidRPr="00DC1C0C">
              <w:rPr>
                <w:sz w:val="20"/>
                <w:szCs w:val="20"/>
              </w:rPr>
              <w:t xml:space="preserve">  9 182,3</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9 182,3</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100%</w:t>
            </w:r>
          </w:p>
        </w:tc>
      </w:tr>
      <w:tr w:rsidR="00502B69" w:rsidRPr="00CD5241" w:rsidTr="003844EE">
        <w:trPr>
          <w:trHeight w:val="300"/>
        </w:trPr>
        <w:tc>
          <w:tcPr>
            <w:tcW w:w="3970" w:type="dxa"/>
          </w:tcPr>
          <w:p w:rsidR="00502B69" w:rsidRPr="0005666A" w:rsidRDefault="00502B69" w:rsidP="003844EE">
            <w:pPr>
              <w:spacing w:after="0" w:line="240" w:lineRule="auto"/>
              <w:ind w:right="34"/>
              <w:jc w:val="left"/>
              <w:rPr>
                <w:sz w:val="20"/>
                <w:szCs w:val="20"/>
              </w:rPr>
            </w:pPr>
            <w:r w:rsidRPr="0005666A">
              <w:rPr>
                <w:sz w:val="20"/>
                <w:szCs w:val="20"/>
              </w:rPr>
              <w:t>Основное мероприятие «Совершенствование системы мониторинга и прогнозирования чрезвычайных ситуаций», всего, в том числе:</w:t>
            </w:r>
          </w:p>
        </w:tc>
        <w:tc>
          <w:tcPr>
            <w:tcW w:w="1417" w:type="dxa"/>
          </w:tcPr>
          <w:p w:rsidR="00502B69" w:rsidRPr="005026A8" w:rsidRDefault="00502B69" w:rsidP="003844EE">
            <w:pPr>
              <w:spacing w:after="0" w:line="240" w:lineRule="auto"/>
              <w:ind w:left="134" w:right="32"/>
              <w:jc w:val="center"/>
              <w:rPr>
                <w:sz w:val="20"/>
                <w:szCs w:val="20"/>
              </w:rPr>
            </w:pPr>
            <w:r w:rsidRPr="005026A8">
              <w:rPr>
                <w:sz w:val="20"/>
                <w:szCs w:val="20"/>
              </w:rPr>
              <w:t>10 363,9</w:t>
            </w:r>
          </w:p>
        </w:tc>
        <w:tc>
          <w:tcPr>
            <w:tcW w:w="1418" w:type="dxa"/>
          </w:tcPr>
          <w:p w:rsidR="00502B69" w:rsidRPr="00DC1C0C" w:rsidRDefault="00502B69" w:rsidP="003844EE">
            <w:pPr>
              <w:spacing w:after="0" w:line="240" w:lineRule="auto"/>
              <w:jc w:val="center"/>
              <w:rPr>
                <w:sz w:val="20"/>
                <w:szCs w:val="20"/>
              </w:rPr>
            </w:pPr>
            <w:r w:rsidRPr="00DC1C0C">
              <w:rPr>
                <w:sz w:val="20"/>
                <w:szCs w:val="20"/>
              </w:rPr>
              <w:t>10 656,9</w:t>
            </w:r>
          </w:p>
        </w:tc>
        <w:tc>
          <w:tcPr>
            <w:tcW w:w="1417" w:type="dxa"/>
          </w:tcPr>
          <w:p w:rsidR="00502B69" w:rsidRPr="00DC1C0C" w:rsidRDefault="00502B69" w:rsidP="003844EE">
            <w:pPr>
              <w:spacing w:after="0" w:line="240" w:lineRule="auto"/>
              <w:ind w:left="134" w:right="32"/>
              <w:jc w:val="center"/>
              <w:rPr>
                <w:sz w:val="20"/>
                <w:szCs w:val="20"/>
              </w:rPr>
            </w:pPr>
            <w:r w:rsidRPr="00DC1C0C">
              <w:rPr>
                <w:sz w:val="20"/>
                <w:szCs w:val="20"/>
              </w:rPr>
              <w:t>10 061,2</w:t>
            </w:r>
          </w:p>
        </w:tc>
        <w:tc>
          <w:tcPr>
            <w:tcW w:w="1286" w:type="dxa"/>
          </w:tcPr>
          <w:p w:rsidR="00502B69" w:rsidRPr="00DC1C0C" w:rsidRDefault="00502B69" w:rsidP="003844EE">
            <w:pPr>
              <w:spacing w:after="0" w:line="240" w:lineRule="auto"/>
              <w:ind w:left="156" w:right="44"/>
              <w:jc w:val="both"/>
              <w:rPr>
                <w:sz w:val="20"/>
                <w:szCs w:val="20"/>
              </w:rPr>
            </w:pPr>
            <w:r w:rsidRPr="00DC1C0C">
              <w:rPr>
                <w:sz w:val="20"/>
                <w:szCs w:val="20"/>
              </w:rPr>
              <w:t xml:space="preserve">  94,4%</w:t>
            </w:r>
          </w:p>
        </w:tc>
      </w:tr>
      <w:tr w:rsidR="00502B69" w:rsidRPr="00CD5241" w:rsidTr="003844EE">
        <w:trPr>
          <w:trHeight w:val="300"/>
        </w:trPr>
        <w:tc>
          <w:tcPr>
            <w:tcW w:w="3970" w:type="dxa"/>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tcPr>
          <w:p w:rsidR="00502B69" w:rsidRPr="005026A8" w:rsidRDefault="00502B69" w:rsidP="003844EE">
            <w:pPr>
              <w:spacing w:after="0" w:line="240" w:lineRule="auto"/>
              <w:ind w:left="134" w:right="32"/>
              <w:jc w:val="center"/>
              <w:rPr>
                <w:sz w:val="20"/>
                <w:szCs w:val="20"/>
              </w:rPr>
            </w:pPr>
            <w:r w:rsidRPr="005026A8">
              <w:rPr>
                <w:sz w:val="20"/>
                <w:szCs w:val="20"/>
              </w:rPr>
              <w:t>10 363,9</w:t>
            </w:r>
          </w:p>
        </w:tc>
        <w:tc>
          <w:tcPr>
            <w:tcW w:w="1418" w:type="dxa"/>
          </w:tcPr>
          <w:p w:rsidR="00502B69" w:rsidRPr="00DC1C0C" w:rsidRDefault="00502B69" w:rsidP="003844EE">
            <w:pPr>
              <w:spacing w:after="0" w:line="240" w:lineRule="auto"/>
              <w:jc w:val="center"/>
              <w:rPr>
                <w:sz w:val="20"/>
                <w:szCs w:val="20"/>
              </w:rPr>
            </w:pPr>
            <w:r w:rsidRPr="00DC1C0C">
              <w:rPr>
                <w:sz w:val="20"/>
                <w:szCs w:val="20"/>
              </w:rPr>
              <w:t>10 656,9</w:t>
            </w:r>
          </w:p>
        </w:tc>
        <w:tc>
          <w:tcPr>
            <w:tcW w:w="1417" w:type="dxa"/>
          </w:tcPr>
          <w:p w:rsidR="00502B69" w:rsidRPr="00DC1C0C" w:rsidRDefault="00502B69" w:rsidP="003844EE">
            <w:pPr>
              <w:spacing w:after="0" w:line="240" w:lineRule="auto"/>
              <w:ind w:left="134" w:right="32"/>
              <w:jc w:val="center"/>
              <w:rPr>
                <w:sz w:val="20"/>
                <w:szCs w:val="20"/>
              </w:rPr>
            </w:pPr>
            <w:r w:rsidRPr="00DC1C0C">
              <w:rPr>
                <w:sz w:val="20"/>
                <w:szCs w:val="20"/>
              </w:rPr>
              <w:t>10 061,2</w:t>
            </w:r>
          </w:p>
        </w:tc>
        <w:tc>
          <w:tcPr>
            <w:tcW w:w="1286" w:type="dxa"/>
          </w:tcPr>
          <w:p w:rsidR="00502B69" w:rsidRPr="00DC1C0C" w:rsidRDefault="00502B69" w:rsidP="003844EE">
            <w:pPr>
              <w:spacing w:after="0" w:line="240" w:lineRule="auto"/>
              <w:ind w:left="156" w:right="44"/>
              <w:jc w:val="both"/>
              <w:rPr>
                <w:sz w:val="20"/>
                <w:szCs w:val="20"/>
              </w:rPr>
            </w:pPr>
            <w:r w:rsidRPr="00DC1C0C">
              <w:rPr>
                <w:sz w:val="20"/>
                <w:szCs w:val="20"/>
              </w:rPr>
              <w:t xml:space="preserve">  94,4%</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Подпрограмма </w:t>
            </w:r>
            <w:r w:rsidRPr="0005666A">
              <w:rPr>
                <w:sz w:val="20"/>
                <w:szCs w:val="20"/>
                <w:lang w:val="en-US"/>
              </w:rPr>
              <w:t>II</w:t>
            </w:r>
            <w:r w:rsidRPr="0005666A">
              <w:rPr>
                <w:sz w:val="20"/>
                <w:szCs w:val="20"/>
              </w:rPr>
              <w:t xml:space="preserve"> «Материально-техническое и финансовое обеспечение деятельности МКУ «Управление гражданской защиты населения», всего, в том числе:</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117 569,5</w:t>
            </w:r>
          </w:p>
        </w:tc>
        <w:tc>
          <w:tcPr>
            <w:tcW w:w="1418" w:type="dxa"/>
          </w:tcPr>
          <w:p w:rsidR="00502B69" w:rsidRPr="00DC1C0C" w:rsidRDefault="00502B69" w:rsidP="003844EE">
            <w:pPr>
              <w:spacing w:after="0" w:line="240" w:lineRule="auto"/>
              <w:jc w:val="center"/>
              <w:rPr>
                <w:sz w:val="20"/>
                <w:szCs w:val="20"/>
              </w:rPr>
            </w:pPr>
            <w:r w:rsidRPr="00DC1C0C">
              <w:rPr>
                <w:sz w:val="20"/>
                <w:szCs w:val="20"/>
              </w:rPr>
              <w:t>144 110,8</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143 561,7</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99,6%</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117 569,5</w:t>
            </w:r>
          </w:p>
        </w:tc>
        <w:tc>
          <w:tcPr>
            <w:tcW w:w="1418" w:type="dxa"/>
          </w:tcPr>
          <w:p w:rsidR="00502B69" w:rsidRPr="00DC1C0C" w:rsidRDefault="00502B69" w:rsidP="003844EE">
            <w:pPr>
              <w:spacing w:after="0" w:line="240" w:lineRule="auto"/>
              <w:jc w:val="center"/>
              <w:rPr>
                <w:sz w:val="20"/>
                <w:szCs w:val="20"/>
              </w:rPr>
            </w:pPr>
            <w:r w:rsidRPr="00DC1C0C">
              <w:rPr>
                <w:sz w:val="20"/>
                <w:szCs w:val="20"/>
              </w:rPr>
              <w:t>144 110,8</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143 561,7</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99,6%</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 всего, в том числе:</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117 569,5</w:t>
            </w:r>
          </w:p>
        </w:tc>
        <w:tc>
          <w:tcPr>
            <w:tcW w:w="1418" w:type="dxa"/>
          </w:tcPr>
          <w:p w:rsidR="00502B69" w:rsidRPr="00DC1C0C" w:rsidRDefault="00502B69" w:rsidP="003844EE">
            <w:pPr>
              <w:spacing w:after="0" w:line="240" w:lineRule="auto"/>
              <w:jc w:val="center"/>
              <w:rPr>
                <w:sz w:val="20"/>
                <w:szCs w:val="20"/>
              </w:rPr>
            </w:pPr>
            <w:r w:rsidRPr="00DC1C0C">
              <w:rPr>
                <w:sz w:val="20"/>
                <w:szCs w:val="20"/>
              </w:rPr>
              <w:t>144 110,8</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143 561,7</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99,6%</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федеральный бюджет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xml:space="preserve">- бюджет автономного округа </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0,0</w:t>
            </w:r>
          </w:p>
        </w:tc>
        <w:tc>
          <w:tcPr>
            <w:tcW w:w="1418" w:type="dxa"/>
          </w:tcPr>
          <w:p w:rsidR="00502B69" w:rsidRPr="00DC1C0C" w:rsidRDefault="00502B69" w:rsidP="003844EE">
            <w:pPr>
              <w:spacing w:after="0" w:line="240" w:lineRule="auto"/>
              <w:jc w:val="center"/>
              <w:rPr>
                <w:sz w:val="20"/>
                <w:szCs w:val="20"/>
              </w:rPr>
            </w:pPr>
            <w:r w:rsidRPr="00DC1C0C">
              <w:rPr>
                <w:sz w:val="20"/>
                <w:szCs w:val="20"/>
              </w:rPr>
              <w:t>0,0</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0,0</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0%</w:t>
            </w:r>
          </w:p>
        </w:tc>
      </w:tr>
      <w:tr w:rsidR="00502B69" w:rsidRPr="00CD5241" w:rsidTr="003844EE">
        <w:trPr>
          <w:trHeight w:val="300"/>
        </w:trPr>
        <w:tc>
          <w:tcPr>
            <w:tcW w:w="3970" w:type="dxa"/>
            <w:hideMark/>
          </w:tcPr>
          <w:p w:rsidR="00502B69" w:rsidRPr="0005666A" w:rsidRDefault="00502B69" w:rsidP="003844EE">
            <w:pPr>
              <w:spacing w:after="0" w:line="240" w:lineRule="auto"/>
              <w:ind w:right="34"/>
              <w:jc w:val="left"/>
              <w:rPr>
                <w:sz w:val="20"/>
                <w:szCs w:val="20"/>
              </w:rPr>
            </w:pPr>
            <w:r w:rsidRPr="0005666A">
              <w:rPr>
                <w:sz w:val="20"/>
                <w:szCs w:val="20"/>
              </w:rPr>
              <w:t>- бюджет города</w:t>
            </w:r>
          </w:p>
        </w:tc>
        <w:tc>
          <w:tcPr>
            <w:tcW w:w="1417" w:type="dxa"/>
            <w:hideMark/>
          </w:tcPr>
          <w:p w:rsidR="00502B69" w:rsidRPr="005026A8" w:rsidRDefault="00502B69" w:rsidP="003844EE">
            <w:pPr>
              <w:spacing w:after="0" w:line="240" w:lineRule="auto"/>
              <w:ind w:right="32"/>
              <w:jc w:val="center"/>
              <w:rPr>
                <w:sz w:val="20"/>
                <w:szCs w:val="20"/>
              </w:rPr>
            </w:pPr>
            <w:r w:rsidRPr="005026A8">
              <w:rPr>
                <w:sz w:val="20"/>
                <w:szCs w:val="20"/>
              </w:rPr>
              <w:t>117 569,5</w:t>
            </w:r>
          </w:p>
        </w:tc>
        <w:tc>
          <w:tcPr>
            <w:tcW w:w="1418" w:type="dxa"/>
          </w:tcPr>
          <w:p w:rsidR="00502B69" w:rsidRPr="00DC1C0C" w:rsidRDefault="00502B69" w:rsidP="003844EE">
            <w:pPr>
              <w:spacing w:after="0" w:line="240" w:lineRule="auto"/>
              <w:jc w:val="center"/>
              <w:rPr>
                <w:sz w:val="20"/>
                <w:szCs w:val="20"/>
              </w:rPr>
            </w:pPr>
            <w:r w:rsidRPr="00DC1C0C">
              <w:rPr>
                <w:sz w:val="20"/>
                <w:szCs w:val="20"/>
              </w:rPr>
              <w:t>144 110,8</w:t>
            </w:r>
          </w:p>
        </w:tc>
        <w:tc>
          <w:tcPr>
            <w:tcW w:w="1417" w:type="dxa"/>
          </w:tcPr>
          <w:p w:rsidR="00502B69" w:rsidRPr="00DC1C0C" w:rsidRDefault="00502B69" w:rsidP="003844EE">
            <w:pPr>
              <w:spacing w:after="0" w:line="240" w:lineRule="auto"/>
              <w:ind w:right="32"/>
              <w:jc w:val="center"/>
              <w:rPr>
                <w:sz w:val="20"/>
                <w:szCs w:val="20"/>
              </w:rPr>
            </w:pPr>
            <w:r w:rsidRPr="00DC1C0C">
              <w:rPr>
                <w:sz w:val="20"/>
                <w:szCs w:val="20"/>
              </w:rPr>
              <w:t>143 561,7</w:t>
            </w:r>
          </w:p>
        </w:tc>
        <w:tc>
          <w:tcPr>
            <w:tcW w:w="1286" w:type="dxa"/>
            <w:hideMark/>
          </w:tcPr>
          <w:p w:rsidR="00502B69" w:rsidRPr="00DC1C0C" w:rsidRDefault="00502B69" w:rsidP="003844EE">
            <w:pPr>
              <w:spacing w:after="0" w:line="240" w:lineRule="auto"/>
              <w:ind w:right="44"/>
              <w:jc w:val="center"/>
              <w:rPr>
                <w:sz w:val="20"/>
                <w:szCs w:val="20"/>
              </w:rPr>
            </w:pPr>
            <w:r w:rsidRPr="00DC1C0C">
              <w:rPr>
                <w:sz w:val="20"/>
                <w:szCs w:val="20"/>
              </w:rPr>
              <w:t>99,6%</w:t>
            </w:r>
          </w:p>
        </w:tc>
      </w:tr>
    </w:tbl>
    <w:p w:rsidR="00502B69" w:rsidRPr="00FF23D8" w:rsidRDefault="00502B69" w:rsidP="00502B69">
      <w:pPr>
        <w:pStyle w:val="af"/>
        <w:spacing w:after="0"/>
        <w:ind w:left="0" w:firstLine="708"/>
        <w:jc w:val="both"/>
        <w:rPr>
          <w:sz w:val="28"/>
          <w:szCs w:val="28"/>
        </w:rPr>
      </w:pPr>
      <w:r w:rsidRPr="00FF23D8">
        <w:rPr>
          <w:sz w:val="28"/>
          <w:szCs w:val="28"/>
        </w:rPr>
        <w:t>Реализация муниципальной программы «Защита населения и территории от чрезвычайных ситуаций, обеспечение пожарной безопасности города Ханты-Мансийска» включает в себя 2 подпрограммы.</w:t>
      </w:r>
    </w:p>
    <w:p w:rsidR="00502B69" w:rsidRPr="003004F4" w:rsidRDefault="00502B69" w:rsidP="00502B69">
      <w:pPr>
        <w:pStyle w:val="af"/>
        <w:spacing w:after="0"/>
        <w:ind w:left="0" w:firstLine="708"/>
        <w:jc w:val="both"/>
        <w:rPr>
          <w:sz w:val="28"/>
          <w:szCs w:val="28"/>
        </w:rPr>
      </w:pPr>
      <w:r w:rsidRPr="003004F4">
        <w:rPr>
          <w:sz w:val="28"/>
          <w:szCs w:val="28"/>
        </w:rPr>
        <w:lastRenderedPageBreak/>
        <w:t xml:space="preserve">Подпрограмма </w:t>
      </w:r>
      <w:r w:rsidRPr="003004F4">
        <w:rPr>
          <w:sz w:val="28"/>
          <w:szCs w:val="28"/>
          <w:lang w:val="en-US"/>
        </w:rPr>
        <w:t>I</w:t>
      </w:r>
      <w:r w:rsidRPr="003004F4">
        <w:rPr>
          <w:sz w:val="28"/>
          <w:szCs w:val="28"/>
        </w:rPr>
        <w:t xml:space="preserve"> «Защита населения и территории от чрезвычайных ситуаций, обеспечение пожарной безопасности города Ханты-Мансийска».</w:t>
      </w:r>
    </w:p>
    <w:p w:rsidR="00502B69" w:rsidRPr="001C399C" w:rsidRDefault="00502B69" w:rsidP="00502B69">
      <w:pPr>
        <w:pStyle w:val="ae"/>
        <w:tabs>
          <w:tab w:val="left" w:pos="459"/>
        </w:tabs>
        <w:suppressAutoHyphens/>
        <w:spacing w:before="0" w:beforeAutospacing="0" w:after="0" w:afterAutospacing="0" w:line="276" w:lineRule="auto"/>
        <w:ind w:right="-1" w:firstLine="709"/>
        <w:jc w:val="both"/>
        <w:rPr>
          <w:sz w:val="28"/>
          <w:szCs w:val="28"/>
        </w:rPr>
      </w:pPr>
      <w:r w:rsidRPr="001C399C">
        <w:rPr>
          <w:sz w:val="28"/>
          <w:szCs w:val="28"/>
        </w:rPr>
        <w:t>Исполнение по данной подпрограмме составило 19 243,5 тыс. рублей при плане 19 839,2 тыс. рублей, что составляет 97,0%.</w:t>
      </w:r>
    </w:p>
    <w:p w:rsidR="00502B69" w:rsidRPr="001C399C" w:rsidRDefault="00502B69" w:rsidP="00502B69">
      <w:pPr>
        <w:pStyle w:val="25"/>
        <w:spacing w:line="276" w:lineRule="auto"/>
        <w:ind w:firstLine="708"/>
        <w:jc w:val="both"/>
        <w:rPr>
          <w:szCs w:val="28"/>
        </w:rPr>
      </w:pPr>
      <w:r w:rsidRPr="001C399C">
        <w:rPr>
          <w:szCs w:val="28"/>
        </w:rPr>
        <w:t xml:space="preserve">1.Основное мероприятие «Совершенствование системы предупреждения и защиты населения от чрезвычайных ситуаций природного и техногенного характера». </w:t>
      </w:r>
    </w:p>
    <w:p w:rsidR="00502B69" w:rsidRPr="000D47FF" w:rsidRDefault="00502B69" w:rsidP="00502B69">
      <w:pPr>
        <w:pStyle w:val="ae"/>
        <w:tabs>
          <w:tab w:val="left" w:pos="459"/>
        </w:tabs>
        <w:suppressAutoHyphens/>
        <w:spacing w:before="0" w:beforeAutospacing="0" w:after="0" w:afterAutospacing="0" w:line="276" w:lineRule="auto"/>
        <w:ind w:right="-1" w:firstLine="709"/>
        <w:jc w:val="both"/>
        <w:rPr>
          <w:sz w:val="28"/>
          <w:szCs w:val="28"/>
        </w:rPr>
      </w:pPr>
      <w:r w:rsidRPr="001C399C">
        <w:rPr>
          <w:sz w:val="28"/>
          <w:szCs w:val="28"/>
        </w:rPr>
        <w:t xml:space="preserve">Исполнение по данному </w:t>
      </w:r>
      <w:r w:rsidRPr="000D47FF">
        <w:rPr>
          <w:sz w:val="28"/>
          <w:szCs w:val="28"/>
        </w:rPr>
        <w:t>мероприятию составило 9 182,3 тыс. рублей или 100% от плана на год</w:t>
      </w:r>
      <w:r w:rsidR="00FB5812">
        <w:rPr>
          <w:sz w:val="28"/>
          <w:szCs w:val="28"/>
        </w:rPr>
        <w:t>.</w:t>
      </w:r>
    </w:p>
    <w:p w:rsidR="00502B69" w:rsidRPr="00924B37" w:rsidRDefault="00502B69" w:rsidP="00502B69">
      <w:pPr>
        <w:widowControl w:val="0"/>
        <w:autoSpaceDE w:val="0"/>
        <w:autoSpaceDN w:val="0"/>
        <w:adjustRightInd w:val="0"/>
        <w:spacing w:after="0"/>
        <w:ind w:firstLine="708"/>
        <w:jc w:val="both"/>
        <w:rPr>
          <w:bCs/>
          <w:sz w:val="28"/>
          <w:szCs w:val="28"/>
        </w:rPr>
      </w:pPr>
      <w:r w:rsidRPr="00924B37">
        <w:rPr>
          <w:bCs/>
          <w:sz w:val="28"/>
          <w:szCs w:val="28"/>
        </w:rPr>
        <w:t>Средства направлены на:</w:t>
      </w:r>
    </w:p>
    <w:p w:rsidR="00502B69" w:rsidRPr="0088797F" w:rsidRDefault="00502B69" w:rsidP="00502B69">
      <w:pPr>
        <w:spacing w:after="0"/>
        <w:ind w:firstLine="708"/>
        <w:jc w:val="both"/>
        <w:rPr>
          <w:sz w:val="28"/>
          <w:szCs w:val="28"/>
        </w:rPr>
      </w:pPr>
      <w:r w:rsidRPr="0088797F">
        <w:rPr>
          <w:sz w:val="28"/>
          <w:szCs w:val="28"/>
        </w:rPr>
        <w:t xml:space="preserve">-разработку и распространение памяток по безопасности жизнедеятельности - изготовлено на сумму 52,8 тыс. рублей в количестве 4 000 памяток, 1 585 </w:t>
      </w:r>
      <w:proofErr w:type="spellStart"/>
      <w:r w:rsidRPr="0088797F">
        <w:rPr>
          <w:sz w:val="28"/>
          <w:szCs w:val="28"/>
        </w:rPr>
        <w:t>лифлетов</w:t>
      </w:r>
      <w:proofErr w:type="spellEnd"/>
      <w:r w:rsidRPr="0088797F">
        <w:rPr>
          <w:sz w:val="28"/>
          <w:szCs w:val="28"/>
        </w:rPr>
        <w:t xml:space="preserve">. На официальном сайте органов местного самоуправления города Ханты-Мансийска в сети Интернет размещено 140 статей и памяток, разработан новый раздел «Детская безопасность», где размещены слайды, видеоролики и мультфильмы на темы безопасности детей, с периодическим обновлением;  </w:t>
      </w:r>
    </w:p>
    <w:p w:rsidR="00502B69" w:rsidRPr="00137EF7" w:rsidRDefault="00502B69" w:rsidP="00502B69">
      <w:pPr>
        <w:autoSpaceDE w:val="0"/>
        <w:autoSpaceDN w:val="0"/>
        <w:adjustRightInd w:val="0"/>
        <w:spacing w:after="0" w:line="269" w:lineRule="auto"/>
        <w:ind w:firstLine="708"/>
        <w:jc w:val="both"/>
        <w:rPr>
          <w:sz w:val="28"/>
          <w:szCs w:val="28"/>
        </w:rPr>
      </w:pPr>
      <w:r w:rsidRPr="00137EF7">
        <w:rPr>
          <w:sz w:val="28"/>
          <w:szCs w:val="28"/>
        </w:rPr>
        <w:t xml:space="preserve">-проведение и организацию муниципального этапа </w:t>
      </w:r>
      <w:r w:rsidRPr="00137EF7">
        <w:rPr>
          <w:rFonts w:eastAsia="Calibri"/>
          <w:sz w:val="28"/>
          <w:szCs w:val="28"/>
          <w:lang w:eastAsia="en-US"/>
        </w:rPr>
        <w:t>XX</w:t>
      </w:r>
      <w:r w:rsidRPr="00137EF7">
        <w:rPr>
          <w:sz w:val="28"/>
          <w:szCs w:val="28"/>
        </w:rPr>
        <w:t>I</w:t>
      </w:r>
      <w:r w:rsidRPr="00137EF7">
        <w:rPr>
          <w:sz w:val="28"/>
          <w:szCs w:val="28"/>
          <w:lang w:val="en-US"/>
        </w:rPr>
        <w:t>V</w:t>
      </w:r>
      <w:r w:rsidRPr="00137EF7">
        <w:rPr>
          <w:rFonts w:eastAsia="Calibri"/>
          <w:sz w:val="28"/>
          <w:szCs w:val="28"/>
          <w:lang w:eastAsia="en-US"/>
        </w:rPr>
        <w:t xml:space="preserve"> регионального соревнования </w:t>
      </w:r>
      <w:r w:rsidRPr="00137EF7">
        <w:rPr>
          <w:sz w:val="28"/>
          <w:szCs w:val="28"/>
        </w:rPr>
        <w:t xml:space="preserve">«Школа безопасности» - приобретены на сумму 590,8 тыс. рублей: грамоты, кубки наградные и наградная продукция для участников и команд; типографские услуги по печатанию и тиражированию раздаточной продукции; снаряжения и инвентарь, компьютерное оборудование (системный блок, монитор); расходные материалы. Учащиеся школ города </w:t>
      </w:r>
      <w:r w:rsidR="00FB5812">
        <w:rPr>
          <w:sz w:val="28"/>
          <w:szCs w:val="28"/>
        </w:rPr>
        <w:t xml:space="preserve">                     </w:t>
      </w:r>
      <w:r w:rsidRPr="00137EF7">
        <w:rPr>
          <w:sz w:val="28"/>
          <w:szCs w:val="28"/>
        </w:rPr>
        <w:t xml:space="preserve">Ханты-Мансийска учились выживать в экстремальных ситуациях, ориентироваться на местности, преодолевать препятствия, надевать костюмы химической защиты и изучать правила безопасности дорожного движения, а также оказывать первую помощь. В этапе приняло участие 84 </w:t>
      </w:r>
      <w:r w:rsidRPr="00137EF7">
        <w:rPr>
          <w:rFonts w:eastAsia="Times New Roman"/>
          <w:sz w:val="28"/>
          <w:szCs w:val="28"/>
        </w:rPr>
        <w:t>у</w:t>
      </w:r>
      <w:r w:rsidRPr="00137EF7">
        <w:rPr>
          <w:rFonts w:eastAsia="Calibri"/>
          <w:sz w:val="28"/>
          <w:szCs w:val="28"/>
        </w:rPr>
        <w:t>чащихся обучающихся в школах города Ханты-Мансийска</w:t>
      </w:r>
      <w:r w:rsidRPr="00137EF7">
        <w:rPr>
          <w:sz w:val="28"/>
          <w:szCs w:val="28"/>
        </w:rPr>
        <w:t>;</w:t>
      </w:r>
    </w:p>
    <w:p w:rsidR="00502B69" w:rsidRPr="007447D1" w:rsidRDefault="00502B69" w:rsidP="00502B69">
      <w:pPr>
        <w:spacing w:after="0"/>
        <w:ind w:firstLine="709"/>
        <w:jc w:val="both"/>
        <w:rPr>
          <w:rFonts w:eastAsia="Times New Roman"/>
          <w:sz w:val="28"/>
          <w:szCs w:val="28"/>
        </w:rPr>
      </w:pPr>
      <w:r w:rsidRPr="00E86512">
        <w:rPr>
          <w:sz w:val="28"/>
          <w:szCs w:val="28"/>
        </w:rPr>
        <w:t xml:space="preserve">-участие в учениях и тренировках - на сумму 10,0 тыс. рублей </w:t>
      </w:r>
      <w:r w:rsidR="00FB5812" w:rsidRPr="00E86512">
        <w:rPr>
          <w:sz w:val="28"/>
          <w:szCs w:val="28"/>
        </w:rPr>
        <w:t>приобретены</w:t>
      </w:r>
      <w:r w:rsidR="00FB5812" w:rsidRPr="00E86512">
        <w:rPr>
          <w:rFonts w:eastAsia="Times New Roman"/>
          <w:sz w:val="28"/>
          <w:szCs w:val="28"/>
        </w:rPr>
        <w:t xml:space="preserve"> </w:t>
      </w:r>
      <w:r w:rsidRPr="00E86512">
        <w:rPr>
          <w:rFonts w:eastAsia="Times New Roman"/>
          <w:sz w:val="28"/>
          <w:szCs w:val="28"/>
        </w:rPr>
        <w:t>средства первой медицинской помощи: салфетки стерильные, жгут кровоостанавливающий, салфетка спиртовая, пластырь бактериальный, бинт стерильный, аптечка первой помощи;</w:t>
      </w:r>
    </w:p>
    <w:p w:rsidR="00502B69" w:rsidRPr="00FE652D" w:rsidRDefault="00502B69" w:rsidP="00502B69">
      <w:pPr>
        <w:spacing w:after="0"/>
        <w:ind w:firstLine="709"/>
        <w:jc w:val="both"/>
        <w:rPr>
          <w:sz w:val="28"/>
          <w:szCs w:val="28"/>
        </w:rPr>
      </w:pPr>
      <w:r w:rsidRPr="00FE652D">
        <w:rPr>
          <w:sz w:val="28"/>
          <w:szCs w:val="28"/>
        </w:rPr>
        <w:t xml:space="preserve">-выполнение работ по замене пожарных гидрантов в городе </w:t>
      </w:r>
      <w:r w:rsidR="00FB5812">
        <w:rPr>
          <w:sz w:val="28"/>
          <w:szCs w:val="28"/>
        </w:rPr>
        <w:t xml:space="preserve">              </w:t>
      </w:r>
      <w:r w:rsidRPr="00FE652D">
        <w:rPr>
          <w:sz w:val="28"/>
          <w:szCs w:val="28"/>
        </w:rPr>
        <w:t xml:space="preserve">Ханты-Мансийске на сумму 1 225,0 тыс. рублей по следующим адресам: улицы Ледовая,5; Е. Сагандуковой,1; Геологов,90; Федорова,11; Никифорова,4; Уральская,5; Сирина,16; Кирова,35; </w:t>
      </w:r>
      <w:r w:rsidRPr="00FE652D">
        <w:rPr>
          <w:rFonts w:eastAsia="Times New Roman"/>
          <w:sz w:val="28"/>
          <w:szCs w:val="28"/>
        </w:rPr>
        <w:t>Дунина-Горкавича</w:t>
      </w:r>
      <w:r w:rsidRPr="00FE652D">
        <w:rPr>
          <w:sz w:val="28"/>
          <w:szCs w:val="28"/>
        </w:rPr>
        <w:t>,15; О.Кошевого,11 и переулок Бобровский,1а;</w:t>
      </w:r>
    </w:p>
    <w:p w:rsidR="00502B69" w:rsidRPr="00FD1C36" w:rsidRDefault="00502B69" w:rsidP="00502B69">
      <w:pPr>
        <w:spacing w:after="0"/>
        <w:ind w:firstLine="709"/>
        <w:jc w:val="both"/>
        <w:rPr>
          <w:sz w:val="28"/>
          <w:szCs w:val="28"/>
        </w:rPr>
      </w:pPr>
      <w:r w:rsidRPr="00FD1C36">
        <w:rPr>
          <w:sz w:val="28"/>
          <w:szCs w:val="28"/>
        </w:rPr>
        <w:lastRenderedPageBreak/>
        <w:t>- приобретение насосов для переключения канализационных и сточных вод на сумму 3 946,8 тыс. рублей;</w:t>
      </w:r>
    </w:p>
    <w:p w:rsidR="00502B69" w:rsidRPr="00166411" w:rsidRDefault="00502B69" w:rsidP="00502B69">
      <w:pPr>
        <w:spacing w:after="0"/>
        <w:ind w:firstLine="709"/>
        <w:jc w:val="both"/>
        <w:rPr>
          <w:sz w:val="28"/>
          <w:szCs w:val="28"/>
        </w:rPr>
      </w:pPr>
      <w:r w:rsidRPr="00166411">
        <w:rPr>
          <w:sz w:val="28"/>
          <w:szCs w:val="28"/>
        </w:rPr>
        <w:t>-приобретение аварийно-спасательной техники, оборудования и снаряжения на сумму 509,8 тыс. рублей: 4 баллона водолазных, 6 комплектующих для водолазного оборудования, 2 навигационных приемника и вентиляционное оборудование (кондиционер);</w:t>
      </w:r>
    </w:p>
    <w:p w:rsidR="00502B69" w:rsidRPr="00B95755" w:rsidRDefault="00502B69" w:rsidP="00502B69">
      <w:pPr>
        <w:spacing w:after="0"/>
        <w:ind w:firstLine="709"/>
        <w:jc w:val="both"/>
        <w:rPr>
          <w:rFonts w:eastAsia="Calibri"/>
          <w:sz w:val="28"/>
          <w:szCs w:val="28"/>
        </w:rPr>
      </w:pPr>
      <w:r w:rsidRPr="00B95755">
        <w:rPr>
          <w:sz w:val="28"/>
          <w:szCs w:val="28"/>
        </w:rPr>
        <w:t xml:space="preserve">-приобретение форменного обмундирования на сумму 618,0 тыс. рублей: </w:t>
      </w:r>
      <w:r w:rsidRPr="00B95755">
        <w:rPr>
          <w:rFonts w:eastAsia="Times New Roman"/>
          <w:sz w:val="28"/>
          <w:szCs w:val="28"/>
        </w:rPr>
        <w:t>термобелье зимнее (мужское, женское),</w:t>
      </w:r>
      <w:r w:rsidRPr="00B95755">
        <w:rPr>
          <w:sz w:val="28"/>
          <w:szCs w:val="28"/>
        </w:rPr>
        <w:t xml:space="preserve"> </w:t>
      </w:r>
      <w:r w:rsidRPr="00B95755">
        <w:rPr>
          <w:rFonts w:eastAsia="Times New Roman"/>
          <w:sz w:val="28"/>
          <w:szCs w:val="28"/>
        </w:rPr>
        <w:t xml:space="preserve">футболка трикотажная (мужская, женская), </w:t>
      </w:r>
      <w:r w:rsidRPr="00B95755">
        <w:rPr>
          <w:rFonts w:eastAsia="Calibri"/>
          <w:sz w:val="28"/>
          <w:szCs w:val="28"/>
        </w:rPr>
        <w:t>термобелье летнее,</w:t>
      </w:r>
      <w:r w:rsidRPr="00B95755">
        <w:rPr>
          <w:rFonts w:eastAsia="Times New Roman"/>
          <w:sz w:val="28"/>
          <w:szCs w:val="28"/>
        </w:rPr>
        <w:t xml:space="preserve"> обувь специальная кожаная для защиты от механических воздействий (неутепленная), обувь специальная кожаная для защиты от механических воздействий (утепленная), гидрокомбинезон сухого типа, утеплитель водолазный, перчатки мокрого типа, утеплитель водолазный, матрасы;</w:t>
      </w:r>
    </w:p>
    <w:p w:rsidR="00502B69" w:rsidRPr="00D77A17" w:rsidRDefault="00502B69" w:rsidP="00502B69">
      <w:pPr>
        <w:spacing w:after="0"/>
        <w:ind w:firstLine="709"/>
        <w:jc w:val="both"/>
        <w:rPr>
          <w:sz w:val="28"/>
          <w:szCs w:val="28"/>
        </w:rPr>
      </w:pPr>
      <w:r w:rsidRPr="008D0574">
        <w:rPr>
          <w:sz w:val="28"/>
          <w:szCs w:val="28"/>
        </w:rPr>
        <w:t>-оказание услуг по обслуживанию противопожарного оборудования, снаряжения и инструмента на сумму 94,0 тыс. рублей;</w:t>
      </w:r>
    </w:p>
    <w:p w:rsidR="00502B69" w:rsidRPr="0008230D" w:rsidRDefault="00502B69" w:rsidP="00502B69">
      <w:pPr>
        <w:spacing w:after="0"/>
        <w:ind w:firstLine="709"/>
        <w:jc w:val="both"/>
        <w:rPr>
          <w:sz w:val="28"/>
          <w:szCs w:val="28"/>
        </w:rPr>
      </w:pPr>
      <w:r w:rsidRPr="0008230D">
        <w:rPr>
          <w:sz w:val="28"/>
          <w:szCs w:val="28"/>
        </w:rPr>
        <w:t>-приобретение противопожарного оборудования на сумму 127,2 тыс. рублей: 22 ранца противопожарных «РП-18 Ермак»;</w:t>
      </w:r>
    </w:p>
    <w:p w:rsidR="00502B69" w:rsidRPr="0008230D" w:rsidRDefault="00502B69" w:rsidP="00502B69">
      <w:pPr>
        <w:spacing w:after="0"/>
        <w:ind w:firstLine="709"/>
        <w:jc w:val="both"/>
        <w:rPr>
          <w:rFonts w:eastAsia="Times New Roman"/>
          <w:sz w:val="28"/>
          <w:szCs w:val="28"/>
        </w:rPr>
      </w:pPr>
      <w:r w:rsidRPr="0008230D">
        <w:rPr>
          <w:rFonts w:eastAsia="Times New Roman"/>
          <w:sz w:val="28"/>
          <w:szCs w:val="28"/>
        </w:rPr>
        <w:t>-приобретение, изготовление и обслуживание стендов, знаков безопасности о правилах поведения на воде на сумму 49,0 тыс. рублей;</w:t>
      </w:r>
    </w:p>
    <w:p w:rsidR="00502B69" w:rsidRPr="008C221E" w:rsidRDefault="00502B69" w:rsidP="00502B69">
      <w:pPr>
        <w:spacing w:after="0"/>
        <w:ind w:firstLine="709"/>
        <w:jc w:val="both"/>
        <w:rPr>
          <w:rFonts w:eastAsia="Times New Roman"/>
          <w:sz w:val="28"/>
          <w:szCs w:val="28"/>
        </w:rPr>
      </w:pPr>
      <w:r w:rsidRPr="008C221E">
        <w:rPr>
          <w:rFonts w:eastAsia="Calibri"/>
          <w:sz w:val="28"/>
          <w:szCs w:val="28"/>
        </w:rPr>
        <w:t>-изготовление, оформление и размещение стендов по безопасности жизнедеятельности на сумму 72,0 тыс. рублей: изготовлено 3 уличных информационных стенда;</w:t>
      </w:r>
    </w:p>
    <w:p w:rsidR="00502B69" w:rsidRPr="00F57D00" w:rsidRDefault="00502B69" w:rsidP="00502B69">
      <w:pPr>
        <w:spacing w:after="0"/>
        <w:ind w:firstLine="709"/>
        <w:jc w:val="both"/>
        <w:rPr>
          <w:sz w:val="28"/>
          <w:szCs w:val="28"/>
        </w:rPr>
      </w:pPr>
      <w:r w:rsidRPr="00F57D00">
        <w:rPr>
          <w:sz w:val="28"/>
          <w:szCs w:val="28"/>
        </w:rPr>
        <w:t>-откачку талых, грунтовых и дождевых вод на придомовых территориях жилого фонда, а также в жилых домах на сумму 38,3 тыс. рублей без очистки воды на общий объем 264 м</w:t>
      </w:r>
      <w:r w:rsidRPr="00F57D00">
        <w:rPr>
          <w:sz w:val="28"/>
          <w:szCs w:val="28"/>
          <w:vertAlign w:val="superscript"/>
        </w:rPr>
        <w:t>3</w:t>
      </w:r>
      <w:r w:rsidRPr="00F57D00">
        <w:rPr>
          <w:sz w:val="28"/>
          <w:szCs w:val="28"/>
        </w:rPr>
        <w:t>;</w:t>
      </w:r>
    </w:p>
    <w:p w:rsidR="00502B69" w:rsidRDefault="00502B69" w:rsidP="00502B69">
      <w:pPr>
        <w:spacing w:after="0"/>
        <w:ind w:firstLine="709"/>
        <w:jc w:val="both"/>
        <w:rPr>
          <w:sz w:val="28"/>
          <w:szCs w:val="28"/>
        </w:rPr>
      </w:pPr>
      <w:r w:rsidRPr="00524BDE">
        <w:rPr>
          <w:sz w:val="28"/>
          <w:szCs w:val="28"/>
        </w:rPr>
        <w:t>-организацию и обеспечение бесперебойного функционирования системы дистанционного мониторинга и раннего обнаружения лесных пожаров на территории города Ханты-Мансийска на сумму 605,9 тыс. рублей.</w:t>
      </w:r>
    </w:p>
    <w:p w:rsidR="00502B69" w:rsidRPr="00672442" w:rsidRDefault="00502B69" w:rsidP="00672442">
      <w:pPr>
        <w:spacing w:after="0"/>
        <w:ind w:firstLine="709"/>
        <w:jc w:val="both"/>
        <w:rPr>
          <w:rFonts w:eastAsia="Times New Roman"/>
          <w:sz w:val="28"/>
          <w:szCs w:val="28"/>
        </w:rPr>
      </w:pPr>
      <w:r w:rsidRPr="00356A60">
        <w:rPr>
          <w:sz w:val="28"/>
          <w:szCs w:val="28"/>
        </w:rPr>
        <w:t xml:space="preserve">Для устранения последствий распространения новой </w:t>
      </w:r>
      <w:proofErr w:type="spellStart"/>
      <w:r w:rsidRPr="00356A60">
        <w:rPr>
          <w:sz w:val="28"/>
          <w:szCs w:val="28"/>
        </w:rPr>
        <w:t>коронавирусной</w:t>
      </w:r>
      <w:proofErr w:type="spellEnd"/>
      <w:r w:rsidRPr="00356A60">
        <w:rPr>
          <w:sz w:val="28"/>
          <w:szCs w:val="28"/>
        </w:rPr>
        <w:t xml:space="preserve"> инфекции (СOVID-19) были направлены средства на содержание пункта временного размещения (обсервация на 42 места) для изоляции граждан, который организован на базе гостиницы конноспортивного клуба «Мустанг» на сумму 1 242,7 тыс. рублей, в том числе: 368,0 тыс. рублей </w:t>
      </w:r>
      <w:r w:rsidRPr="00356A60">
        <w:rPr>
          <w:rFonts w:eastAsia="Times New Roman"/>
          <w:sz w:val="28"/>
          <w:szCs w:val="28"/>
        </w:rPr>
        <w:t xml:space="preserve">на оказание услуг по ежедневной влажной уборке помещений; 305,2 тыс. рублей на оказание услуг по механизированной уборке, погрузке и вывозу снежных масс с последующей утилизацией на специализированных полигонах; 437,4 тыс. рублей на оказание услуг по организации питания в пункте временного размещения; 101,3 тыс. рублей на возмещение расходов по оплате </w:t>
      </w:r>
      <w:r w:rsidRPr="00356A60">
        <w:rPr>
          <w:rFonts w:eastAsia="Times New Roman"/>
          <w:sz w:val="28"/>
          <w:szCs w:val="28"/>
        </w:rPr>
        <w:lastRenderedPageBreak/>
        <w:t>коммунальных услуг; 30,8 тыс. рублей на оказание услуг по передаче электроэнергии.</w:t>
      </w:r>
    </w:p>
    <w:p w:rsidR="00502B69" w:rsidRPr="00FD2648" w:rsidRDefault="00502B69" w:rsidP="00502B69">
      <w:pPr>
        <w:spacing w:after="0"/>
        <w:ind w:firstLine="709"/>
        <w:jc w:val="both"/>
        <w:rPr>
          <w:rFonts w:eastAsia="Times New Roman"/>
          <w:sz w:val="28"/>
          <w:szCs w:val="28"/>
        </w:rPr>
      </w:pPr>
      <w:r w:rsidRPr="00D462A4">
        <w:rPr>
          <w:sz w:val="28"/>
          <w:szCs w:val="28"/>
        </w:rPr>
        <w:t xml:space="preserve">Уменьшение финансирования мероприятия в 2022 году по сравнению с 2021 годом связано с тем, что в предыдущем году проводилось </w:t>
      </w:r>
      <w:r w:rsidRPr="00D462A4">
        <w:rPr>
          <w:rFonts w:eastAsia="Times New Roman"/>
          <w:sz w:val="28"/>
          <w:szCs w:val="28"/>
        </w:rPr>
        <w:t xml:space="preserve">приобретение имущества для укомплектования пунктов временного размещения для снижения риска заражений новой </w:t>
      </w:r>
      <w:proofErr w:type="spellStart"/>
      <w:r w:rsidRPr="00D462A4">
        <w:rPr>
          <w:rFonts w:eastAsia="Times New Roman"/>
          <w:sz w:val="28"/>
          <w:szCs w:val="28"/>
        </w:rPr>
        <w:t>коронавирусной</w:t>
      </w:r>
      <w:proofErr w:type="spellEnd"/>
      <w:r w:rsidRPr="00D462A4">
        <w:rPr>
          <w:rFonts w:eastAsia="Times New Roman"/>
          <w:sz w:val="28"/>
          <w:szCs w:val="28"/>
        </w:rPr>
        <w:t xml:space="preserve"> инфекцией (</w:t>
      </w:r>
      <w:r w:rsidRPr="00D462A4">
        <w:rPr>
          <w:rFonts w:eastAsia="Times New Roman"/>
          <w:sz w:val="28"/>
          <w:szCs w:val="28"/>
          <w:lang w:val="en-US"/>
        </w:rPr>
        <w:t>COVID</w:t>
      </w:r>
      <w:r w:rsidRPr="00D462A4">
        <w:rPr>
          <w:rFonts w:eastAsia="Times New Roman"/>
          <w:sz w:val="28"/>
          <w:szCs w:val="28"/>
        </w:rPr>
        <w:t xml:space="preserve">-19). </w:t>
      </w:r>
      <w:r w:rsidRPr="00FD2648">
        <w:rPr>
          <w:rFonts w:eastAsia="Times New Roman"/>
          <w:sz w:val="28"/>
          <w:szCs w:val="28"/>
        </w:rPr>
        <w:t>Финансирование данного мероприятия в 2022 году не осуществлялось.</w:t>
      </w:r>
    </w:p>
    <w:p w:rsidR="00502B69" w:rsidRPr="00A938C9" w:rsidRDefault="00502B69" w:rsidP="00502B69">
      <w:pPr>
        <w:pStyle w:val="25"/>
        <w:spacing w:line="276" w:lineRule="auto"/>
        <w:ind w:firstLine="708"/>
        <w:jc w:val="both"/>
        <w:rPr>
          <w:szCs w:val="28"/>
        </w:rPr>
      </w:pPr>
      <w:r w:rsidRPr="00C61D16">
        <w:rPr>
          <w:szCs w:val="28"/>
        </w:rPr>
        <w:t xml:space="preserve">2. Основное мероприятие «Совершенствование </w:t>
      </w:r>
      <w:r w:rsidRPr="00A938C9">
        <w:rPr>
          <w:szCs w:val="28"/>
        </w:rPr>
        <w:t xml:space="preserve">системы мониторинга и прогнозирования чрезвычайных ситуаций». </w:t>
      </w:r>
    </w:p>
    <w:p w:rsidR="00502B69" w:rsidRPr="00B253F6" w:rsidRDefault="00502B69" w:rsidP="00502B69">
      <w:pPr>
        <w:pStyle w:val="ae"/>
        <w:tabs>
          <w:tab w:val="left" w:pos="459"/>
        </w:tabs>
        <w:suppressAutoHyphens/>
        <w:spacing w:before="0" w:beforeAutospacing="0" w:after="0" w:afterAutospacing="0" w:line="276" w:lineRule="auto"/>
        <w:ind w:right="-1" w:firstLine="709"/>
        <w:jc w:val="both"/>
        <w:rPr>
          <w:sz w:val="28"/>
          <w:szCs w:val="28"/>
        </w:rPr>
      </w:pPr>
      <w:r w:rsidRPr="00B253F6">
        <w:rPr>
          <w:sz w:val="28"/>
          <w:szCs w:val="28"/>
        </w:rPr>
        <w:t>Исполнение по данному мероприятию составило 10 061,2 тыс. рублей при плане 10 656,9 тыс. рублей, что составляет 94,4%, в том числе, средства городского бюджета - 10 061,2 тыс. рублей.</w:t>
      </w:r>
    </w:p>
    <w:p w:rsidR="00502B69" w:rsidRPr="00392855" w:rsidRDefault="00502B69" w:rsidP="00502B69">
      <w:pPr>
        <w:widowControl w:val="0"/>
        <w:autoSpaceDE w:val="0"/>
        <w:autoSpaceDN w:val="0"/>
        <w:adjustRightInd w:val="0"/>
        <w:spacing w:after="0"/>
        <w:ind w:firstLine="708"/>
        <w:jc w:val="both"/>
        <w:rPr>
          <w:bCs/>
          <w:sz w:val="28"/>
          <w:szCs w:val="28"/>
        </w:rPr>
      </w:pPr>
      <w:r w:rsidRPr="00392855">
        <w:rPr>
          <w:bCs/>
          <w:sz w:val="28"/>
          <w:szCs w:val="28"/>
        </w:rPr>
        <w:t>Средства направлены на:</w:t>
      </w:r>
    </w:p>
    <w:p w:rsidR="00502B69" w:rsidRPr="00F82588" w:rsidRDefault="00502B69" w:rsidP="00502B69">
      <w:pPr>
        <w:widowControl w:val="0"/>
        <w:autoSpaceDE w:val="0"/>
        <w:autoSpaceDN w:val="0"/>
        <w:adjustRightInd w:val="0"/>
        <w:spacing w:after="0"/>
        <w:ind w:firstLine="708"/>
        <w:jc w:val="both"/>
        <w:rPr>
          <w:rFonts w:eastAsia="Times New Roman"/>
          <w:sz w:val="28"/>
          <w:szCs w:val="28"/>
        </w:rPr>
      </w:pPr>
      <w:r w:rsidRPr="00F82588">
        <w:rPr>
          <w:rFonts w:eastAsia="Times New Roman"/>
          <w:sz w:val="28"/>
          <w:szCs w:val="28"/>
        </w:rPr>
        <w:t xml:space="preserve">-техническое обслуживание и поддержку работоспособности программного обеспечения единой дежурно-диспетчерской службы и «Системы 112» на сумму 698,6 тыс. рублей </w:t>
      </w:r>
      <w:r w:rsidRPr="00F82588">
        <w:rPr>
          <w:rFonts w:eastAsia="Calibri"/>
          <w:sz w:val="28"/>
          <w:szCs w:val="28"/>
        </w:rPr>
        <w:t>по следующим адресам: улицы Гагарина,153а; Дзержинского,11; Привольная, 7; Газовиков,19;</w:t>
      </w:r>
      <w:r w:rsidRPr="00F82588">
        <w:rPr>
          <w:rFonts w:eastAsia="Times New Roman"/>
          <w:sz w:val="28"/>
          <w:szCs w:val="28"/>
        </w:rPr>
        <w:t xml:space="preserve">       </w:t>
      </w:r>
    </w:p>
    <w:p w:rsidR="00502B69" w:rsidRPr="00F82588" w:rsidRDefault="00502B69" w:rsidP="00502B69">
      <w:pPr>
        <w:widowControl w:val="0"/>
        <w:autoSpaceDE w:val="0"/>
        <w:autoSpaceDN w:val="0"/>
        <w:adjustRightInd w:val="0"/>
        <w:spacing w:after="0"/>
        <w:ind w:firstLine="708"/>
        <w:jc w:val="both"/>
        <w:rPr>
          <w:bCs/>
          <w:sz w:val="28"/>
          <w:szCs w:val="28"/>
        </w:rPr>
      </w:pPr>
      <w:r w:rsidRPr="00F82588">
        <w:rPr>
          <w:rFonts w:eastAsia="Times New Roman"/>
          <w:sz w:val="28"/>
          <w:szCs w:val="28"/>
        </w:rPr>
        <w:t>-содержание и техническое обслуживание системы оповещения населения города на сумму 5 145,6 тыс. рублей, которая</w:t>
      </w:r>
      <w:r w:rsidRPr="00F82588">
        <w:rPr>
          <w:rFonts w:eastAsia="Calibri"/>
          <w:sz w:val="28"/>
          <w:szCs w:val="28"/>
        </w:rPr>
        <w:t xml:space="preserve"> создана по модульному принципу на основе современных информационно-коммуникационных технологий. Основными способами оповещения населения является передача информации и сигналов оповещения по сетям связи и каналам телевизионного вещания и радиовещания. Для приема сообщений о чрезвычайных ситуациях (пожаров) в телефонных сетях города установлен единый номер вызова экстренных оперативных служб города - 112.</w:t>
      </w:r>
      <w:r w:rsidRPr="00F82588">
        <w:rPr>
          <w:rFonts w:eastAsia="Times New Roman"/>
          <w:sz w:val="28"/>
          <w:szCs w:val="28"/>
        </w:rPr>
        <w:t xml:space="preserve"> Места установки оборудования: улицы Гагарина, 153а; Мира, 102; Дунина-</w:t>
      </w:r>
      <w:proofErr w:type="spellStart"/>
      <w:r w:rsidRPr="00F82588">
        <w:rPr>
          <w:rFonts w:eastAsia="Times New Roman"/>
          <w:sz w:val="28"/>
          <w:szCs w:val="28"/>
        </w:rPr>
        <w:t>Горкавича</w:t>
      </w:r>
      <w:proofErr w:type="spellEnd"/>
      <w:r w:rsidRPr="00F82588">
        <w:rPr>
          <w:rFonts w:eastAsia="Times New Roman"/>
          <w:sz w:val="28"/>
          <w:szCs w:val="28"/>
        </w:rPr>
        <w:t xml:space="preserve">, 1; Луговая, 15; Мира, 46; </w:t>
      </w:r>
      <w:proofErr w:type="spellStart"/>
      <w:r w:rsidRPr="00F82588">
        <w:rPr>
          <w:rFonts w:eastAsia="Times New Roman"/>
          <w:sz w:val="28"/>
          <w:szCs w:val="28"/>
        </w:rPr>
        <w:t>Рознина</w:t>
      </w:r>
      <w:proofErr w:type="spellEnd"/>
      <w:r w:rsidRPr="00F82588">
        <w:rPr>
          <w:rFonts w:eastAsia="Times New Roman"/>
          <w:sz w:val="28"/>
          <w:szCs w:val="28"/>
        </w:rPr>
        <w:t xml:space="preserve">, 35; Мира, 4; Водопроводная, 2; </w:t>
      </w:r>
      <w:proofErr w:type="spellStart"/>
      <w:r w:rsidRPr="00F82588">
        <w:rPr>
          <w:rFonts w:eastAsia="Times New Roman"/>
          <w:sz w:val="28"/>
          <w:szCs w:val="28"/>
        </w:rPr>
        <w:t>Рознина</w:t>
      </w:r>
      <w:proofErr w:type="spellEnd"/>
      <w:r w:rsidRPr="00F82588">
        <w:rPr>
          <w:rFonts w:eastAsia="Times New Roman"/>
          <w:sz w:val="28"/>
          <w:szCs w:val="28"/>
        </w:rPr>
        <w:t xml:space="preserve">, 16; Гагарина, 44; Садовая, 15; Ямская, 6; Уральская, 11; Кооперативная, 43; Свободы, 2; </w:t>
      </w:r>
      <w:proofErr w:type="spellStart"/>
      <w:r w:rsidRPr="00F82588">
        <w:rPr>
          <w:rFonts w:eastAsia="Times New Roman"/>
          <w:sz w:val="28"/>
          <w:szCs w:val="28"/>
        </w:rPr>
        <w:t>Сутормина</w:t>
      </w:r>
      <w:proofErr w:type="spellEnd"/>
      <w:r w:rsidRPr="00F82588">
        <w:rPr>
          <w:rFonts w:eastAsia="Times New Roman"/>
          <w:sz w:val="28"/>
          <w:szCs w:val="28"/>
        </w:rPr>
        <w:t xml:space="preserve">, 20; Рассветная, 2; Ломоносова, 38; Объездная, 55;                                                                                                       </w:t>
      </w:r>
    </w:p>
    <w:p w:rsidR="00502B69" w:rsidRPr="002F26BD" w:rsidRDefault="00502B69" w:rsidP="00502B69">
      <w:pPr>
        <w:autoSpaceDE w:val="0"/>
        <w:autoSpaceDN w:val="0"/>
        <w:adjustRightInd w:val="0"/>
        <w:spacing w:after="0"/>
        <w:ind w:firstLine="708"/>
        <w:jc w:val="both"/>
        <w:rPr>
          <w:sz w:val="28"/>
          <w:szCs w:val="28"/>
        </w:rPr>
      </w:pPr>
      <w:r w:rsidRPr="002F26BD">
        <w:rPr>
          <w:sz w:val="28"/>
          <w:szCs w:val="28"/>
        </w:rPr>
        <w:t xml:space="preserve">-содержание каналов связи и телекоммуникационных систем </w:t>
      </w:r>
      <w:r w:rsidRPr="002F26BD">
        <w:rPr>
          <w:rFonts w:eastAsia="Calibri"/>
          <w:sz w:val="28"/>
          <w:szCs w:val="28"/>
        </w:rPr>
        <w:t>(</w:t>
      </w:r>
      <w:r w:rsidRPr="002F26BD">
        <w:rPr>
          <w:rFonts w:eastAsia="Calibri"/>
          <w:sz w:val="28"/>
          <w:szCs w:val="28"/>
          <w:lang w:val="en-US"/>
        </w:rPr>
        <w:t>IP</w:t>
      </w:r>
      <w:r w:rsidRPr="002F26BD">
        <w:rPr>
          <w:rFonts w:eastAsia="Calibri"/>
          <w:sz w:val="28"/>
          <w:szCs w:val="28"/>
        </w:rPr>
        <w:t xml:space="preserve"> </w:t>
      </w:r>
      <w:r w:rsidRPr="002F26BD">
        <w:rPr>
          <w:rFonts w:eastAsia="Calibri"/>
          <w:sz w:val="28"/>
          <w:szCs w:val="28"/>
          <w:lang w:val="en-US"/>
        </w:rPr>
        <w:t>VPN</w:t>
      </w:r>
      <w:r w:rsidRPr="002F26BD">
        <w:rPr>
          <w:rFonts w:eastAsia="Calibri"/>
          <w:sz w:val="28"/>
          <w:szCs w:val="28"/>
        </w:rPr>
        <w:t>, телефонные линии, видеосвязь, интернет) на сумму 3 589,2 тыс. рублей</w:t>
      </w:r>
      <w:r w:rsidRPr="002F26BD">
        <w:rPr>
          <w:sz w:val="28"/>
          <w:szCs w:val="28"/>
        </w:rPr>
        <w:t>;</w:t>
      </w:r>
    </w:p>
    <w:p w:rsidR="00502B69" w:rsidRPr="002F26BD" w:rsidRDefault="00502B69" w:rsidP="00502B69">
      <w:pPr>
        <w:autoSpaceDE w:val="0"/>
        <w:autoSpaceDN w:val="0"/>
        <w:adjustRightInd w:val="0"/>
        <w:spacing w:after="0"/>
        <w:ind w:firstLine="708"/>
        <w:jc w:val="both"/>
        <w:rPr>
          <w:rFonts w:eastAsia="Calibri"/>
          <w:sz w:val="28"/>
          <w:szCs w:val="28"/>
          <w:lang w:eastAsia="en-US"/>
        </w:rPr>
      </w:pPr>
      <w:r w:rsidRPr="002F26BD">
        <w:rPr>
          <w:sz w:val="28"/>
          <w:szCs w:val="28"/>
        </w:rPr>
        <w:t xml:space="preserve">-техническая поддержка специализированного программного обеспечения (СПО «Исток-СМ») на сумму 627,8 тыс. рублей - </w:t>
      </w:r>
      <w:r w:rsidRPr="002F26BD">
        <w:rPr>
          <w:rFonts w:eastAsia="Calibri"/>
          <w:sz w:val="28"/>
          <w:szCs w:val="28"/>
          <w:lang w:eastAsia="en-US"/>
        </w:rPr>
        <w:t>предоставление консультационной помощи по телефону и электронной почте; проведение дистанционного инструктажа дежурно-диспетчерского состава по работе с СПО «Исток-СМ».</w:t>
      </w:r>
      <w:r>
        <w:rPr>
          <w:rFonts w:eastAsia="Calibri"/>
          <w:sz w:val="28"/>
          <w:szCs w:val="28"/>
          <w:lang w:eastAsia="en-US"/>
        </w:rPr>
        <w:t xml:space="preserve">                 </w:t>
      </w:r>
    </w:p>
    <w:p w:rsidR="00502B69" w:rsidRPr="00F37FAB" w:rsidRDefault="00502B69" w:rsidP="00502B69">
      <w:pPr>
        <w:spacing w:after="0"/>
        <w:ind w:firstLine="709"/>
        <w:jc w:val="both"/>
        <w:rPr>
          <w:sz w:val="28"/>
          <w:szCs w:val="28"/>
        </w:rPr>
      </w:pPr>
      <w:r w:rsidRPr="00F37FAB">
        <w:rPr>
          <w:sz w:val="28"/>
          <w:szCs w:val="28"/>
        </w:rPr>
        <w:lastRenderedPageBreak/>
        <w:t xml:space="preserve">Подпрограмма </w:t>
      </w:r>
      <w:r w:rsidRPr="00F37FAB">
        <w:rPr>
          <w:sz w:val="28"/>
          <w:szCs w:val="28"/>
          <w:lang w:val="en-US"/>
        </w:rPr>
        <w:t>II</w:t>
      </w:r>
      <w:r w:rsidRPr="00F37FAB">
        <w:rPr>
          <w:sz w:val="28"/>
          <w:szCs w:val="28"/>
        </w:rPr>
        <w:t xml:space="preserve"> </w:t>
      </w:r>
      <w:r w:rsidRPr="00F37FAB">
        <w:rPr>
          <w:rFonts w:eastAsia="Times New Roman"/>
          <w:color w:val="000000"/>
          <w:sz w:val="28"/>
          <w:szCs w:val="28"/>
        </w:rPr>
        <w:t>«</w:t>
      </w:r>
      <w:r w:rsidRPr="00F37FAB">
        <w:rPr>
          <w:sz w:val="28"/>
          <w:szCs w:val="28"/>
        </w:rPr>
        <w:t>Материально-техническое и финансовое обеспечение деятельности МКУ «Управление гражданской защиты населения</w:t>
      </w:r>
      <w:r w:rsidRPr="00F37FAB">
        <w:rPr>
          <w:rFonts w:eastAsia="Times New Roman"/>
          <w:color w:val="000000"/>
          <w:sz w:val="28"/>
          <w:szCs w:val="28"/>
        </w:rPr>
        <w:t xml:space="preserve">». </w:t>
      </w:r>
    </w:p>
    <w:p w:rsidR="00502B69" w:rsidRPr="00725CC7" w:rsidRDefault="00502B69" w:rsidP="00502B69">
      <w:pPr>
        <w:pStyle w:val="af"/>
        <w:spacing w:after="0"/>
        <w:ind w:left="0" w:firstLine="708"/>
        <w:jc w:val="both"/>
        <w:rPr>
          <w:sz w:val="28"/>
          <w:szCs w:val="28"/>
        </w:rPr>
      </w:pPr>
      <w:r w:rsidRPr="00725CC7">
        <w:rPr>
          <w:sz w:val="28"/>
          <w:szCs w:val="28"/>
        </w:rPr>
        <w:t xml:space="preserve">Исполнение по данной подпрограмме составило 143 561,7 тыс. рублей при плане 144 110,8 тыс. рублей, что составляет 99,6%. </w:t>
      </w:r>
    </w:p>
    <w:p w:rsidR="00502B69" w:rsidRPr="004B0217" w:rsidRDefault="00502B69" w:rsidP="00502B69">
      <w:pPr>
        <w:spacing w:after="0"/>
        <w:ind w:firstLine="709"/>
        <w:jc w:val="both"/>
        <w:rPr>
          <w:rFonts w:eastAsia="Calibri"/>
          <w:sz w:val="28"/>
          <w:szCs w:val="28"/>
          <w:lang w:eastAsia="en-US"/>
        </w:rPr>
      </w:pPr>
      <w:r w:rsidRPr="004B0217">
        <w:rPr>
          <w:rFonts w:eastAsia="Calibri"/>
          <w:sz w:val="28"/>
          <w:szCs w:val="28"/>
          <w:lang w:eastAsia="en-US"/>
        </w:rPr>
        <w:t xml:space="preserve">Данная подпрограмма состоит из одного основного мероприятия </w:t>
      </w:r>
      <w:r w:rsidRPr="004B0217">
        <w:rPr>
          <w:sz w:val="28"/>
          <w:szCs w:val="28"/>
        </w:rPr>
        <w:t xml:space="preserve">«Обеспечение условий для выполнения функций и полномочий, возложенных на МКУ «Управление гражданской защиты населения». </w:t>
      </w:r>
    </w:p>
    <w:p w:rsidR="00502B69" w:rsidRPr="00112F6B" w:rsidRDefault="00502B69" w:rsidP="00502B69">
      <w:pPr>
        <w:autoSpaceDE w:val="0"/>
        <w:autoSpaceDN w:val="0"/>
        <w:adjustRightInd w:val="0"/>
        <w:spacing w:after="0"/>
        <w:ind w:firstLine="708"/>
        <w:jc w:val="both"/>
        <w:rPr>
          <w:sz w:val="28"/>
          <w:szCs w:val="28"/>
        </w:rPr>
      </w:pPr>
      <w:r w:rsidRPr="00112F6B">
        <w:rPr>
          <w:sz w:val="28"/>
          <w:szCs w:val="28"/>
        </w:rPr>
        <w:t xml:space="preserve">В рамках данного мероприятия обеспечивается функционирование </w:t>
      </w:r>
      <w:r w:rsidRPr="00112F6B">
        <w:rPr>
          <w:bCs/>
          <w:sz w:val="28"/>
          <w:szCs w:val="28"/>
        </w:rPr>
        <w:t>муниципального казенного учреждения «</w:t>
      </w:r>
      <w:r w:rsidRPr="00112F6B">
        <w:rPr>
          <w:sz w:val="28"/>
          <w:szCs w:val="28"/>
        </w:rPr>
        <w:t>Управление гражданской защиты населения».</w:t>
      </w:r>
      <w:r w:rsidRPr="00112F6B">
        <w:rPr>
          <w:bCs/>
          <w:sz w:val="28"/>
          <w:szCs w:val="28"/>
        </w:rPr>
        <w:t xml:space="preserve"> </w:t>
      </w:r>
    </w:p>
    <w:p w:rsidR="00502B69" w:rsidRPr="00FC3A43" w:rsidRDefault="00502B69" w:rsidP="00502B69">
      <w:pPr>
        <w:tabs>
          <w:tab w:val="left" w:pos="7620"/>
        </w:tabs>
        <w:autoSpaceDE w:val="0"/>
        <w:autoSpaceDN w:val="0"/>
        <w:adjustRightInd w:val="0"/>
        <w:spacing w:after="0"/>
        <w:ind w:firstLine="709"/>
        <w:contextualSpacing/>
        <w:jc w:val="both"/>
        <w:rPr>
          <w:rFonts w:eastAsia="Calibri"/>
          <w:sz w:val="28"/>
          <w:szCs w:val="28"/>
        </w:rPr>
      </w:pPr>
      <w:r w:rsidRPr="00FC3A43">
        <w:rPr>
          <w:rFonts w:eastAsia="Calibri"/>
          <w:sz w:val="28"/>
          <w:szCs w:val="28"/>
        </w:rPr>
        <w:t xml:space="preserve">Увеличение финансирования мероприятия </w:t>
      </w:r>
      <w:r w:rsidRPr="00FC3A43">
        <w:rPr>
          <w:rFonts w:eastAsia="Times New Roman"/>
          <w:sz w:val="28"/>
          <w:szCs w:val="28"/>
        </w:rPr>
        <w:t>в 2022 году по сравнению с предыдущим годом связано с выделением дополнительных средств</w:t>
      </w:r>
      <w:r w:rsidRPr="00FC3A43">
        <w:rPr>
          <w:rFonts w:eastAsia="Calibri"/>
          <w:sz w:val="28"/>
          <w:szCs w:val="28"/>
        </w:rPr>
        <w:t xml:space="preserve"> на выполнение работ по ремонту теплоходов «Спасатель 911» и «Управа»; </w:t>
      </w:r>
      <w:r w:rsidRPr="00FC3A43">
        <w:rPr>
          <w:rFonts w:eastAsia="Times New Roman"/>
          <w:color w:val="000000"/>
          <w:sz w:val="28"/>
          <w:szCs w:val="28"/>
        </w:rPr>
        <w:t>проведение текущего ремонта помещени</w:t>
      </w:r>
      <w:r w:rsidR="00FB5812">
        <w:rPr>
          <w:rFonts w:eastAsia="Times New Roman"/>
          <w:color w:val="000000"/>
          <w:sz w:val="28"/>
          <w:szCs w:val="28"/>
        </w:rPr>
        <w:t>й</w:t>
      </w:r>
      <w:r w:rsidRPr="00FC3A43">
        <w:rPr>
          <w:rFonts w:eastAsia="Times New Roman"/>
          <w:color w:val="000000"/>
          <w:sz w:val="28"/>
          <w:szCs w:val="28"/>
        </w:rPr>
        <w:t xml:space="preserve"> </w:t>
      </w:r>
      <w:r w:rsidR="00FB5812">
        <w:rPr>
          <w:rFonts w:eastAsia="Times New Roman"/>
          <w:color w:val="000000"/>
          <w:sz w:val="28"/>
          <w:szCs w:val="28"/>
        </w:rPr>
        <w:t>МКУ</w:t>
      </w:r>
      <w:r w:rsidRPr="00FC3A43">
        <w:rPr>
          <w:rFonts w:eastAsia="Times New Roman"/>
          <w:color w:val="000000"/>
          <w:sz w:val="28"/>
          <w:szCs w:val="28"/>
        </w:rPr>
        <w:t xml:space="preserve"> </w:t>
      </w:r>
      <w:r w:rsidRPr="00FC3A43">
        <w:rPr>
          <w:bCs/>
          <w:sz w:val="28"/>
          <w:szCs w:val="28"/>
        </w:rPr>
        <w:t>«</w:t>
      </w:r>
      <w:r w:rsidRPr="00FC3A43">
        <w:rPr>
          <w:sz w:val="28"/>
          <w:szCs w:val="28"/>
        </w:rPr>
        <w:t xml:space="preserve">Управление гражданской защиты населения» по адресу улица Объездная, дом 49. </w:t>
      </w:r>
    </w:p>
    <w:p w:rsidR="00502B69" w:rsidRPr="00863FDF" w:rsidRDefault="00502B69" w:rsidP="00502B69">
      <w:pPr>
        <w:spacing w:after="0"/>
        <w:ind w:firstLine="709"/>
        <w:jc w:val="both"/>
        <w:rPr>
          <w:rFonts w:eastAsia="Calibri"/>
          <w:bCs/>
          <w:iCs/>
          <w:sz w:val="28"/>
          <w:szCs w:val="28"/>
        </w:rPr>
      </w:pPr>
      <w:r w:rsidRPr="00863FDF">
        <w:rPr>
          <w:rFonts w:eastAsia="Calibri"/>
          <w:bCs/>
          <w:iCs/>
          <w:sz w:val="28"/>
          <w:szCs w:val="28"/>
        </w:rPr>
        <w:t xml:space="preserve">Организация и осуществление мероприятий по гражданской обороне проводится в соответствии с планом гражданской обороны города </w:t>
      </w:r>
      <w:r w:rsidR="00FB5812">
        <w:rPr>
          <w:rFonts w:eastAsia="Calibri"/>
          <w:bCs/>
          <w:iCs/>
          <w:sz w:val="28"/>
          <w:szCs w:val="28"/>
        </w:rPr>
        <w:t xml:space="preserve">            </w:t>
      </w:r>
      <w:r w:rsidRPr="00863FDF">
        <w:rPr>
          <w:rFonts w:eastAsia="Calibri"/>
          <w:bCs/>
          <w:iCs/>
          <w:sz w:val="28"/>
          <w:szCs w:val="28"/>
        </w:rPr>
        <w:t xml:space="preserve">Ханты-Мансийска. Подготовка населения в области предупреждения чрезвычайных ситуаций организована на базе учебно-консультационного пункта </w:t>
      </w:r>
      <w:r w:rsidR="00FB5812">
        <w:rPr>
          <w:rFonts w:eastAsia="Calibri"/>
          <w:bCs/>
          <w:iCs/>
          <w:sz w:val="28"/>
          <w:szCs w:val="28"/>
        </w:rPr>
        <w:t>МКУ</w:t>
      </w:r>
      <w:r w:rsidRPr="00863FDF">
        <w:rPr>
          <w:rFonts w:eastAsia="Calibri"/>
          <w:bCs/>
          <w:iCs/>
          <w:sz w:val="28"/>
          <w:szCs w:val="28"/>
        </w:rPr>
        <w:t xml:space="preserve"> </w:t>
      </w:r>
      <w:r w:rsidRPr="00863FDF">
        <w:rPr>
          <w:bCs/>
          <w:sz w:val="28"/>
          <w:szCs w:val="28"/>
        </w:rPr>
        <w:t>«</w:t>
      </w:r>
      <w:r w:rsidRPr="00863FDF">
        <w:rPr>
          <w:sz w:val="28"/>
          <w:szCs w:val="28"/>
        </w:rPr>
        <w:t>Управление гражданской защиты населения»</w:t>
      </w:r>
      <w:r w:rsidRPr="00863FDF">
        <w:rPr>
          <w:rFonts w:eastAsia="Calibri"/>
          <w:bCs/>
          <w:iCs/>
          <w:sz w:val="28"/>
          <w:szCs w:val="28"/>
        </w:rPr>
        <w:t xml:space="preserve">, оснащенного современным техническим оборудованием, наглядными пособиями, стендами, витринами. </w:t>
      </w:r>
    </w:p>
    <w:p w:rsidR="00502B69" w:rsidRPr="00CC45C0" w:rsidRDefault="00502B69" w:rsidP="00502B69">
      <w:pPr>
        <w:spacing w:after="0"/>
        <w:ind w:firstLine="709"/>
        <w:jc w:val="both"/>
        <w:rPr>
          <w:iCs/>
          <w:sz w:val="28"/>
          <w:szCs w:val="28"/>
        </w:rPr>
      </w:pPr>
      <w:r w:rsidRPr="00CC45C0">
        <w:rPr>
          <w:sz w:val="28"/>
          <w:szCs w:val="28"/>
        </w:rPr>
        <w:t xml:space="preserve">Для укрытия населения на территории города имеется более 80 заглубленных помещений и 8 укрытий. </w:t>
      </w:r>
      <w:r w:rsidRPr="00CC45C0">
        <w:rPr>
          <w:iCs/>
          <w:sz w:val="28"/>
          <w:szCs w:val="28"/>
        </w:rPr>
        <w:t>В 2022 году проведено 6 учений (тренировок) по гражданской обороне.</w:t>
      </w:r>
    </w:p>
    <w:p w:rsidR="00502B69" w:rsidRPr="00CC45C0" w:rsidRDefault="00502B69" w:rsidP="00502B69">
      <w:pPr>
        <w:spacing w:after="0"/>
        <w:ind w:firstLine="709"/>
        <w:jc w:val="both"/>
        <w:rPr>
          <w:sz w:val="28"/>
          <w:szCs w:val="28"/>
        </w:rPr>
      </w:pPr>
      <w:r w:rsidRPr="00CC45C0">
        <w:rPr>
          <w:sz w:val="28"/>
          <w:szCs w:val="28"/>
        </w:rPr>
        <w:t>В целях предупреждения и ликвидации природных пожаров создан оперативный штаб по предупреждению и ликвидации чрезвычайных ситуаций и обеспечению пожарной безопасности города Ханты-Мансийска, патрульно-маневренная группа 3 человека и 1 единица техники, патрульно-контрольная группа 7 человек и 2 единицы техники, 62 человека и 28 единиц техники организаций города. За 2022 год на территории города Ханты-Мансийска зарегистрировано 118 пожаров (2021 год - 97).</w:t>
      </w:r>
    </w:p>
    <w:p w:rsidR="00502B69" w:rsidRPr="00CC45C0" w:rsidRDefault="00502B69" w:rsidP="00502B69">
      <w:pPr>
        <w:spacing w:after="0"/>
        <w:ind w:firstLine="709"/>
        <w:jc w:val="both"/>
        <w:rPr>
          <w:sz w:val="28"/>
          <w:szCs w:val="28"/>
        </w:rPr>
      </w:pPr>
      <w:r w:rsidRPr="00CC45C0">
        <w:rPr>
          <w:sz w:val="28"/>
          <w:szCs w:val="28"/>
        </w:rPr>
        <w:t xml:space="preserve">В рамках мероприятия обеспечения безопасности людей на водных объектах в местах несанкционированного отдыха людей у воды в летнее время были установлены 25 знаков «Купание запрещено». </w:t>
      </w:r>
    </w:p>
    <w:p w:rsidR="00502B69" w:rsidRDefault="00502B69" w:rsidP="00502B69">
      <w:pPr>
        <w:spacing w:after="0"/>
        <w:ind w:firstLine="709"/>
        <w:jc w:val="both"/>
        <w:rPr>
          <w:sz w:val="28"/>
          <w:szCs w:val="28"/>
        </w:rPr>
      </w:pPr>
      <w:r w:rsidRPr="00EC2FE7">
        <w:rPr>
          <w:sz w:val="28"/>
          <w:szCs w:val="28"/>
        </w:rPr>
        <w:t xml:space="preserve">Для предотвращения несчастных случаев на воде создано 2 патрульных группы, проведено 531 профилактическая беседа, с раздачей </w:t>
      </w:r>
      <w:r w:rsidRPr="00EC2FE7">
        <w:rPr>
          <w:sz w:val="28"/>
          <w:szCs w:val="28"/>
        </w:rPr>
        <w:lastRenderedPageBreak/>
        <w:t>информационных памяток с правилами поведения людей на водных объектах, с охватом 755 человек.</w:t>
      </w:r>
    </w:p>
    <w:p w:rsidR="00502B69" w:rsidRDefault="00502B69" w:rsidP="00502B69">
      <w:pPr>
        <w:spacing w:after="0"/>
        <w:ind w:firstLine="709"/>
        <w:jc w:val="both"/>
        <w:rPr>
          <w:sz w:val="28"/>
          <w:szCs w:val="28"/>
        </w:rPr>
      </w:pPr>
      <w:r w:rsidRPr="00BD43D6">
        <w:rPr>
          <w:sz w:val="28"/>
          <w:szCs w:val="28"/>
        </w:rPr>
        <w:t>За 2022 год на проведение поисково-спасательных работ спасателями осуществлено 1 611 выездов (2021 год - 1 719), из них на оказание помощи населению - 329 выездов (2021 год - 385), в результате которых спасено 98 человек (2021 год - 85). При спасении людей спасатели оперативно принимали правильные решения и демонстрировали высокий профессионализм.</w:t>
      </w:r>
    </w:p>
    <w:p w:rsidR="00502B69" w:rsidRDefault="00502B69" w:rsidP="00502B69">
      <w:pPr>
        <w:spacing w:after="0"/>
        <w:ind w:firstLine="709"/>
        <w:jc w:val="both"/>
        <w:rPr>
          <w:sz w:val="28"/>
          <w:szCs w:val="28"/>
        </w:rPr>
      </w:pPr>
      <w:r w:rsidRPr="00897136">
        <w:rPr>
          <w:sz w:val="28"/>
          <w:szCs w:val="28"/>
        </w:rPr>
        <w:t xml:space="preserve">Подготовка населения, занятого в сфере производства и обслуживания, в 2022 году осуществлялась на плановых занятиях по соответствующим программам. Всего обучено по данным программам 62 102 человека. Полученные работающим населением знания и навыки закреплялись в ходе их участия в объектовых тренировках и комплексных учениях. </w:t>
      </w:r>
    </w:p>
    <w:p w:rsidR="00502B69" w:rsidRDefault="00502B69" w:rsidP="00B20BE2">
      <w:pPr>
        <w:autoSpaceDE w:val="0"/>
        <w:autoSpaceDN w:val="0"/>
        <w:adjustRightInd w:val="0"/>
        <w:spacing w:after="0"/>
        <w:jc w:val="both"/>
        <w:rPr>
          <w:color w:val="000000"/>
          <w:sz w:val="28"/>
        </w:rPr>
      </w:pPr>
    </w:p>
    <w:p w:rsidR="0021633F" w:rsidRDefault="0021633F" w:rsidP="002921A0">
      <w:pPr>
        <w:keepNext/>
        <w:keepLines/>
        <w:spacing w:after="0" w:line="240" w:lineRule="auto"/>
        <w:ind w:right="424"/>
        <w:jc w:val="center"/>
        <w:outlineLvl w:val="0"/>
        <w:rPr>
          <w:rFonts w:eastAsiaTheme="majorEastAsia"/>
          <w:b/>
          <w:bCs/>
          <w:color w:val="C45911" w:themeColor="accent2" w:themeShade="BF"/>
          <w:sz w:val="32"/>
          <w:szCs w:val="32"/>
        </w:rPr>
      </w:pPr>
      <w:bookmarkStart w:id="5" w:name="_Toc130222747"/>
      <w:bookmarkStart w:id="6" w:name="_GoBack"/>
      <w:bookmarkEnd w:id="5"/>
      <w:bookmarkEnd w:id="6"/>
    </w:p>
    <w:sectPr w:rsidR="0021633F"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9" w:rsidRDefault="008017F9" w:rsidP="00FF5332">
      <w:pPr>
        <w:spacing w:after="0" w:line="240" w:lineRule="auto"/>
      </w:pPr>
      <w:r>
        <w:separator/>
      </w:r>
    </w:p>
  </w:endnote>
  <w:endnote w:type="continuationSeparator" w:id="0">
    <w:p w:rsidR="008017F9" w:rsidRDefault="008017F9"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9" w:rsidRDefault="008017F9" w:rsidP="00FF5332">
      <w:pPr>
        <w:spacing w:after="0" w:line="240" w:lineRule="auto"/>
      </w:pPr>
      <w:r>
        <w:separator/>
      </w:r>
    </w:p>
  </w:footnote>
  <w:footnote w:type="continuationSeparator" w:id="0">
    <w:p w:rsidR="008017F9" w:rsidRDefault="008017F9"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2EDA"/>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33EF"/>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5C3F"/>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17F9"/>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437E"/>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33C1"/>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110335936637504E-2"/>
          <c:y val="0"/>
          <c:w val="0.95588973127468935"/>
          <c:h val="0.860763062612582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2022'!$B$4:$D$4</c:f>
              <c:strCache>
                <c:ptCount val="3"/>
                <c:pt idx="0">
                  <c:v> 2021 год (исполнено) </c:v>
                </c:pt>
                <c:pt idx="1">
                  <c:v> 2022 год (плановые назначения) </c:v>
                </c:pt>
                <c:pt idx="2">
                  <c:v> 2022 (исполнено) </c:v>
                </c:pt>
              </c:strCache>
            </c:strRef>
          </c:cat>
          <c:val>
            <c:numRef>
              <c:f>'ГО и ЧС 2022'!$B$5:$D$5</c:f>
              <c:numCache>
                <c:formatCode>#\ ##0.0;[Red]\-#\ ##0.0;0.0</c:formatCode>
                <c:ptCount val="3"/>
                <c:pt idx="0">
                  <c:v>138669.6</c:v>
                </c:pt>
                <c:pt idx="1">
                  <c:v>163950</c:v>
                </c:pt>
                <c:pt idx="2">
                  <c:v>162805.20000000001</c:v>
                </c:pt>
              </c:numCache>
            </c:numRef>
          </c:val>
        </c:ser>
        <c:dLbls>
          <c:showLegendKey val="0"/>
          <c:showVal val="0"/>
          <c:showCatName val="0"/>
          <c:showSerName val="0"/>
          <c:showPercent val="0"/>
          <c:showBubbleSize val="0"/>
        </c:dLbls>
        <c:gapWidth val="219"/>
        <c:overlap val="-27"/>
        <c:axId val="147520128"/>
        <c:axId val="148013440"/>
      </c:barChart>
      <c:catAx>
        <c:axId val="1475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013440"/>
        <c:crosses val="autoZero"/>
        <c:auto val="1"/>
        <c:lblAlgn val="ctr"/>
        <c:lblOffset val="100"/>
        <c:noMultiLvlLbl val="0"/>
      </c:catAx>
      <c:valAx>
        <c:axId val="148013440"/>
        <c:scaling>
          <c:orientation val="minMax"/>
        </c:scaling>
        <c:delete val="1"/>
        <c:axPos val="l"/>
        <c:numFmt formatCode="#\ ##0.0;[Red]\-#\ ##0.0;0.0" sourceLinked="1"/>
        <c:majorTickMark val="none"/>
        <c:minorTickMark val="none"/>
        <c:tickLblPos val="none"/>
        <c:crossAx val="147520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16460442444693"/>
          <c:y val="4.7068891741548997E-2"/>
          <c:w val="0.45921634795650546"/>
          <c:h val="0.80797981125273333"/>
        </c:manualLayout>
      </c:layout>
      <c:barChart>
        <c:barDir val="bar"/>
        <c:grouping val="clustered"/>
        <c:varyColors val="0"/>
        <c:ser>
          <c:idx val="0"/>
          <c:order val="0"/>
          <c:tx>
            <c:strRef>
              <c:f>'ГО и ЧС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2022'!$A$2:$A$3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2022'!$B$2:$B$3</c:f>
              <c:numCache>
                <c:formatCode>#\ ##0.0;[Red]\-#\ ##0.0;0.0</c:formatCode>
                <c:ptCount val="2"/>
                <c:pt idx="0">
                  <c:v>21100.1</c:v>
                </c:pt>
                <c:pt idx="1">
                  <c:v>117569.5</c:v>
                </c:pt>
              </c:numCache>
            </c:numRef>
          </c:val>
        </c:ser>
        <c:ser>
          <c:idx val="1"/>
          <c:order val="1"/>
          <c:tx>
            <c:strRef>
              <c:f>'ГО и ЧС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2022'!$A$2:$A$3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2022'!$C$2:$C$3</c:f>
              <c:numCache>
                <c:formatCode>#\ ##0.0;[Red]\-#\ ##0.0;0.0</c:formatCode>
                <c:ptCount val="2"/>
                <c:pt idx="0">
                  <c:v>19839.2</c:v>
                </c:pt>
                <c:pt idx="1">
                  <c:v>144110.79999999999</c:v>
                </c:pt>
              </c:numCache>
            </c:numRef>
          </c:val>
        </c:ser>
        <c:ser>
          <c:idx val="2"/>
          <c:order val="2"/>
          <c:tx>
            <c:strRef>
              <c:f>'ГО и ЧС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2022'!$A$2:$A$3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2022'!$D$2:$D$3</c:f>
              <c:numCache>
                <c:formatCode>#\ ##0.0;[Red]\-#\ ##0.0;0.0</c:formatCode>
                <c:ptCount val="2"/>
                <c:pt idx="0">
                  <c:v>19243.5</c:v>
                </c:pt>
                <c:pt idx="1">
                  <c:v>143561.70000000001</c:v>
                </c:pt>
              </c:numCache>
            </c:numRef>
          </c:val>
        </c:ser>
        <c:ser>
          <c:idx val="3"/>
          <c:order val="3"/>
          <c:tx>
            <c:strRef>
              <c:f>'ГО и ЧС 2022'!$E$1</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'ГО и ЧС 2022'!$A$2:$A$3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2022'!$E$2:$E$3</c:f>
              <c:numCache>
                <c:formatCode>General</c:formatCode>
                <c:ptCount val="2"/>
              </c:numCache>
            </c:numRef>
          </c:val>
        </c:ser>
        <c:ser>
          <c:idx val="4"/>
          <c:order val="4"/>
          <c:tx>
            <c:strRef>
              <c:f>'ГО и ЧС 2022'!$F$1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'ГО и ЧС 2022'!$A$2:$A$3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2022'!$F$2:$F$3</c:f>
              <c:numCache>
                <c:formatCode>General</c:formatCode>
                <c:ptCount val="2"/>
              </c:numCache>
            </c:numRef>
          </c:val>
        </c:ser>
        <c:dLbls>
          <c:showLegendKey val="0"/>
          <c:showVal val="0"/>
          <c:showCatName val="0"/>
          <c:showSerName val="0"/>
          <c:showPercent val="0"/>
          <c:showBubbleSize val="0"/>
        </c:dLbls>
        <c:gapWidth val="182"/>
        <c:axId val="131495424"/>
        <c:axId val="131496960"/>
      </c:barChart>
      <c:catAx>
        <c:axId val="13149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496960"/>
        <c:crosses val="autoZero"/>
        <c:auto val="1"/>
        <c:lblAlgn val="ctr"/>
        <c:lblOffset val="100"/>
        <c:noMultiLvlLbl val="0"/>
      </c:catAx>
      <c:valAx>
        <c:axId val="131496960"/>
        <c:scaling>
          <c:orientation val="minMax"/>
        </c:scaling>
        <c:delete val="1"/>
        <c:axPos val="b"/>
        <c:numFmt formatCode="#\ ##0.0;[Red]\-#\ ##0.0;0.0" sourceLinked="1"/>
        <c:majorTickMark val="none"/>
        <c:minorTickMark val="none"/>
        <c:tickLblPos val="none"/>
        <c:crossAx val="131495424"/>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3E698-2356-4488-95A1-4E3FC49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2023-04-10T12:11:00Z</dcterms:created>
  <dcterms:modified xsi:type="dcterms:W3CDTF">2023-04-10T12:11:00Z</dcterms:modified>
</cp:coreProperties>
</file>