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812" w:rsidRDefault="002921A0" w:rsidP="002921A0">
      <w:pPr>
        <w:keepNext/>
        <w:keepLines/>
        <w:spacing w:after="0" w:line="240" w:lineRule="auto"/>
        <w:ind w:right="424"/>
        <w:jc w:val="center"/>
        <w:outlineLvl w:val="0"/>
        <w:rPr>
          <w:rFonts w:eastAsiaTheme="majorEastAsia"/>
          <w:b/>
          <w:bCs/>
          <w:color w:val="C45911" w:themeColor="accent2" w:themeShade="BF"/>
          <w:sz w:val="32"/>
          <w:szCs w:val="32"/>
        </w:rPr>
      </w:pPr>
      <w:bookmarkStart w:id="0" w:name="_Toc130222747"/>
      <w:bookmarkStart w:id="1" w:name="_Toc131164280"/>
      <w:r w:rsidRPr="002921A0">
        <w:rPr>
          <w:rFonts w:eastAsiaTheme="majorEastAsia"/>
          <w:b/>
          <w:bCs/>
          <w:color w:val="C45911" w:themeColor="accent2" w:themeShade="BF"/>
          <w:sz w:val="32"/>
          <w:szCs w:val="32"/>
        </w:rPr>
        <w:t>Муниципальная программа</w:t>
      </w:r>
      <w:bookmarkEnd w:id="1"/>
    </w:p>
    <w:p w:rsidR="002921A0" w:rsidRPr="002921A0" w:rsidRDefault="002921A0" w:rsidP="002921A0">
      <w:pPr>
        <w:keepNext/>
        <w:keepLines/>
        <w:spacing w:after="0" w:line="240" w:lineRule="auto"/>
        <w:ind w:right="424"/>
        <w:jc w:val="center"/>
        <w:outlineLvl w:val="0"/>
        <w:rPr>
          <w:rFonts w:eastAsiaTheme="majorEastAsia"/>
          <w:b/>
          <w:bCs/>
          <w:color w:val="C45911" w:themeColor="accent2" w:themeShade="BF"/>
          <w:sz w:val="32"/>
          <w:szCs w:val="32"/>
        </w:rPr>
      </w:pPr>
      <w:r w:rsidRPr="002921A0">
        <w:rPr>
          <w:rFonts w:eastAsiaTheme="majorEastAsia"/>
          <w:b/>
          <w:bCs/>
          <w:color w:val="C45911" w:themeColor="accent2" w:themeShade="BF"/>
          <w:sz w:val="32"/>
          <w:szCs w:val="32"/>
        </w:rPr>
        <w:t xml:space="preserve"> </w:t>
      </w:r>
      <w:bookmarkStart w:id="2" w:name="_Toc131164281"/>
      <w:r w:rsidRPr="002921A0">
        <w:rPr>
          <w:rFonts w:eastAsiaTheme="majorEastAsia"/>
          <w:b/>
          <w:bCs/>
          <w:color w:val="C45911" w:themeColor="accent2" w:themeShade="BF"/>
          <w:sz w:val="32"/>
          <w:szCs w:val="32"/>
        </w:rPr>
        <w:t>«Обеспечение градостроительной деятельности на территории города Ханты-Мансийска»</w:t>
      </w:r>
      <w:bookmarkEnd w:id="0"/>
      <w:bookmarkEnd w:id="2"/>
      <w:r w:rsidRPr="002921A0">
        <w:rPr>
          <w:rFonts w:eastAsiaTheme="majorEastAsia"/>
          <w:b/>
          <w:bCs/>
          <w:color w:val="C45911" w:themeColor="accent2" w:themeShade="BF"/>
          <w:sz w:val="32"/>
          <w:szCs w:val="32"/>
        </w:rPr>
        <w:t xml:space="preserve"> </w:t>
      </w:r>
    </w:p>
    <w:p w:rsidR="002921A0" w:rsidRPr="002921A0" w:rsidRDefault="002921A0" w:rsidP="002921A0">
      <w:pPr>
        <w:spacing w:after="0"/>
        <w:ind w:right="142" w:firstLine="709"/>
        <w:jc w:val="both"/>
        <w:rPr>
          <w:sz w:val="28"/>
          <w:szCs w:val="28"/>
          <w:highlight w:val="green"/>
        </w:rPr>
      </w:pPr>
    </w:p>
    <w:p w:rsidR="002921A0" w:rsidRPr="002921A0" w:rsidRDefault="002921A0" w:rsidP="002921A0">
      <w:pPr>
        <w:spacing w:after="0"/>
        <w:ind w:right="142" w:firstLine="709"/>
        <w:jc w:val="both"/>
        <w:rPr>
          <w:sz w:val="28"/>
          <w:szCs w:val="28"/>
        </w:rPr>
      </w:pPr>
      <w:r w:rsidRPr="002921A0">
        <w:rPr>
          <w:sz w:val="28"/>
          <w:szCs w:val="28"/>
        </w:rPr>
        <w:t xml:space="preserve">Муниципальная программа утверждена постановлением Администрации города Ханты-Мансийска от 20.11.2012 № 1328 «О муниципальной программе «Обеспечение градостроительной деятельности на территории города Ханты-Мансийска». </w:t>
      </w:r>
    </w:p>
    <w:p w:rsidR="002921A0" w:rsidRPr="002921A0" w:rsidRDefault="002921A0" w:rsidP="002921A0">
      <w:pPr>
        <w:spacing w:after="0"/>
        <w:ind w:right="142" w:firstLine="709"/>
        <w:jc w:val="both"/>
        <w:rPr>
          <w:sz w:val="28"/>
          <w:szCs w:val="28"/>
        </w:rPr>
      </w:pPr>
      <w:r w:rsidRPr="002921A0">
        <w:rPr>
          <w:sz w:val="28"/>
          <w:szCs w:val="28"/>
        </w:rPr>
        <w:t>Разработчиком и координатором муниципальной программы является Департамент градостроительства и архитектуры Администрации города Ханты-Мансийска.</w:t>
      </w:r>
    </w:p>
    <w:p w:rsidR="002921A0" w:rsidRPr="002921A0" w:rsidRDefault="002921A0" w:rsidP="002921A0">
      <w:pPr>
        <w:spacing w:after="0"/>
        <w:ind w:right="142" w:firstLine="709"/>
        <w:jc w:val="both"/>
        <w:rPr>
          <w:sz w:val="28"/>
          <w:szCs w:val="28"/>
          <w:lang w:eastAsia="en-US"/>
        </w:rPr>
      </w:pPr>
      <w:r w:rsidRPr="002921A0">
        <w:rPr>
          <w:rFonts w:eastAsia="Times New Roman"/>
          <w:sz w:val="28"/>
          <w:szCs w:val="28"/>
          <w:lang w:eastAsia="en-US"/>
        </w:rPr>
        <w:t xml:space="preserve">Целью муниципальной программы является создание условий для устойчивого развития территорий города Ханты-Мансийска, рационального использования природных ресурсов на основе документов по планировке территорий, способствующих дальнейшему развитию жилищной, инженерной, транспортной и социальной инфраструктур города Ханты-Мансийска, с учетом интересов граждан, предприятий и предпринимателей, по созданию благоприятных условий жизнедеятельности. </w:t>
      </w:r>
    </w:p>
    <w:p w:rsidR="002921A0" w:rsidRPr="002921A0" w:rsidRDefault="002921A0" w:rsidP="002921A0">
      <w:pPr>
        <w:autoSpaceDE w:val="0"/>
        <w:autoSpaceDN w:val="0"/>
        <w:adjustRightInd w:val="0"/>
        <w:spacing w:after="0"/>
        <w:ind w:firstLine="709"/>
        <w:jc w:val="both"/>
        <w:rPr>
          <w:sz w:val="28"/>
          <w:szCs w:val="28"/>
        </w:rPr>
      </w:pPr>
      <w:r w:rsidRPr="002921A0">
        <w:rPr>
          <w:sz w:val="28"/>
          <w:szCs w:val="28"/>
        </w:rPr>
        <w:t>Задачи муниципальной программы:</w:t>
      </w:r>
    </w:p>
    <w:p w:rsidR="002921A0" w:rsidRPr="002921A0" w:rsidRDefault="002921A0" w:rsidP="002921A0">
      <w:pPr>
        <w:autoSpaceDE w:val="0"/>
        <w:autoSpaceDN w:val="0"/>
        <w:adjustRightInd w:val="0"/>
        <w:spacing w:after="0"/>
        <w:ind w:firstLine="709"/>
        <w:jc w:val="both"/>
        <w:rPr>
          <w:sz w:val="28"/>
          <w:szCs w:val="28"/>
        </w:rPr>
      </w:pPr>
      <w:r w:rsidRPr="002921A0">
        <w:rPr>
          <w:sz w:val="28"/>
          <w:szCs w:val="28"/>
        </w:rPr>
        <w:t>1.Формирование на территории города Ханты-Мансийска градостроительной документации и внедрение автоматизированных информационных систем обеспечения градостроительной деятельности.</w:t>
      </w:r>
    </w:p>
    <w:p w:rsidR="002921A0" w:rsidRPr="002921A0" w:rsidRDefault="002921A0" w:rsidP="002921A0">
      <w:pPr>
        <w:autoSpaceDE w:val="0"/>
        <w:autoSpaceDN w:val="0"/>
        <w:adjustRightInd w:val="0"/>
        <w:spacing w:after="0"/>
        <w:ind w:firstLine="709"/>
        <w:jc w:val="both"/>
        <w:rPr>
          <w:sz w:val="28"/>
          <w:szCs w:val="28"/>
        </w:rPr>
      </w:pPr>
      <w:r w:rsidRPr="002921A0">
        <w:rPr>
          <w:sz w:val="28"/>
          <w:szCs w:val="28"/>
        </w:rPr>
        <w:t>2.Обеспечение условий для выполнения функций и полномочий, возложенных на Департамент градостроительства и архитектуры Администрации города Ханты-Мансийска и подведомственное ему учреждение.</w:t>
      </w:r>
    </w:p>
    <w:p w:rsidR="002921A0" w:rsidRPr="002921A0" w:rsidRDefault="002921A0" w:rsidP="002921A0">
      <w:pPr>
        <w:autoSpaceDE w:val="0"/>
        <w:autoSpaceDN w:val="0"/>
        <w:adjustRightInd w:val="0"/>
        <w:spacing w:after="0"/>
        <w:ind w:firstLine="709"/>
        <w:jc w:val="both"/>
        <w:rPr>
          <w:sz w:val="28"/>
          <w:szCs w:val="28"/>
        </w:rPr>
      </w:pPr>
      <w:r w:rsidRPr="002921A0">
        <w:rPr>
          <w:sz w:val="28"/>
          <w:szCs w:val="28"/>
        </w:rPr>
        <w:t>3.Проведение экспертизы зданий и сооружений.</w:t>
      </w:r>
    </w:p>
    <w:p w:rsidR="002921A0" w:rsidRPr="002921A0" w:rsidRDefault="002921A0" w:rsidP="002921A0">
      <w:pPr>
        <w:autoSpaceDE w:val="0"/>
        <w:autoSpaceDN w:val="0"/>
        <w:adjustRightInd w:val="0"/>
        <w:spacing w:after="0"/>
        <w:ind w:firstLine="709"/>
        <w:jc w:val="both"/>
        <w:rPr>
          <w:sz w:val="28"/>
          <w:szCs w:val="28"/>
        </w:rPr>
      </w:pPr>
      <w:r w:rsidRPr="002921A0">
        <w:rPr>
          <w:sz w:val="28"/>
          <w:szCs w:val="28"/>
        </w:rPr>
        <w:t>4.Проведение ремонтных работ жилых помещений и общего имущества собственников помещений в многоквартирных жилых домах.</w:t>
      </w:r>
    </w:p>
    <w:p w:rsidR="002921A0" w:rsidRPr="002921A0" w:rsidRDefault="002921A0" w:rsidP="002921A0">
      <w:pPr>
        <w:autoSpaceDE w:val="0"/>
        <w:autoSpaceDN w:val="0"/>
        <w:adjustRightInd w:val="0"/>
        <w:spacing w:after="0"/>
        <w:ind w:firstLine="709"/>
        <w:jc w:val="both"/>
        <w:rPr>
          <w:sz w:val="28"/>
          <w:szCs w:val="28"/>
        </w:rPr>
      </w:pPr>
      <w:r w:rsidRPr="002921A0">
        <w:rPr>
          <w:sz w:val="28"/>
          <w:szCs w:val="28"/>
        </w:rPr>
        <w:t xml:space="preserve">На финансирование муниципальной программы в 2022 году предусмотрены средства бюджета города Ханты-Мансийска в объеме 163 873,6 тыс. рублей.    </w:t>
      </w:r>
    </w:p>
    <w:p w:rsidR="002921A0" w:rsidRPr="002921A0" w:rsidRDefault="002921A0" w:rsidP="002921A0">
      <w:pPr>
        <w:autoSpaceDE w:val="0"/>
        <w:autoSpaceDN w:val="0"/>
        <w:adjustRightInd w:val="0"/>
        <w:spacing w:after="0"/>
        <w:ind w:firstLine="709"/>
        <w:jc w:val="both"/>
        <w:rPr>
          <w:sz w:val="24"/>
          <w:szCs w:val="24"/>
        </w:rPr>
      </w:pPr>
      <w:r w:rsidRPr="002921A0">
        <w:rPr>
          <w:sz w:val="28"/>
          <w:szCs w:val="28"/>
        </w:rPr>
        <w:t xml:space="preserve">Исполнение </w:t>
      </w:r>
      <w:r w:rsidRPr="002921A0">
        <w:rPr>
          <w:bCs/>
          <w:sz w:val="28"/>
          <w:szCs w:val="28"/>
        </w:rPr>
        <w:t>муниципальной программы</w:t>
      </w:r>
      <w:r w:rsidRPr="002921A0">
        <w:rPr>
          <w:sz w:val="28"/>
          <w:szCs w:val="28"/>
        </w:rPr>
        <w:t xml:space="preserve"> за 2022 год составляет 161 635,5 тыс. рублей или 98,6 % от годового объема финансирования. </w:t>
      </w:r>
    </w:p>
    <w:p w:rsidR="00030B7B" w:rsidRDefault="00030B7B" w:rsidP="002921A0">
      <w:pPr>
        <w:autoSpaceDE w:val="0"/>
        <w:autoSpaceDN w:val="0"/>
        <w:adjustRightInd w:val="0"/>
        <w:spacing w:after="240"/>
        <w:ind w:firstLine="709"/>
        <w:rPr>
          <w:sz w:val="24"/>
          <w:szCs w:val="24"/>
        </w:rPr>
      </w:pPr>
    </w:p>
    <w:p w:rsidR="002921A0" w:rsidRPr="002921A0" w:rsidRDefault="002921A0" w:rsidP="002921A0">
      <w:pPr>
        <w:autoSpaceDE w:val="0"/>
        <w:autoSpaceDN w:val="0"/>
        <w:adjustRightInd w:val="0"/>
        <w:spacing w:after="240"/>
        <w:ind w:firstLine="709"/>
        <w:rPr>
          <w:sz w:val="24"/>
          <w:szCs w:val="24"/>
        </w:rPr>
      </w:pPr>
      <w:r w:rsidRPr="002921A0">
        <w:rPr>
          <w:sz w:val="24"/>
          <w:szCs w:val="24"/>
        </w:rPr>
        <w:t>Рисунок 3.16.1.</w:t>
      </w:r>
    </w:p>
    <w:p w:rsidR="002921A0" w:rsidRPr="002921A0" w:rsidRDefault="002921A0" w:rsidP="002921A0">
      <w:pPr>
        <w:autoSpaceDE w:val="0"/>
        <w:autoSpaceDN w:val="0"/>
        <w:adjustRightInd w:val="0"/>
        <w:spacing w:after="0"/>
        <w:ind w:right="-1" w:firstLine="709"/>
        <w:jc w:val="center"/>
        <w:rPr>
          <w:bCs/>
          <w:sz w:val="28"/>
          <w:szCs w:val="28"/>
        </w:rPr>
      </w:pPr>
      <w:r w:rsidRPr="002921A0">
        <w:rPr>
          <w:b/>
          <w:sz w:val="28"/>
          <w:szCs w:val="28"/>
        </w:rPr>
        <w:lastRenderedPageBreak/>
        <w:t xml:space="preserve">Объёмы ассигнований на реализацию муниципальной программы </w:t>
      </w:r>
      <w:r w:rsidRPr="002921A0">
        <w:rPr>
          <w:b/>
          <w:bCs/>
          <w:sz w:val="28"/>
          <w:szCs w:val="28"/>
        </w:rPr>
        <w:t>«Обеспечение градостроительной деятельности на территории города Ханты-Мансийска», тыс. рублей</w:t>
      </w:r>
      <w:r w:rsidRPr="002921A0">
        <w:rPr>
          <w:bCs/>
          <w:sz w:val="28"/>
          <w:szCs w:val="28"/>
        </w:rPr>
        <w:t>.</w:t>
      </w:r>
    </w:p>
    <w:p w:rsidR="002921A0" w:rsidRPr="002921A0" w:rsidRDefault="002921A0" w:rsidP="002921A0">
      <w:pPr>
        <w:autoSpaceDE w:val="0"/>
        <w:autoSpaceDN w:val="0"/>
        <w:adjustRightInd w:val="0"/>
        <w:spacing w:after="0"/>
        <w:ind w:right="-1" w:firstLine="709"/>
        <w:jc w:val="center"/>
        <w:rPr>
          <w:bCs/>
          <w:sz w:val="28"/>
          <w:szCs w:val="28"/>
        </w:rPr>
      </w:pPr>
    </w:p>
    <w:p w:rsidR="002921A0" w:rsidRPr="002921A0" w:rsidRDefault="002921A0" w:rsidP="002921A0">
      <w:pPr>
        <w:autoSpaceDE w:val="0"/>
        <w:autoSpaceDN w:val="0"/>
        <w:adjustRightInd w:val="0"/>
        <w:spacing w:after="0"/>
        <w:ind w:right="-1"/>
        <w:jc w:val="both"/>
        <w:rPr>
          <w:bCs/>
          <w:sz w:val="28"/>
          <w:szCs w:val="28"/>
          <w:highlight w:val="green"/>
        </w:rPr>
      </w:pPr>
      <w:r w:rsidRPr="002921A0">
        <w:rPr>
          <w:rFonts w:ascii="Arial" w:hAnsi="Arial" w:cs="Arial"/>
          <w:b/>
          <w:bCs/>
          <w:noProof/>
          <w:sz w:val="20"/>
          <w:szCs w:val="20"/>
          <w:highlight w:val="green"/>
        </w:rPr>
        <w:drawing>
          <wp:inline distT="0" distB="0" distL="0" distR="0" wp14:anchorId="23B04F82" wp14:editId="3DE7018C">
            <wp:extent cx="5715000" cy="2146300"/>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21A0" w:rsidRPr="002921A0" w:rsidRDefault="002921A0" w:rsidP="002921A0">
      <w:pPr>
        <w:autoSpaceDE w:val="0"/>
        <w:autoSpaceDN w:val="0"/>
        <w:adjustRightInd w:val="0"/>
        <w:spacing w:after="0"/>
        <w:ind w:right="-1" w:firstLine="709"/>
        <w:jc w:val="both"/>
        <w:rPr>
          <w:sz w:val="28"/>
          <w:szCs w:val="28"/>
          <w:highlight w:val="green"/>
        </w:rPr>
      </w:pPr>
    </w:p>
    <w:p w:rsidR="002921A0" w:rsidRPr="002921A0" w:rsidRDefault="002921A0" w:rsidP="002921A0">
      <w:pPr>
        <w:spacing w:after="0"/>
        <w:ind w:right="142" w:firstLine="709"/>
        <w:jc w:val="both"/>
        <w:rPr>
          <w:sz w:val="28"/>
          <w:szCs w:val="28"/>
        </w:rPr>
      </w:pPr>
      <w:r w:rsidRPr="002921A0">
        <w:rPr>
          <w:sz w:val="28"/>
          <w:szCs w:val="28"/>
        </w:rPr>
        <w:t>Объемы бюджетных ассигнований распределены следующим образом:</w:t>
      </w:r>
    </w:p>
    <w:p w:rsidR="002921A0" w:rsidRPr="002921A0" w:rsidRDefault="002921A0" w:rsidP="002921A0">
      <w:pPr>
        <w:spacing w:after="0"/>
        <w:ind w:right="142" w:firstLine="709"/>
        <w:rPr>
          <w:sz w:val="24"/>
          <w:szCs w:val="24"/>
          <w:highlight w:val="green"/>
        </w:rPr>
      </w:pPr>
    </w:p>
    <w:p w:rsidR="002921A0" w:rsidRPr="002921A0" w:rsidRDefault="002921A0" w:rsidP="002921A0">
      <w:pPr>
        <w:spacing w:after="0"/>
        <w:ind w:right="142" w:firstLine="709"/>
        <w:rPr>
          <w:sz w:val="24"/>
          <w:szCs w:val="24"/>
        </w:rPr>
      </w:pPr>
      <w:r w:rsidRPr="002921A0">
        <w:rPr>
          <w:sz w:val="24"/>
          <w:szCs w:val="24"/>
        </w:rPr>
        <w:t>Таблица 3.16.1.</w:t>
      </w:r>
    </w:p>
    <w:p w:rsidR="002921A0" w:rsidRPr="002921A0" w:rsidRDefault="002921A0" w:rsidP="002921A0">
      <w:pPr>
        <w:spacing w:after="0"/>
        <w:ind w:right="142" w:firstLine="709"/>
        <w:jc w:val="both"/>
        <w:rPr>
          <w:sz w:val="28"/>
          <w:szCs w:val="28"/>
        </w:rPr>
      </w:pPr>
      <w:r w:rsidRPr="002921A0">
        <w:rPr>
          <w:sz w:val="28"/>
          <w:szCs w:val="28"/>
        </w:rPr>
        <w:t xml:space="preserve">                                                  </w:t>
      </w:r>
    </w:p>
    <w:p w:rsidR="002921A0" w:rsidRPr="002921A0" w:rsidRDefault="002921A0" w:rsidP="002921A0">
      <w:pPr>
        <w:spacing w:after="0"/>
        <w:ind w:right="142" w:firstLine="709"/>
        <w:jc w:val="center"/>
        <w:rPr>
          <w:b/>
          <w:sz w:val="28"/>
          <w:szCs w:val="28"/>
        </w:rPr>
      </w:pPr>
      <w:r w:rsidRPr="002921A0">
        <w:rPr>
          <w:b/>
          <w:sz w:val="28"/>
          <w:szCs w:val="28"/>
        </w:rPr>
        <w:t>Объем бюджетных ассигнований за 2022 год по основному исполнителю и соисполнителям муниципальной программы</w:t>
      </w:r>
    </w:p>
    <w:p w:rsidR="002921A0" w:rsidRPr="002921A0" w:rsidRDefault="002921A0" w:rsidP="002921A0">
      <w:pPr>
        <w:spacing w:after="0"/>
        <w:ind w:right="142" w:firstLine="709"/>
        <w:jc w:val="center"/>
        <w:rPr>
          <w:b/>
          <w:sz w:val="28"/>
          <w:szCs w:val="28"/>
        </w:rPr>
      </w:pPr>
      <w:r w:rsidRPr="002921A0">
        <w:rPr>
          <w:b/>
          <w:sz w:val="28"/>
          <w:szCs w:val="28"/>
        </w:rPr>
        <w:t>«Обеспечение градостроительной деятельности на территории города Ханты-Мансийска»</w:t>
      </w:r>
    </w:p>
    <w:p w:rsidR="002921A0" w:rsidRPr="002921A0" w:rsidRDefault="002921A0" w:rsidP="002921A0">
      <w:pPr>
        <w:tabs>
          <w:tab w:val="left" w:pos="459"/>
        </w:tabs>
        <w:suppressAutoHyphens/>
        <w:spacing w:after="0"/>
        <w:ind w:firstLine="709"/>
        <w:rPr>
          <w:sz w:val="24"/>
          <w:szCs w:val="24"/>
        </w:rPr>
      </w:pPr>
      <w:r w:rsidRPr="002921A0">
        <w:rPr>
          <w:sz w:val="24"/>
          <w:szCs w:val="24"/>
        </w:rPr>
        <w:t xml:space="preserve"> (тыс. рублей)</w:t>
      </w:r>
    </w:p>
    <w:tbl>
      <w:tblPr>
        <w:tblW w:w="9679"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18"/>
        <w:gridCol w:w="3494"/>
        <w:gridCol w:w="1356"/>
        <w:gridCol w:w="1418"/>
        <w:gridCol w:w="1276"/>
        <w:gridCol w:w="1417"/>
      </w:tblGrid>
      <w:tr w:rsidR="002921A0" w:rsidRPr="002921A0" w:rsidTr="00935BA6">
        <w:trPr>
          <w:trHeight w:val="333"/>
        </w:trPr>
        <w:tc>
          <w:tcPr>
            <w:tcW w:w="718" w:type="dxa"/>
            <w:vMerge w:val="restart"/>
            <w:shd w:val="clear" w:color="auto" w:fill="auto"/>
            <w:noWrap/>
            <w:hideMark/>
          </w:tcPr>
          <w:p w:rsidR="002921A0" w:rsidRPr="002921A0" w:rsidRDefault="002921A0" w:rsidP="002921A0">
            <w:pPr>
              <w:spacing w:line="240" w:lineRule="auto"/>
              <w:jc w:val="center"/>
              <w:rPr>
                <w:sz w:val="20"/>
                <w:szCs w:val="20"/>
              </w:rPr>
            </w:pPr>
            <w:r w:rsidRPr="002921A0">
              <w:rPr>
                <w:sz w:val="20"/>
                <w:szCs w:val="20"/>
              </w:rPr>
              <w:t>№ п/п</w:t>
            </w:r>
          </w:p>
        </w:tc>
        <w:tc>
          <w:tcPr>
            <w:tcW w:w="3494" w:type="dxa"/>
            <w:vMerge w:val="restart"/>
            <w:shd w:val="clear" w:color="auto" w:fill="auto"/>
            <w:hideMark/>
          </w:tcPr>
          <w:p w:rsidR="002921A0" w:rsidRPr="002921A0" w:rsidRDefault="002921A0" w:rsidP="002921A0">
            <w:pPr>
              <w:spacing w:line="240" w:lineRule="auto"/>
              <w:jc w:val="center"/>
              <w:rPr>
                <w:sz w:val="20"/>
                <w:szCs w:val="20"/>
              </w:rPr>
            </w:pPr>
            <w:r w:rsidRPr="002921A0">
              <w:rPr>
                <w:sz w:val="20"/>
                <w:szCs w:val="20"/>
              </w:rPr>
              <w:t>Наименование основного исполнителя, соисполнителя муниципальной программы</w:t>
            </w:r>
          </w:p>
        </w:tc>
        <w:tc>
          <w:tcPr>
            <w:tcW w:w="1356" w:type="dxa"/>
            <w:vMerge w:val="restart"/>
            <w:shd w:val="clear" w:color="auto" w:fill="auto"/>
            <w:hideMark/>
          </w:tcPr>
          <w:p w:rsidR="002921A0" w:rsidRPr="002921A0" w:rsidRDefault="002921A0" w:rsidP="002921A0">
            <w:pPr>
              <w:spacing w:line="240" w:lineRule="auto"/>
              <w:jc w:val="center"/>
              <w:rPr>
                <w:sz w:val="20"/>
                <w:szCs w:val="20"/>
              </w:rPr>
            </w:pPr>
            <w:r w:rsidRPr="002921A0">
              <w:rPr>
                <w:sz w:val="20"/>
                <w:szCs w:val="20"/>
              </w:rPr>
              <w:t>2021 год (отчет)</w:t>
            </w:r>
          </w:p>
        </w:tc>
        <w:tc>
          <w:tcPr>
            <w:tcW w:w="4111" w:type="dxa"/>
            <w:gridSpan w:val="3"/>
            <w:shd w:val="clear" w:color="auto" w:fill="auto"/>
            <w:hideMark/>
          </w:tcPr>
          <w:p w:rsidR="002921A0" w:rsidRPr="002921A0" w:rsidRDefault="002921A0" w:rsidP="002921A0">
            <w:pPr>
              <w:spacing w:line="240" w:lineRule="auto"/>
              <w:jc w:val="center"/>
              <w:rPr>
                <w:sz w:val="20"/>
                <w:szCs w:val="20"/>
              </w:rPr>
            </w:pPr>
            <w:r w:rsidRPr="002921A0">
              <w:rPr>
                <w:sz w:val="20"/>
                <w:szCs w:val="20"/>
              </w:rPr>
              <w:t>2022 год</w:t>
            </w:r>
          </w:p>
        </w:tc>
      </w:tr>
      <w:tr w:rsidR="002921A0" w:rsidRPr="002921A0" w:rsidTr="00935BA6">
        <w:trPr>
          <w:trHeight w:val="386"/>
        </w:trPr>
        <w:tc>
          <w:tcPr>
            <w:tcW w:w="718" w:type="dxa"/>
            <w:vMerge/>
            <w:hideMark/>
          </w:tcPr>
          <w:p w:rsidR="002921A0" w:rsidRPr="002921A0" w:rsidRDefault="002921A0" w:rsidP="002921A0">
            <w:pPr>
              <w:spacing w:line="240" w:lineRule="auto"/>
              <w:jc w:val="center"/>
              <w:rPr>
                <w:sz w:val="20"/>
                <w:szCs w:val="20"/>
              </w:rPr>
            </w:pPr>
          </w:p>
        </w:tc>
        <w:tc>
          <w:tcPr>
            <w:tcW w:w="3494" w:type="dxa"/>
            <w:vMerge/>
            <w:hideMark/>
          </w:tcPr>
          <w:p w:rsidR="002921A0" w:rsidRPr="002921A0" w:rsidRDefault="002921A0" w:rsidP="002921A0">
            <w:pPr>
              <w:spacing w:line="240" w:lineRule="auto"/>
              <w:jc w:val="center"/>
              <w:rPr>
                <w:sz w:val="20"/>
                <w:szCs w:val="20"/>
              </w:rPr>
            </w:pPr>
          </w:p>
        </w:tc>
        <w:tc>
          <w:tcPr>
            <w:tcW w:w="1356" w:type="dxa"/>
            <w:vMerge/>
            <w:hideMark/>
          </w:tcPr>
          <w:p w:rsidR="002921A0" w:rsidRPr="002921A0" w:rsidRDefault="002921A0" w:rsidP="002921A0">
            <w:pPr>
              <w:spacing w:line="240" w:lineRule="auto"/>
              <w:jc w:val="center"/>
              <w:rPr>
                <w:sz w:val="20"/>
                <w:szCs w:val="20"/>
              </w:rPr>
            </w:pPr>
          </w:p>
        </w:tc>
        <w:tc>
          <w:tcPr>
            <w:tcW w:w="1418" w:type="dxa"/>
            <w:shd w:val="clear" w:color="auto" w:fill="auto"/>
            <w:hideMark/>
          </w:tcPr>
          <w:p w:rsidR="002921A0" w:rsidRPr="002921A0" w:rsidRDefault="002921A0" w:rsidP="002921A0">
            <w:pPr>
              <w:spacing w:line="240" w:lineRule="auto"/>
              <w:jc w:val="center"/>
              <w:rPr>
                <w:sz w:val="20"/>
                <w:szCs w:val="20"/>
              </w:rPr>
            </w:pPr>
            <w:r w:rsidRPr="002921A0">
              <w:rPr>
                <w:sz w:val="20"/>
                <w:szCs w:val="20"/>
              </w:rPr>
              <w:t>Уточненный план</w:t>
            </w:r>
          </w:p>
        </w:tc>
        <w:tc>
          <w:tcPr>
            <w:tcW w:w="1276" w:type="dxa"/>
            <w:shd w:val="clear" w:color="auto" w:fill="auto"/>
            <w:hideMark/>
          </w:tcPr>
          <w:p w:rsidR="002921A0" w:rsidRPr="002921A0" w:rsidRDefault="002921A0" w:rsidP="002921A0">
            <w:pPr>
              <w:spacing w:line="240" w:lineRule="auto"/>
              <w:jc w:val="center"/>
              <w:rPr>
                <w:sz w:val="20"/>
                <w:szCs w:val="20"/>
              </w:rPr>
            </w:pPr>
            <w:r w:rsidRPr="002921A0">
              <w:rPr>
                <w:sz w:val="20"/>
                <w:szCs w:val="20"/>
              </w:rPr>
              <w:t>Исполнение</w:t>
            </w:r>
          </w:p>
        </w:tc>
        <w:tc>
          <w:tcPr>
            <w:tcW w:w="1417" w:type="dxa"/>
            <w:shd w:val="clear" w:color="auto" w:fill="auto"/>
            <w:hideMark/>
          </w:tcPr>
          <w:p w:rsidR="002921A0" w:rsidRPr="002921A0" w:rsidRDefault="002921A0" w:rsidP="002921A0">
            <w:pPr>
              <w:spacing w:line="240" w:lineRule="auto"/>
              <w:jc w:val="center"/>
              <w:rPr>
                <w:sz w:val="20"/>
                <w:szCs w:val="20"/>
              </w:rPr>
            </w:pPr>
            <w:r w:rsidRPr="002921A0">
              <w:rPr>
                <w:sz w:val="20"/>
                <w:szCs w:val="20"/>
              </w:rPr>
              <w:t>% исполнения</w:t>
            </w:r>
          </w:p>
        </w:tc>
      </w:tr>
      <w:tr w:rsidR="002921A0" w:rsidRPr="002921A0" w:rsidTr="00935BA6">
        <w:trPr>
          <w:trHeight w:val="282"/>
        </w:trPr>
        <w:tc>
          <w:tcPr>
            <w:tcW w:w="718" w:type="dxa"/>
            <w:shd w:val="clear" w:color="auto" w:fill="auto"/>
            <w:noWrap/>
            <w:hideMark/>
          </w:tcPr>
          <w:p w:rsidR="002921A0" w:rsidRPr="002921A0" w:rsidRDefault="002921A0" w:rsidP="002921A0">
            <w:pPr>
              <w:spacing w:line="240" w:lineRule="auto"/>
              <w:jc w:val="center"/>
              <w:rPr>
                <w:sz w:val="20"/>
                <w:szCs w:val="20"/>
              </w:rPr>
            </w:pPr>
            <w:r w:rsidRPr="002921A0">
              <w:rPr>
                <w:sz w:val="20"/>
                <w:szCs w:val="20"/>
              </w:rPr>
              <w:t>1</w:t>
            </w:r>
          </w:p>
        </w:tc>
        <w:tc>
          <w:tcPr>
            <w:tcW w:w="3494" w:type="dxa"/>
            <w:shd w:val="clear" w:color="auto" w:fill="auto"/>
            <w:hideMark/>
          </w:tcPr>
          <w:p w:rsidR="002921A0" w:rsidRPr="002921A0" w:rsidRDefault="002921A0" w:rsidP="002921A0">
            <w:pPr>
              <w:spacing w:line="240" w:lineRule="auto"/>
              <w:jc w:val="center"/>
              <w:rPr>
                <w:sz w:val="20"/>
                <w:szCs w:val="20"/>
              </w:rPr>
            </w:pPr>
            <w:r w:rsidRPr="002921A0">
              <w:rPr>
                <w:sz w:val="20"/>
                <w:szCs w:val="20"/>
              </w:rPr>
              <w:t>2</w:t>
            </w:r>
          </w:p>
        </w:tc>
        <w:tc>
          <w:tcPr>
            <w:tcW w:w="1356" w:type="dxa"/>
            <w:shd w:val="clear" w:color="auto" w:fill="auto"/>
            <w:hideMark/>
          </w:tcPr>
          <w:p w:rsidR="002921A0" w:rsidRPr="002921A0" w:rsidRDefault="002921A0" w:rsidP="002921A0">
            <w:pPr>
              <w:spacing w:line="240" w:lineRule="auto"/>
              <w:jc w:val="center"/>
              <w:rPr>
                <w:sz w:val="20"/>
                <w:szCs w:val="20"/>
              </w:rPr>
            </w:pPr>
            <w:r w:rsidRPr="002921A0">
              <w:rPr>
                <w:sz w:val="20"/>
                <w:szCs w:val="20"/>
              </w:rPr>
              <w:t>3</w:t>
            </w:r>
          </w:p>
        </w:tc>
        <w:tc>
          <w:tcPr>
            <w:tcW w:w="1418" w:type="dxa"/>
            <w:shd w:val="clear" w:color="auto" w:fill="auto"/>
            <w:hideMark/>
          </w:tcPr>
          <w:p w:rsidR="002921A0" w:rsidRPr="002921A0" w:rsidRDefault="002921A0" w:rsidP="002921A0">
            <w:pPr>
              <w:spacing w:line="240" w:lineRule="auto"/>
              <w:jc w:val="center"/>
              <w:rPr>
                <w:sz w:val="20"/>
                <w:szCs w:val="20"/>
              </w:rPr>
            </w:pPr>
            <w:r w:rsidRPr="002921A0">
              <w:rPr>
                <w:sz w:val="20"/>
                <w:szCs w:val="20"/>
              </w:rPr>
              <w:t>4</w:t>
            </w:r>
          </w:p>
        </w:tc>
        <w:tc>
          <w:tcPr>
            <w:tcW w:w="1276" w:type="dxa"/>
            <w:shd w:val="clear" w:color="auto" w:fill="auto"/>
            <w:hideMark/>
          </w:tcPr>
          <w:p w:rsidR="002921A0" w:rsidRPr="002921A0" w:rsidRDefault="002921A0" w:rsidP="002921A0">
            <w:pPr>
              <w:spacing w:line="240" w:lineRule="auto"/>
              <w:jc w:val="center"/>
              <w:rPr>
                <w:sz w:val="20"/>
                <w:szCs w:val="20"/>
              </w:rPr>
            </w:pPr>
            <w:r w:rsidRPr="002921A0">
              <w:rPr>
                <w:sz w:val="20"/>
                <w:szCs w:val="20"/>
              </w:rPr>
              <w:t>5</w:t>
            </w:r>
          </w:p>
        </w:tc>
        <w:tc>
          <w:tcPr>
            <w:tcW w:w="1417" w:type="dxa"/>
            <w:shd w:val="clear" w:color="auto" w:fill="auto"/>
            <w:hideMark/>
          </w:tcPr>
          <w:p w:rsidR="002921A0" w:rsidRPr="002921A0" w:rsidRDefault="002921A0" w:rsidP="002921A0">
            <w:pPr>
              <w:spacing w:line="240" w:lineRule="auto"/>
              <w:jc w:val="center"/>
              <w:rPr>
                <w:sz w:val="20"/>
                <w:szCs w:val="20"/>
              </w:rPr>
            </w:pPr>
            <w:r w:rsidRPr="002921A0">
              <w:rPr>
                <w:sz w:val="20"/>
                <w:szCs w:val="20"/>
              </w:rPr>
              <w:t>6</w:t>
            </w:r>
          </w:p>
        </w:tc>
      </w:tr>
      <w:tr w:rsidR="002921A0" w:rsidRPr="002921A0" w:rsidTr="00935BA6">
        <w:trPr>
          <w:trHeight w:val="351"/>
        </w:trPr>
        <w:tc>
          <w:tcPr>
            <w:tcW w:w="718" w:type="dxa"/>
            <w:shd w:val="clear" w:color="auto" w:fill="auto"/>
            <w:noWrap/>
            <w:hideMark/>
          </w:tcPr>
          <w:p w:rsidR="002921A0" w:rsidRPr="002921A0" w:rsidRDefault="002921A0" w:rsidP="002921A0">
            <w:pPr>
              <w:spacing w:line="240" w:lineRule="auto"/>
              <w:jc w:val="center"/>
              <w:rPr>
                <w:sz w:val="20"/>
                <w:szCs w:val="20"/>
              </w:rPr>
            </w:pPr>
          </w:p>
        </w:tc>
        <w:tc>
          <w:tcPr>
            <w:tcW w:w="3494" w:type="dxa"/>
            <w:shd w:val="clear" w:color="auto" w:fill="auto"/>
            <w:hideMark/>
          </w:tcPr>
          <w:p w:rsidR="002921A0" w:rsidRPr="002921A0" w:rsidRDefault="002921A0" w:rsidP="002921A0">
            <w:pPr>
              <w:spacing w:line="240" w:lineRule="auto"/>
              <w:jc w:val="left"/>
              <w:rPr>
                <w:sz w:val="20"/>
                <w:szCs w:val="20"/>
              </w:rPr>
            </w:pPr>
            <w:r w:rsidRPr="002921A0">
              <w:rPr>
                <w:sz w:val="20"/>
                <w:szCs w:val="20"/>
              </w:rPr>
              <w:t>Всего по муниципальной программе, в том числе:</w:t>
            </w:r>
          </w:p>
        </w:tc>
        <w:tc>
          <w:tcPr>
            <w:tcW w:w="1356" w:type="dxa"/>
            <w:shd w:val="clear" w:color="auto" w:fill="auto"/>
          </w:tcPr>
          <w:p w:rsidR="002921A0" w:rsidRPr="002921A0" w:rsidRDefault="002921A0" w:rsidP="002921A0">
            <w:pPr>
              <w:spacing w:line="240" w:lineRule="auto"/>
              <w:jc w:val="center"/>
              <w:rPr>
                <w:sz w:val="20"/>
                <w:szCs w:val="20"/>
              </w:rPr>
            </w:pPr>
            <w:r w:rsidRPr="002921A0">
              <w:rPr>
                <w:sz w:val="20"/>
                <w:szCs w:val="20"/>
              </w:rPr>
              <w:t>154 554,3</w:t>
            </w:r>
          </w:p>
        </w:tc>
        <w:tc>
          <w:tcPr>
            <w:tcW w:w="1418" w:type="dxa"/>
            <w:shd w:val="clear" w:color="auto" w:fill="auto"/>
          </w:tcPr>
          <w:p w:rsidR="002921A0" w:rsidRPr="002921A0" w:rsidRDefault="002921A0" w:rsidP="002921A0">
            <w:pPr>
              <w:spacing w:line="240" w:lineRule="auto"/>
              <w:jc w:val="center"/>
              <w:rPr>
                <w:sz w:val="20"/>
                <w:szCs w:val="20"/>
              </w:rPr>
            </w:pPr>
            <w:r w:rsidRPr="002921A0">
              <w:rPr>
                <w:sz w:val="20"/>
                <w:szCs w:val="20"/>
              </w:rPr>
              <w:t>163 873,6</w:t>
            </w:r>
          </w:p>
        </w:tc>
        <w:tc>
          <w:tcPr>
            <w:tcW w:w="1276" w:type="dxa"/>
            <w:shd w:val="clear" w:color="auto" w:fill="auto"/>
          </w:tcPr>
          <w:p w:rsidR="002921A0" w:rsidRPr="002921A0" w:rsidRDefault="002921A0" w:rsidP="002921A0">
            <w:pPr>
              <w:spacing w:line="240" w:lineRule="auto"/>
              <w:jc w:val="center"/>
              <w:rPr>
                <w:sz w:val="20"/>
                <w:szCs w:val="20"/>
              </w:rPr>
            </w:pPr>
            <w:r w:rsidRPr="002921A0">
              <w:rPr>
                <w:sz w:val="20"/>
                <w:szCs w:val="20"/>
              </w:rPr>
              <w:t>161 635,5</w:t>
            </w:r>
          </w:p>
        </w:tc>
        <w:tc>
          <w:tcPr>
            <w:tcW w:w="1417" w:type="dxa"/>
            <w:shd w:val="clear" w:color="auto" w:fill="auto"/>
          </w:tcPr>
          <w:p w:rsidR="002921A0" w:rsidRPr="002921A0" w:rsidRDefault="002921A0" w:rsidP="002921A0">
            <w:pPr>
              <w:spacing w:line="240" w:lineRule="auto"/>
              <w:jc w:val="center"/>
              <w:rPr>
                <w:sz w:val="20"/>
                <w:szCs w:val="20"/>
              </w:rPr>
            </w:pPr>
            <w:r w:rsidRPr="002921A0">
              <w:rPr>
                <w:sz w:val="20"/>
                <w:szCs w:val="20"/>
              </w:rPr>
              <w:t>98,6%</w:t>
            </w:r>
          </w:p>
        </w:tc>
      </w:tr>
      <w:tr w:rsidR="002921A0" w:rsidRPr="002921A0" w:rsidTr="00935BA6">
        <w:trPr>
          <w:trHeight w:val="693"/>
        </w:trPr>
        <w:tc>
          <w:tcPr>
            <w:tcW w:w="718" w:type="dxa"/>
            <w:shd w:val="clear" w:color="auto" w:fill="auto"/>
            <w:noWrap/>
            <w:hideMark/>
          </w:tcPr>
          <w:p w:rsidR="002921A0" w:rsidRPr="002921A0" w:rsidRDefault="002921A0" w:rsidP="002921A0">
            <w:pPr>
              <w:spacing w:line="240" w:lineRule="auto"/>
              <w:jc w:val="center"/>
              <w:rPr>
                <w:sz w:val="20"/>
                <w:szCs w:val="20"/>
              </w:rPr>
            </w:pPr>
            <w:r w:rsidRPr="002921A0">
              <w:rPr>
                <w:sz w:val="20"/>
                <w:szCs w:val="20"/>
              </w:rPr>
              <w:t>1</w:t>
            </w:r>
          </w:p>
        </w:tc>
        <w:tc>
          <w:tcPr>
            <w:tcW w:w="3494" w:type="dxa"/>
            <w:shd w:val="clear" w:color="auto" w:fill="auto"/>
            <w:hideMark/>
          </w:tcPr>
          <w:p w:rsidR="002921A0" w:rsidRPr="002921A0" w:rsidRDefault="002921A0" w:rsidP="002921A0">
            <w:pPr>
              <w:spacing w:line="240" w:lineRule="auto"/>
              <w:jc w:val="left"/>
              <w:rPr>
                <w:color w:val="000000"/>
                <w:sz w:val="20"/>
                <w:szCs w:val="20"/>
              </w:rPr>
            </w:pPr>
            <w:r w:rsidRPr="002921A0">
              <w:rPr>
                <w:color w:val="000000"/>
                <w:sz w:val="20"/>
                <w:szCs w:val="20"/>
              </w:rPr>
              <w:t>Департамент градостроительства и архитектуры Администрации города Ханты-Мансийска</w:t>
            </w:r>
          </w:p>
        </w:tc>
        <w:tc>
          <w:tcPr>
            <w:tcW w:w="1356" w:type="dxa"/>
            <w:shd w:val="clear" w:color="auto" w:fill="auto"/>
          </w:tcPr>
          <w:p w:rsidR="002921A0" w:rsidRPr="002921A0" w:rsidRDefault="002921A0" w:rsidP="002921A0">
            <w:pPr>
              <w:spacing w:line="240" w:lineRule="auto"/>
              <w:jc w:val="center"/>
              <w:rPr>
                <w:sz w:val="20"/>
                <w:szCs w:val="20"/>
              </w:rPr>
            </w:pPr>
            <w:r w:rsidRPr="002921A0">
              <w:rPr>
                <w:sz w:val="20"/>
                <w:szCs w:val="20"/>
              </w:rPr>
              <w:t>66 771,4</w:t>
            </w:r>
          </w:p>
        </w:tc>
        <w:tc>
          <w:tcPr>
            <w:tcW w:w="1418" w:type="dxa"/>
            <w:shd w:val="clear" w:color="auto" w:fill="auto"/>
          </w:tcPr>
          <w:p w:rsidR="002921A0" w:rsidRPr="002921A0" w:rsidRDefault="002921A0" w:rsidP="002921A0">
            <w:pPr>
              <w:spacing w:line="240" w:lineRule="auto"/>
              <w:jc w:val="center"/>
              <w:rPr>
                <w:sz w:val="20"/>
                <w:szCs w:val="20"/>
              </w:rPr>
            </w:pPr>
            <w:r w:rsidRPr="002921A0">
              <w:rPr>
                <w:sz w:val="20"/>
                <w:szCs w:val="20"/>
              </w:rPr>
              <w:t>70 840,8</w:t>
            </w:r>
          </w:p>
        </w:tc>
        <w:tc>
          <w:tcPr>
            <w:tcW w:w="1276" w:type="dxa"/>
            <w:shd w:val="clear" w:color="auto" w:fill="auto"/>
          </w:tcPr>
          <w:p w:rsidR="002921A0" w:rsidRPr="002921A0" w:rsidRDefault="002921A0" w:rsidP="002921A0">
            <w:pPr>
              <w:spacing w:line="240" w:lineRule="auto"/>
              <w:jc w:val="center"/>
              <w:rPr>
                <w:sz w:val="20"/>
                <w:szCs w:val="20"/>
              </w:rPr>
            </w:pPr>
            <w:r w:rsidRPr="002921A0">
              <w:rPr>
                <w:sz w:val="20"/>
                <w:szCs w:val="20"/>
              </w:rPr>
              <w:t>70 428,7</w:t>
            </w:r>
          </w:p>
        </w:tc>
        <w:tc>
          <w:tcPr>
            <w:tcW w:w="1417" w:type="dxa"/>
            <w:shd w:val="clear" w:color="auto" w:fill="auto"/>
          </w:tcPr>
          <w:p w:rsidR="002921A0" w:rsidRPr="002921A0" w:rsidRDefault="002921A0" w:rsidP="002921A0">
            <w:pPr>
              <w:spacing w:line="240" w:lineRule="auto"/>
              <w:jc w:val="center"/>
              <w:rPr>
                <w:sz w:val="20"/>
                <w:szCs w:val="20"/>
              </w:rPr>
            </w:pPr>
            <w:r w:rsidRPr="002921A0">
              <w:rPr>
                <w:sz w:val="20"/>
                <w:szCs w:val="20"/>
              </w:rPr>
              <w:t>99,4%</w:t>
            </w:r>
          </w:p>
        </w:tc>
      </w:tr>
      <w:tr w:rsidR="002921A0" w:rsidRPr="002921A0" w:rsidTr="00935BA6">
        <w:trPr>
          <w:trHeight w:val="649"/>
        </w:trPr>
        <w:tc>
          <w:tcPr>
            <w:tcW w:w="718" w:type="dxa"/>
            <w:shd w:val="clear" w:color="auto" w:fill="auto"/>
            <w:noWrap/>
            <w:hideMark/>
          </w:tcPr>
          <w:p w:rsidR="002921A0" w:rsidRPr="002921A0" w:rsidRDefault="002921A0" w:rsidP="002921A0">
            <w:pPr>
              <w:spacing w:line="240" w:lineRule="auto"/>
              <w:jc w:val="center"/>
              <w:rPr>
                <w:color w:val="000000"/>
                <w:sz w:val="20"/>
                <w:szCs w:val="20"/>
              </w:rPr>
            </w:pPr>
            <w:r w:rsidRPr="002921A0">
              <w:rPr>
                <w:color w:val="000000"/>
                <w:sz w:val="20"/>
                <w:szCs w:val="20"/>
              </w:rPr>
              <w:t>2</w:t>
            </w:r>
          </w:p>
        </w:tc>
        <w:tc>
          <w:tcPr>
            <w:tcW w:w="3494" w:type="dxa"/>
            <w:shd w:val="clear" w:color="auto" w:fill="auto"/>
            <w:hideMark/>
          </w:tcPr>
          <w:p w:rsidR="002921A0" w:rsidRPr="002921A0" w:rsidRDefault="002921A0" w:rsidP="002921A0">
            <w:pPr>
              <w:spacing w:line="240" w:lineRule="auto"/>
              <w:jc w:val="left"/>
              <w:rPr>
                <w:color w:val="000000"/>
                <w:sz w:val="20"/>
                <w:szCs w:val="20"/>
              </w:rPr>
            </w:pPr>
            <w:r w:rsidRPr="002921A0">
              <w:rPr>
                <w:bCs/>
                <w:color w:val="000000"/>
                <w:sz w:val="20"/>
                <w:szCs w:val="20"/>
              </w:rPr>
              <w:t>МКУ «Управление капитального строительства города Ханты-Мансийска»</w:t>
            </w:r>
          </w:p>
        </w:tc>
        <w:tc>
          <w:tcPr>
            <w:tcW w:w="1356" w:type="dxa"/>
            <w:shd w:val="clear" w:color="auto" w:fill="auto"/>
          </w:tcPr>
          <w:p w:rsidR="002921A0" w:rsidRPr="002921A0" w:rsidRDefault="002921A0" w:rsidP="002921A0">
            <w:pPr>
              <w:spacing w:line="240" w:lineRule="auto"/>
              <w:jc w:val="center"/>
              <w:rPr>
                <w:sz w:val="20"/>
                <w:szCs w:val="20"/>
              </w:rPr>
            </w:pPr>
            <w:r w:rsidRPr="002921A0">
              <w:rPr>
                <w:sz w:val="20"/>
                <w:szCs w:val="20"/>
              </w:rPr>
              <w:t>87 782,9</w:t>
            </w:r>
          </w:p>
        </w:tc>
        <w:tc>
          <w:tcPr>
            <w:tcW w:w="1418" w:type="dxa"/>
            <w:shd w:val="clear" w:color="auto" w:fill="auto"/>
          </w:tcPr>
          <w:p w:rsidR="002921A0" w:rsidRPr="002921A0" w:rsidRDefault="002921A0" w:rsidP="002921A0">
            <w:pPr>
              <w:spacing w:line="240" w:lineRule="auto"/>
              <w:jc w:val="center"/>
              <w:rPr>
                <w:sz w:val="20"/>
                <w:szCs w:val="20"/>
              </w:rPr>
            </w:pPr>
            <w:r w:rsidRPr="002921A0">
              <w:rPr>
                <w:sz w:val="20"/>
                <w:szCs w:val="20"/>
              </w:rPr>
              <w:t>93 032,8</w:t>
            </w:r>
          </w:p>
        </w:tc>
        <w:tc>
          <w:tcPr>
            <w:tcW w:w="1276" w:type="dxa"/>
            <w:shd w:val="clear" w:color="auto" w:fill="auto"/>
          </w:tcPr>
          <w:p w:rsidR="002921A0" w:rsidRPr="002921A0" w:rsidRDefault="002921A0" w:rsidP="002921A0">
            <w:pPr>
              <w:spacing w:line="240" w:lineRule="auto"/>
              <w:jc w:val="center"/>
              <w:rPr>
                <w:sz w:val="20"/>
                <w:szCs w:val="20"/>
              </w:rPr>
            </w:pPr>
            <w:r w:rsidRPr="002921A0">
              <w:rPr>
                <w:sz w:val="20"/>
                <w:szCs w:val="20"/>
              </w:rPr>
              <w:t>91 206,8</w:t>
            </w:r>
          </w:p>
        </w:tc>
        <w:tc>
          <w:tcPr>
            <w:tcW w:w="1417" w:type="dxa"/>
            <w:shd w:val="clear" w:color="auto" w:fill="auto"/>
          </w:tcPr>
          <w:p w:rsidR="002921A0" w:rsidRPr="002921A0" w:rsidRDefault="002921A0" w:rsidP="002921A0">
            <w:pPr>
              <w:spacing w:line="240" w:lineRule="auto"/>
              <w:jc w:val="center"/>
              <w:rPr>
                <w:sz w:val="20"/>
                <w:szCs w:val="20"/>
              </w:rPr>
            </w:pPr>
            <w:r w:rsidRPr="002921A0">
              <w:rPr>
                <w:sz w:val="20"/>
                <w:szCs w:val="20"/>
              </w:rPr>
              <w:t>98%</w:t>
            </w:r>
          </w:p>
        </w:tc>
      </w:tr>
    </w:tbl>
    <w:p w:rsidR="002921A0" w:rsidRPr="002921A0" w:rsidRDefault="002921A0" w:rsidP="002921A0">
      <w:pPr>
        <w:autoSpaceDE w:val="0"/>
        <w:autoSpaceDN w:val="0"/>
        <w:adjustRightInd w:val="0"/>
        <w:spacing w:after="0"/>
        <w:ind w:firstLine="709"/>
        <w:rPr>
          <w:sz w:val="24"/>
          <w:szCs w:val="24"/>
          <w:highlight w:val="green"/>
        </w:rPr>
      </w:pPr>
    </w:p>
    <w:p w:rsidR="002921A0" w:rsidRPr="002921A0" w:rsidRDefault="002921A0" w:rsidP="002921A0">
      <w:pPr>
        <w:autoSpaceDE w:val="0"/>
        <w:autoSpaceDN w:val="0"/>
        <w:adjustRightInd w:val="0"/>
        <w:spacing w:after="0"/>
        <w:ind w:firstLine="709"/>
        <w:rPr>
          <w:sz w:val="24"/>
          <w:szCs w:val="24"/>
          <w:highlight w:val="green"/>
        </w:rPr>
      </w:pPr>
    </w:p>
    <w:p w:rsidR="002921A0" w:rsidRPr="002921A0" w:rsidRDefault="002921A0" w:rsidP="002921A0">
      <w:pPr>
        <w:autoSpaceDE w:val="0"/>
        <w:autoSpaceDN w:val="0"/>
        <w:adjustRightInd w:val="0"/>
        <w:spacing w:after="0"/>
        <w:ind w:firstLine="709"/>
        <w:rPr>
          <w:sz w:val="24"/>
          <w:szCs w:val="24"/>
        </w:rPr>
      </w:pPr>
      <w:r w:rsidRPr="002921A0">
        <w:rPr>
          <w:sz w:val="24"/>
          <w:szCs w:val="24"/>
        </w:rPr>
        <w:t>Рисунок 3.16.2.</w:t>
      </w:r>
    </w:p>
    <w:p w:rsidR="002921A0" w:rsidRPr="002921A0" w:rsidRDefault="002921A0" w:rsidP="002921A0">
      <w:pPr>
        <w:tabs>
          <w:tab w:val="left" w:pos="459"/>
        </w:tabs>
        <w:suppressAutoHyphens/>
        <w:spacing w:after="0"/>
        <w:ind w:firstLine="709"/>
        <w:jc w:val="center"/>
        <w:rPr>
          <w:b/>
          <w:sz w:val="28"/>
          <w:szCs w:val="28"/>
        </w:rPr>
      </w:pPr>
      <w:r w:rsidRPr="002921A0">
        <w:rPr>
          <w:b/>
          <w:sz w:val="28"/>
          <w:szCs w:val="28"/>
        </w:rPr>
        <w:lastRenderedPageBreak/>
        <w:t xml:space="preserve">Структура расходов муниципальной программы </w:t>
      </w:r>
      <w:r w:rsidRPr="002921A0">
        <w:rPr>
          <w:b/>
          <w:sz w:val="28"/>
          <w:szCs w:val="28"/>
        </w:rPr>
        <w:br/>
        <w:t xml:space="preserve">«Обеспечение градостроительной деятельности на территории </w:t>
      </w:r>
      <w:r w:rsidRPr="002921A0">
        <w:rPr>
          <w:b/>
          <w:sz w:val="28"/>
          <w:szCs w:val="28"/>
        </w:rPr>
        <w:br/>
        <w:t>города Ханты-Мансийска»,</w:t>
      </w:r>
    </w:p>
    <w:p w:rsidR="002921A0" w:rsidRPr="002921A0" w:rsidRDefault="002921A0" w:rsidP="002921A0">
      <w:pPr>
        <w:spacing w:after="0"/>
        <w:ind w:right="142" w:firstLine="709"/>
        <w:rPr>
          <w:sz w:val="24"/>
          <w:szCs w:val="24"/>
        </w:rPr>
      </w:pPr>
      <w:r w:rsidRPr="002921A0">
        <w:rPr>
          <w:sz w:val="24"/>
          <w:szCs w:val="24"/>
        </w:rPr>
        <w:t>тыс. рублей</w:t>
      </w:r>
    </w:p>
    <w:p w:rsidR="002921A0" w:rsidRPr="002921A0" w:rsidRDefault="002921A0" w:rsidP="002921A0">
      <w:pPr>
        <w:spacing w:after="0"/>
        <w:ind w:right="142" w:firstLine="709"/>
        <w:jc w:val="both"/>
        <w:rPr>
          <w:sz w:val="28"/>
          <w:szCs w:val="28"/>
          <w:highlight w:val="green"/>
        </w:rPr>
      </w:pPr>
    </w:p>
    <w:p w:rsidR="002921A0" w:rsidRPr="002921A0" w:rsidRDefault="002921A0" w:rsidP="002921A0">
      <w:pPr>
        <w:suppressAutoHyphens/>
        <w:spacing w:after="0"/>
        <w:rPr>
          <w:sz w:val="24"/>
          <w:szCs w:val="24"/>
          <w:highlight w:val="green"/>
        </w:rPr>
      </w:pPr>
      <w:r w:rsidRPr="002921A0">
        <w:rPr>
          <w:noProof/>
          <w:sz w:val="24"/>
          <w:szCs w:val="24"/>
          <w:highlight w:val="green"/>
        </w:rPr>
        <w:drawing>
          <wp:inline distT="0" distB="0" distL="0" distR="0" wp14:anchorId="62333119" wp14:editId="60EF72BB">
            <wp:extent cx="5951855" cy="3228975"/>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21A0" w:rsidRPr="002921A0" w:rsidRDefault="002921A0" w:rsidP="002921A0">
      <w:pPr>
        <w:autoSpaceDE w:val="0"/>
        <w:autoSpaceDN w:val="0"/>
        <w:adjustRightInd w:val="0"/>
        <w:spacing w:after="0"/>
        <w:ind w:firstLine="709"/>
        <w:jc w:val="both"/>
        <w:rPr>
          <w:sz w:val="24"/>
          <w:szCs w:val="24"/>
        </w:rPr>
      </w:pPr>
      <w:r w:rsidRPr="002921A0">
        <w:rPr>
          <w:sz w:val="28"/>
          <w:szCs w:val="28"/>
        </w:rPr>
        <w:t>Источником реализации мероприятий муниципальной программы являются средства городского бюджета.</w:t>
      </w:r>
    </w:p>
    <w:p w:rsidR="002921A0" w:rsidRPr="002921A0" w:rsidRDefault="002921A0" w:rsidP="002921A0">
      <w:pPr>
        <w:tabs>
          <w:tab w:val="left" w:pos="459"/>
        </w:tabs>
        <w:suppressAutoHyphens/>
        <w:spacing w:after="0"/>
        <w:ind w:firstLine="709"/>
        <w:rPr>
          <w:sz w:val="24"/>
          <w:szCs w:val="24"/>
          <w:highlight w:val="green"/>
        </w:rPr>
      </w:pPr>
    </w:p>
    <w:p w:rsidR="002921A0" w:rsidRPr="002921A0" w:rsidRDefault="002921A0" w:rsidP="002921A0">
      <w:pPr>
        <w:tabs>
          <w:tab w:val="left" w:pos="459"/>
        </w:tabs>
        <w:suppressAutoHyphens/>
        <w:spacing w:after="0"/>
        <w:ind w:firstLine="709"/>
        <w:rPr>
          <w:sz w:val="24"/>
          <w:szCs w:val="24"/>
        </w:rPr>
      </w:pPr>
      <w:r w:rsidRPr="002921A0">
        <w:rPr>
          <w:sz w:val="24"/>
          <w:szCs w:val="24"/>
        </w:rPr>
        <w:t xml:space="preserve">Таблица 3.16.2. </w:t>
      </w:r>
    </w:p>
    <w:p w:rsidR="002921A0" w:rsidRPr="002921A0" w:rsidRDefault="002921A0" w:rsidP="002921A0">
      <w:pPr>
        <w:tabs>
          <w:tab w:val="left" w:pos="459"/>
        </w:tabs>
        <w:suppressAutoHyphens/>
        <w:spacing w:after="0"/>
        <w:ind w:firstLine="709"/>
        <w:jc w:val="center"/>
        <w:rPr>
          <w:b/>
          <w:sz w:val="28"/>
          <w:szCs w:val="28"/>
        </w:rPr>
      </w:pPr>
      <w:r w:rsidRPr="002921A0">
        <w:rPr>
          <w:b/>
          <w:sz w:val="28"/>
          <w:szCs w:val="28"/>
        </w:rPr>
        <w:t>Структура расходов муниципальной программы</w:t>
      </w:r>
    </w:p>
    <w:p w:rsidR="002921A0" w:rsidRPr="002921A0" w:rsidRDefault="002921A0" w:rsidP="002921A0">
      <w:pPr>
        <w:spacing w:after="0"/>
        <w:ind w:right="142" w:firstLine="709"/>
        <w:jc w:val="center"/>
        <w:rPr>
          <w:b/>
          <w:sz w:val="28"/>
          <w:szCs w:val="28"/>
        </w:rPr>
      </w:pPr>
      <w:r w:rsidRPr="002921A0">
        <w:rPr>
          <w:b/>
          <w:sz w:val="28"/>
          <w:szCs w:val="28"/>
        </w:rPr>
        <w:t xml:space="preserve">«Обеспечение градостроительной деятельности на территории </w:t>
      </w:r>
      <w:r w:rsidRPr="002921A0">
        <w:rPr>
          <w:b/>
          <w:sz w:val="28"/>
          <w:szCs w:val="28"/>
        </w:rPr>
        <w:br/>
        <w:t>города Ханты-Мансийска»</w:t>
      </w:r>
    </w:p>
    <w:p w:rsidR="002921A0" w:rsidRPr="002921A0" w:rsidRDefault="002921A0" w:rsidP="002921A0">
      <w:pPr>
        <w:tabs>
          <w:tab w:val="left" w:pos="459"/>
        </w:tabs>
        <w:suppressAutoHyphens/>
        <w:spacing w:after="0"/>
        <w:ind w:firstLine="709"/>
        <w:rPr>
          <w:sz w:val="24"/>
          <w:szCs w:val="24"/>
        </w:rPr>
      </w:pPr>
      <w:r w:rsidRPr="002921A0">
        <w:rPr>
          <w:sz w:val="24"/>
          <w:szCs w:val="24"/>
        </w:rPr>
        <w:t xml:space="preserve"> (тыс. рублей)</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467"/>
        <w:gridCol w:w="1540"/>
        <w:gridCol w:w="1387"/>
        <w:gridCol w:w="1550"/>
      </w:tblGrid>
      <w:tr w:rsidR="002921A0" w:rsidRPr="002921A0" w:rsidTr="00935BA6">
        <w:trPr>
          <w:trHeight w:val="300"/>
          <w:tblHeader/>
        </w:trPr>
        <w:tc>
          <w:tcPr>
            <w:tcW w:w="3510" w:type="dxa"/>
            <w:vMerge w:val="restart"/>
            <w:hideMark/>
          </w:tcPr>
          <w:p w:rsidR="002921A0" w:rsidRPr="002921A0" w:rsidRDefault="002921A0" w:rsidP="002921A0">
            <w:pPr>
              <w:spacing w:after="0" w:line="240" w:lineRule="auto"/>
              <w:jc w:val="center"/>
              <w:rPr>
                <w:sz w:val="20"/>
                <w:szCs w:val="20"/>
              </w:rPr>
            </w:pPr>
            <w:r w:rsidRPr="002921A0">
              <w:rPr>
                <w:sz w:val="20"/>
                <w:szCs w:val="20"/>
              </w:rPr>
              <w:t>Наименование муниципальной программы, подпрограммы муниципальной программы, мероприятия муниципальной программы</w:t>
            </w:r>
          </w:p>
        </w:tc>
        <w:tc>
          <w:tcPr>
            <w:tcW w:w="1467" w:type="dxa"/>
            <w:vMerge w:val="restart"/>
            <w:noWrap/>
            <w:hideMark/>
          </w:tcPr>
          <w:p w:rsidR="002921A0" w:rsidRPr="002921A0" w:rsidRDefault="002921A0" w:rsidP="002921A0">
            <w:pPr>
              <w:spacing w:after="0" w:line="240" w:lineRule="auto"/>
              <w:jc w:val="center"/>
              <w:rPr>
                <w:sz w:val="20"/>
                <w:szCs w:val="20"/>
              </w:rPr>
            </w:pPr>
          </w:p>
          <w:p w:rsidR="002921A0" w:rsidRPr="002921A0" w:rsidRDefault="002921A0" w:rsidP="002921A0">
            <w:pPr>
              <w:spacing w:after="0" w:line="240" w:lineRule="auto"/>
              <w:jc w:val="center"/>
              <w:rPr>
                <w:sz w:val="20"/>
                <w:szCs w:val="20"/>
              </w:rPr>
            </w:pPr>
            <w:r w:rsidRPr="002921A0">
              <w:rPr>
                <w:sz w:val="20"/>
                <w:szCs w:val="20"/>
              </w:rPr>
              <w:t>2021 год (отчет)</w:t>
            </w:r>
          </w:p>
        </w:tc>
        <w:tc>
          <w:tcPr>
            <w:tcW w:w="4477" w:type="dxa"/>
            <w:gridSpan w:val="3"/>
            <w:noWrap/>
            <w:hideMark/>
          </w:tcPr>
          <w:p w:rsidR="002921A0" w:rsidRPr="002921A0" w:rsidRDefault="002921A0" w:rsidP="002921A0">
            <w:pPr>
              <w:spacing w:after="0" w:line="240" w:lineRule="auto"/>
              <w:jc w:val="center"/>
              <w:rPr>
                <w:sz w:val="20"/>
                <w:szCs w:val="20"/>
              </w:rPr>
            </w:pPr>
            <w:r w:rsidRPr="002921A0">
              <w:rPr>
                <w:sz w:val="20"/>
                <w:szCs w:val="20"/>
              </w:rPr>
              <w:t xml:space="preserve">2022 год </w:t>
            </w:r>
          </w:p>
        </w:tc>
      </w:tr>
      <w:tr w:rsidR="002921A0" w:rsidRPr="002921A0" w:rsidTr="00935BA6">
        <w:trPr>
          <w:trHeight w:val="900"/>
          <w:tblHeader/>
        </w:trPr>
        <w:tc>
          <w:tcPr>
            <w:tcW w:w="3510" w:type="dxa"/>
            <w:vMerge/>
            <w:hideMark/>
          </w:tcPr>
          <w:p w:rsidR="002921A0" w:rsidRPr="002921A0" w:rsidRDefault="002921A0" w:rsidP="002921A0">
            <w:pPr>
              <w:spacing w:after="0" w:line="240" w:lineRule="auto"/>
              <w:rPr>
                <w:sz w:val="20"/>
                <w:szCs w:val="20"/>
              </w:rPr>
            </w:pPr>
          </w:p>
        </w:tc>
        <w:tc>
          <w:tcPr>
            <w:tcW w:w="1467" w:type="dxa"/>
            <w:vMerge/>
            <w:hideMark/>
          </w:tcPr>
          <w:p w:rsidR="002921A0" w:rsidRPr="002921A0" w:rsidRDefault="002921A0" w:rsidP="002921A0">
            <w:pPr>
              <w:spacing w:after="0" w:line="240" w:lineRule="auto"/>
              <w:rPr>
                <w:sz w:val="20"/>
                <w:szCs w:val="20"/>
              </w:rPr>
            </w:pPr>
          </w:p>
        </w:tc>
        <w:tc>
          <w:tcPr>
            <w:tcW w:w="1540" w:type="dxa"/>
            <w:hideMark/>
          </w:tcPr>
          <w:p w:rsidR="002921A0" w:rsidRPr="002921A0" w:rsidRDefault="002921A0" w:rsidP="002921A0">
            <w:pPr>
              <w:spacing w:after="0" w:line="240" w:lineRule="auto"/>
              <w:jc w:val="center"/>
              <w:rPr>
                <w:sz w:val="20"/>
                <w:szCs w:val="20"/>
              </w:rPr>
            </w:pPr>
          </w:p>
          <w:p w:rsidR="002921A0" w:rsidRPr="002921A0" w:rsidRDefault="002921A0" w:rsidP="002921A0">
            <w:pPr>
              <w:spacing w:after="0" w:line="240" w:lineRule="auto"/>
              <w:jc w:val="center"/>
              <w:rPr>
                <w:sz w:val="20"/>
                <w:szCs w:val="20"/>
              </w:rPr>
            </w:pPr>
            <w:r w:rsidRPr="002921A0">
              <w:rPr>
                <w:sz w:val="20"/>
                <w:szCs w:val="20"/>
              </w:rPr>
              <w:t>Уточненный план</w:t>
            </w:r>
          </w:p>
        </w:tc>
        <w:tc>
          <w:tcPr>
            <w:tcW w:w="1387" w:type="dxa"/>
            <w:hideMark/>
          </w:tcPr>
          <w:p w:rsidR="002921A0" w:rsidRPr="002921A0" w:rsidRDefault="002921A0" w:rsidP="002921A0">
            <w:pPr>
              <w:spacing w:after="0" w:line="240" w:lineRule="auto"/>
              <w:jc w:val="center"/>
              <w:rPr>
                <w:sz w:val="20"/>
                <w:szCs w:val="20"/>
              </w:rPr>
            </w:pPr>
          </w:p>
          <w:p w:rsidR="002921A0" w:rsidRPr="002921A0" w:rsidRDefault="002921A0" w:rsidP="002921A0">
            <w:pPr>
              <w:spacing w:after="0" w:line="240" w:lineRule="auto"/>
              <w:jc w:val="center"/>
              <w:rPr>
                <w:sz w:val="20"/>
                <w:szCs w:val="20"/>
              </w:rPr>
            </w:pPr>
            <w:r w:rsidRPr="002921A0">
              <w:rPr>
                <w:sz w:val="20"/>
                <w:szCs w:val="20"/>
              </w:rPr>
              <w:t>Исполнение</w:t>
            </w:r>
          </w:p>
        </w:tc>
        <w:tc>
          <w:tcPr>
            <w:tcW w:w="1550" w:type="dxa"/>
            <w:hideMark/>
          </w:tcPr>
          <w:p w:rsidR="002921A0" w:rsidRPr="002921A0" w:rsidRDefault="002921A0" w:rsidP="002921A0">
            <w:pPr>
              <w:spacing w:after="0" w:line="240" w:lineRule="auto"/>
              <w:jc w:val="center"/>
              <w:rPr>
                <w:sz w:val="20"/>
                <w:szCs w:val="20"/>
              </w:rPr>
            </w:pPr>
          </w:p>
          <w:p w:rsidR="002921A0" w:rsidRPr="002921A0" w:rsidRDefault="002921A0" w:rsidP="002921A0">
            <w:pPr>
              <w:spacing w:after="0" w:line="240" w:lineRule="auto"/>
              <w:jc w:val="center"/>
              <w:rPr>
                <w:sz w:val="20"/>
                <w:szCs w:val="20"/>
              </w:rPr>
            </w:pPr>
            <w:r w:rsidRPr="002921A0">
              <w:rPr>
                <w:sz w:val="20"/>
                <w:szCs w:val="20"/>
              </w:rPr>
              <w:t>% исполнения</w:t>
            </w:r>
          </w:p>
        </w:tc>
      </w:tr>
      <w:tr w:rsidR="002921A0" w:rsidRPr="002921A0" w:rsidTr="00935BA6">
        <w:trPr>
          <w:trHeight w:val="370"/>
        </w:trPr>
        <w:tc>
          <w:tcPr>
            <w:tcW w:w="3510" w:type="dxa"/>
            <w:hideMark/>
          </w:tcPr>
          <w:p w:rsidR="002921A0" w:rsidRPr="002921A0" w:rsidRDefault="002921A0" w:rsidP="002921A0">
            <w:pPr>
              <w:spacing w:after="0" w:line="240" w:lineRule="auto"/>
              <w:jc w:val="left"/>
              <w:rPr>
                <w:bCs/>
                <w:sz w:val="20"/>
                <w:szCs w:val="20"/>
              </w:rPr>
            </w:pPr>
            <w:r w:rsidRPr="002921A0">
              <w:rPr>
                <w:bCs/>
                <w:sz w:val="20"/>
                <w:szCs w:val="20"/>
              </w:rPr>
              <w:t>Всего по муниципальной программе, в том числе:</w:t>
            </w:r>
          </w:p>
        </w:tc>
        <w:tc>
          <w:tcPr>
            <w:tcW w:w="1467" w:type="dxa"/>
          </w:tcPr>
          <w:p w:rsidR="002921A0" w:rsidRPr="002921A0" w:rsidRDefault="002921A0" w:rsidP="002921A0">
            <w:pPr>
              <w:spacing w:line="240" w:lineRule="auto"/>
              <w:jc w:val="center"/>
              <w:rPr>
                <w:rFonts w:eastAsia="Times New Roman"/>
                <w:bCs/>
                <w:color w:val="000000"/>
                <w:sz w:val="20"/>
                <w:szCs w:val="20"/>
              </w:rPr>
            </w:pPr>
            <w:r w:rsidRPr="002921A0">
              <w:rPr>
                <w:rFonts w:eastAsia="Times New Roman"/>
                <w:bCs/>
                <w:color w:val="000000"/>
                <w:sz w:val="20"/>
                <w:szCs w:val="20"/>
              </w:rPr>
              <w:t>154 554,3</w:t>
            </w:r>
          </w:p>
        </w:tc>
        <w:tc>
          <w:tcPr>
            <w:tcW w:w="1540" w:type="dxa"/>
            <w:shd w:val="clear" w:color="auto" w:fill="auto"/>
          </w:tcPr>
          <w:p w:rsidR="002921A0" w:rsidRPr="002921A0" w:rsidRDefault="002921A0" w:rsidP="002921A0">
            <w:pPr>
              <w:spacing w:line="240" w:lineRule="auto"/>
              <w:jc w:val="center"/>
              <w:rPr>
                <w:sz w:val="20"/>
                <w:szCs w:val="20"/>
              </w:rPr>
            </w:pPr>
            <w:r w:rsidRPr="002921A0">
              <w:rPr>
                <w:sz w:val="20"/>
                <w:szCs w:val="20"/>
              </w:rPr>
              <w:t>163 873,6</w:t>
            </w:r>
          </w:p>
        </w:tc>
        <w:tc>
          <w:tcPr>
            <w:tcW w:w="1387" w:type="dxa"/>
            <w:shd w:val="clear" w:color="auto" w:fill="auto"/>
          </w:tcPr>
          <w:p w:rsidR="002921A0" w:rsidRPr="002921A0" w:rsidRDefault="002921A0" w:rsidP="002921A0">
            <w:pPr>
              <w:spacing w:line="240" w:lineRule="auto"/>
              <w:jc w:val="center"/>
              <w:rPr>
                <w:sz w:val="20"/>
                <w:szCs w:val="20"/>
              </w:rPr>
            </w:pPr>
            <w:r w:rsidRPr="002921A0">
              <w:rPr>
                <w:sz w:val="20"/>
                <w:szCs w:val="20"/>
              </w:rPr>
              <w:t>161 635,5</w:t>
            </w:r>
          </w:p>
        </w:tc>
        <w:tc>
          <w:tcPr>
            <w:tcW w:w="1550" w:type="dxa"/>
            <w:shd w:val="clear" w:color="auto" w:fill="auto"/>
          </w:tcPr>
          <w:p w:rsidR="002921A0" w:rsidRPr="002921A0" w:rsidRDefault="002921A0" w:rsidP="002921A0">
            <w:pPr>
              <w:spacing w:line="240" w:lineRule="auto"/>
              <w:jc w:val="center"/>
              <w:rPr>
                <w:sz w:val="20"/>
                <w:szCs w:val="20"/>
              </w:rPr>
            </w:pPr>
            <w:r w:rsidRPr="002921A0">
              <w:rPr>
                <w:sz w:val="20"/>
                <w:szCs w:val="20"/>
              </w:rPr>
              <w:t>98,6%</w:t>
            </w:r>
          </w:p>
        </w:tc>
      </w:tr>
      <w:tr w:rsidR="002921A0" w:rsidRPr="002921A0" w:rsidTr="00935BA6">
        <w:trPr>
          <w:trHeight w:val="300"/>
        </w:trPr>
        <w:tc>
          <w:tcPr>
            <w:tcW w:w="3510" w:type="dxa"/>
            <w:vAlign w:val="center"/>
            <w:hideMark/>
          </w:tcPr>
          <w:p w:rsidR="002921A0" w:rsidRPr="002921A0" w:rsidRDefault="002921A0" w:rsidP="002921A0">
            <w:pPr>
              <w:spacing w:after="0" w:line="240" w:lineRule="auto"/>
              <w:jc w:val="left"/>
              <w:rPr>
                <w:sz w:val="20"/>
                <w:szCs w:val="20"/>
              </w:rPr>
            </w:pPr>
            <w:r w:rsidRPr="002921A0">
              <w:rPr>
                <w:sz w:val="20"/>
                <w:szCs w:val="20"/>
              </w:rPr>
              <w:t>- федеральный бюджет</w:t>
            </w:r>
          </w:p>
        </w:tc>
        <w:tc>
          <w:tcPr>
            <w:tcW w:w="1467" w:type="dxa"/>
          </w:tcPr>
          <w:p w:rsidR="002921A0" w:rsidRPr="002921A0" w:rsidRDefault="002921A0" w:rsidP="002921A0">
            <w:pPr>
              <w:spacing w:after="0" w:line="240" w:lineRule="auto"/>
              <w:jc w:val="center"/>
              <w:rPr>
                <w:sz w:val="20"/>
                <w:szCs w:val="20"/>
              </w:rPr>
            </w:pPr>
            <w:r w:rsidRPr="002921A0">
              <w:rPr>
                <w:sz w:val="20"/>
                <w:szCs w:val="20"/>
              </w:rPr>
              <w:t>0,0</w:t>
            </w:r>
          </w:p>
        </w:tc>
        <w:tc>
          <w:tcPr>
            <w:tcW w:w="1540" w:type="dxa"/>
          </w:tcPr>
          <w:p w:rsidR="002921A0" w:rsidRPr="002921A0" w:rsidRDefault="002921A0" w:rsidP="002921A0">
            <w:pPr>
              <w:spacing w:after="0" w:line="240" w:lineRule="auto"/>
              <w:jc w:val="center"/>
              <w:rPr>
                <w:sz w:val="20"/>
                <w:szCs w:val="20"/>
              </w:rPr>
            </w:pPr>
            <w:r w:rsidRPr="002921A0">
              <w:rPr>
                <w:sz w:val="20"/>
                <w:szCs w:val="20"/>
              </w:rPr>
              <w:t>0,0</w:t>
            </w:r>
          </w:p>
        </w:tc>
        <w:tc>
          <w:tcPr>
            <w:tcW w:w="1387" w:type="dxa"/>
          </w:tcPr>
          <w:p w:rsidR="002921A0" w:rsidRPr="002921A0" w:rsidRDefault="002921A0" w:rsidP="002921A0">
            <w:pPr>
              <w:spacing w:after="0" w:line="240" w:lineRule="auto"/>
              <w:jc w:val="center"/>
              <w:rPr>
                <w:sz w:val="20"/>
                <w:szCs w:val="20"/>
              </w:rPr>
            </w:pPr>
            <w:r w:rsidRPr="002921A0">
              <w:rPr>
                <w:sz w:val="20"/>
                <w:szCs w:val="20"/>
              </w:rPr>
              <w:t>0,0</w:t>
            </w:r>
          </w:p>
        </w:tc>
        <w:tc>
          <w:tcPr>
            <w:tcW w:w="1550" w:type="dxa"/>
          </w:tcPr>
          <w:p w:rsidR="002921A0" w:rsidRPr="002921A0" w:rsidRDefault="002921A0" w:rsidP="002921A0">
            <w:pPr>
              <w:spacing w:after="0" w:line="240" w:lineRule="auto"/>
              <w:jc w:val="center"/>
              <w:rPr>
                <w:sz w:val="20"/>
                <w:szCs w:val="20"/>
              </w:rPr>
            </w:pPr>
            <w:r w:rsidRPr="002921A0">
              <w:rPr>
                <w:sz w:val="20"/>
                <w:szCs w:val="20"/>
              </w:rPr>
              <w:t>0%</w:t>
            </w:r>
          </w:p>
        </w:tc>
      </w:tr>
      <w:tr w:rsidR="002921A0" w:rsidRPr="002921A0" w:rsidTr="00935BA6">
        <w:trPr>
          <w:trHeight w:val="300"/>
        </w:trPr>
        <w:tc>
          <w:tcPr>
            <w:tcW w:w="3510" w:type="dxa"/>
            <w:vAlign w:val="center"/>
            <w:hideMark/>
          </w:tcPr>
          <w:p w:rsidR="002921A0" w:rsidRPr="002921A0" w:rsidRDefault="002921A0" w:rsidP="002921A0">
            <w:pPr>
              <w:spacing w:after="0" w:line="240" w:lineRule="auto"/>
              <w:jc w:val="left"/>
              <w:rPr>
                <w:sz w:val="20"/>
                <w:szCs w:val="20"/>
              </w:rPr>
            </w:pPr>
            <w:r w:rsidRPr="002921A0">
              <w:rPr>
                <w:sz w:val="20"/>
                <w:szCs w:val="20"/>
              </w:rPr>
              <w:t>- бюджет автономного округа</w:t>
            </w:r>
          </w:p>
        </w:tc>
        <w:tc>
          <w:tcPr>
            <w:tcW w:w="1467" w:type="dxa"/>
          </w:tcPr>
          <w:p w:rsidR="002921A0" w:rsidRPr="002921A0" w:rsidRDefault="002921A0" w:rsidP="002921A0">
            <w:pPr>
              <w:spacing w:after="0" w:line="240" w:lineRule="auto"/>
              <w:jc w:val="center"/>
              <w:rPr>
                <w:sz w:val="20"/>
                <w:szCs w:val="20"/>
              </w:rPr>
            </w:pPr>
            <w:r w:rsidRPr="002921A0">
              <w:rPr>
                <w:sz w:val="20"/>
                <w:szCs w:val="20"/>
              </w:rPr>
              <w:t>23,0</w:t>
            </w:r>
          </w:p>
        </w:tc>
        <w:tc>
          <w:tcPr>
            <w:tcW w:w="1540" w:type="dxa"/>
          </w:tcPr>
          <w:p w:rsidR="002921A0" w:rsidRPr="002921A0" w:rsidRDefault="002921A0" w:rsidP="002921A0">
            <w:pPr>
              <w:spacing w:after="0" w:line="240" w:lineRule="auto"/>
              <w:jc w:val="center"/>
              <w:rPr>
                <w:sz w:val="20"/>
                <w:szCs w:val="20"/>
              </w:rPr>
            </w:pPr>
            <w:r w:rsidRPr="002921A0">
              <w:rPr>
                <w:sz w:val="20"/>
                <w:szCs w:val="20"/>
              </w:rPr>
              <w:t>0,0</w:t>
            </w:r>
          </w:p>
        </w:tc>
        <w:tc>
          <w:tcPr>
            <w:tcW w:w="1387" w:type="dxa"/>
          </w:tcPr>
          <w:p w:rsidR="002921A0" w:rsidRPr="002921A0" w:rsidRDefault="002921A0" w:rsidP="002921A0">
            <w:pPr>
              <w:spacing w:after="0" w:line="240" w:lineRule="auto"/>
              <w:jc w:val="center"/>
              <w:rPr>
                <w:sz w:val="20"/>
                <w:szCs w:val="20"/>
              </w:rPr>
            </w:pPr>
            <w:r w:rsidRPr="002921A0">
              <w:rPr>
                <w:sz w:val="20"/>
                <w:szCs w:val="20"/>
              </w:rPr>
              <w:t>0,0</w:t>
            </w:r>
          </w:p>
        </w:tc>
        <w:tc>
          <w:tcPr>
            <w:tcW w:w="1550" w:type="dxa"/>
          </w:tcPr>
          <w:p w:rsidR="002921A0" w:rsidRPr="002921A0" w:rsidRDefault="002921A0" w:rsidP="002921A0">
            <w:pPr>
              <w:spacing w:after="0" w:line="240" w:lineRule="auto"/>
              <w:jc w:val="center"/>
              <w:rPr>
                <w:sz w:val="20"/>
                <w:szCs w:val="20"/>
              </w:rPr>
            </w:pPr>
            <w:r w:rsidRPr="002921A0">
              <w:rPr>
                <w:sz w:val="20"/>
                <w:szCs w:val="20"/>
              </w:rPr>
              <w:t>0%</w:t>
            </w:r>
          </w:p>
        </w:tc>
      </w:tr>
      <w:tr w:rsidR="002921A0" w:rsidRPr="002921A0" w:rsidTr="00935BA6">
        <w:trPr>
          <w:trHeight w:val="300"/>
        </w:trPr>
        <w:tc>
          <w:tcPr>
            <w:tcW w:w="3510" w:type="dxa"/>
            <w:vAlign w:val="center"/>
            <w:hideMark/>
          </w:tcPr>
          <w:p w:rsidR="002921A0" w:rsidRPr="002921A0" w:rsidRDefault="002921A0" w:rsidP="002921A0">
            <w:pPr>
              <w:spacing w:after="0" w:line="240" w:lineRule="auto"/>
              <w:jc w:val="left"/>
              <w:rPr>
                <w:sz w:val="20"/>
                <w:szCs w:val="20"/>
                <w:highlight w:val="green"/>
              </w:rPr>
            </w:pPr>
            <w:r w:rsidRPr="002921A0">
              <w:rPr>
                <w:sz w:val="20"/>
                <w:szCs w:val="20"/>
              </w:rPr>
              <w:t>- бюджет города</w:t>
            </w:r>
          </w:p>
        </w:tc>
        <w:tc>
          <w:tcPr>
            <w:tcW w:w="1467" w:type="dxa"/>
          </w:tcPr>
          <w:p w:rsidR="002921A0" w:rsidRPr="002921A0" w:rsidRDefault="002921A0" w:rsidP="002921A0">
            <w:pPr>
              <w:spacing w:after="0" w:line="240" w:lineRule="auto"/>
              <w:jc w:val="center"/>
              <w:rPr>
                <w:sz w:val="20"/>
                <w:szCs w:val="20"/>
              </w:rPr>
            </w:pPr>
            <w:r w:rsidRPr="002921A0">
              <w:rPr>
                <w:sz w:val="20"/>
                <w:szCs w:val="20"/>
              </w:rPr>
              <w:t>154 531,3</w:t>
            </w:r>
          </w:p>
        </w:tc>
        <w:tc>
          <w:tcPr>
            <w:tcW w:w="1540" w:type="dxa"/>
            <w:shd w:val="clear" w:color="auto" w:fill="auto"/>
          </w:tcPr>
          <w:p w:rsidR="002921A0" w:rsidRPr="002921A0" w:rsidRDefault="002921A0" w:rsidP="002921A0">
            <w:pPr>
              <w:spacing w:line="240" w:lineRule="auto"/>
              <w:jc w:val="center"/>
              <w:rPr>
                <w:sz w:val="20"/>
                <w:szCs w:val="20"/>
              </w:rPr>
            </w:pPr>
            <w:r w:rsidRPr="002921A0">
              <w:rPr>
                <w:sz w:val="20"/>
                <w:szCs w:val="20"/>
              </w:rPr>
              <w:t>163 873,6</w:t>
            </w:r>
          </w:p>
        </w:tc>
        <w:tc>
          <w:tcPr>
            <w:tcW w:w="1387" w:type="dxa"/>
            <w:shd w:val="clear" w:color="auto" w:fill="auto"/>
          </w:tcPr>
          <w:p w:rsidR="002921A0" w:rsidRPr="002921A0" w:rsidRDefault="002921A0" w:rsidP="002921A0">
            <w:pPr>
              <w:spacing w:line="240" w:lineRule="auto"/>
              <w:jc w:val="center"/>
              <w:rPr>
                <w:sz w:val="20"/>
                <w:szCs w:val="20"/>
              </w:rPr>
            </w:pPr>
            <w:r w:rsidRPr="002921A0">
              <w:rPr>
                <w:sz w:val="20"/>
                <w:szCs w:val="20"/>
              </w:rPr>
              <w:t>161 635,5</w:t>
            </w:r>
          </w:p>
        </w:tc>
        <w:tc>
          <w:tcPr>
            <w:tcW w:w="1550" w:type="dxa"/>
            <w:shd w:val="clear" w:color="auto" w:fill="auto"/>
          </w:tcPr>
          <w:p w:rsidR="002921A0" w:rsidRPr="002921A0" w:rsidRDefault="002921A0" w:rsidP="002921A0">
            <w:pPr>
              <w:spacing w:line="240" w:lineRule="auto"/>
              <w:jc w:val="center"/>
              <w:rPr>
                <w:sz w:val="20"/>
                <w:szCs w:val="20"/>
              </w:rPr>
            </w:pPr>
            <w:r w:rsidRPr="002921A0">
              <w:rPr>
                <w:sz w:val="20"/>
                <w:szCs w:val="20"/>
              </w:rPr>
              <w:t>98,6%</w:t>
            </w:r>
          </w:p>
        </w:tc>
      </w:tr>
      <w:tr w:rsidR="002921A0" w:rsidRPr="002921A0" w:rsidTr="00935BA6">
        <w:trPr>
          <w:trHeight w:val="332"/>
        </w:trPr>
        <w:tc>
          <w:tcPr>
            <w:tcW w:w="3510" w:type="dxa"/>
            <w:vAlign w:val="center"/>
            <w:hideMark/>
          </w:tcPr>
          <w:p w:rsidR="002921A0" w:rsidRPr="002921A0" w:rsidRDefault="002921A0" w:rsidP="002921A0">
            <w:pPr>
              <w:spacing w:after="0" w:line="240" w:lineRule="auto"/>
              <w:jc w:val="left"/>
              <w:rPr>
                <w:sz w:val="20"/>
                <w:szCs w:val="20"/>
              </w:rPr>
            </w:pPr>
            <w:r w:rsidRPr="002921A0">
              <w:rPr>
                <w:sz w:val="20"/>
                <w:szCs w:val="20"/>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 всего, в том числе:</w:t>
            </w:r>
          </w:p>
        </w:tc>
        <w:tc>
          <w:tcPr>
            <w:tcW w:w="1467" w:type="dxa"/>
          </w:tcPr>
          <w:p w:rsidR="002921A0" w:rsidRPr="002921A0" w:rsidRDefault="002921A0" w:rsidP="002921A0">
            <w:pPr>
              <w:spacing w:after="0" w:line="240" w:lineRule="auto"/>
              <w:jc w:val="center"/>
              <w:rPr>
                <w:sz w:val="20"/>
                <w:szCs w:val="20"/>
              </w:rPr>
            </w:pPr>
            <w:r w:rsidRPr="002921A0">
              <w:rPr>
                <w:sz w:val="20"/>
                <w:szCs w:val="20"/>
              </w:rPr>
              <w:t>1 200,0</w:t>
            </w:r>
          </w:p>
        </w:tc>
        <w:tc>
          <w:tcPr>
            <w:tcW w:w="1540" w:type="dxa"/>
          </w:tcPr>
          <w:p w:rsidR="002921A0" w:rsidRPr="002921A0" w:rsidRDefault="002921A0" w:rsidP="002921A0">
            <w:pPr>
              <w:spacing w:after="0" w:line="240" w:lineRule="auto"/>
              <w:jc w:val="center"/>
              <w:rPr>
                <w:sz w:val="20"/>
                <w:szCs w:val="20"/>
              </w:rPr>
            </w:pPr>
            <w:r w:rsidRPr="002921A0">
              <w:rPr>
                <w:sz w:val="20"/>
                <w:szCs w:val="20"/>
              </w:rPr>
              <w:t xml:space="preserve"> 1 101,5</w:t>
            </w:r>
          </w:p>
        </w:tc>
        <w:tc>
          <w:tcPr>
            <w:tcW w:w="1387" w:type="dxa"/>
          </w:tcPr>
          <w:p w:rsidR="002921A0" w:rsidRPr="002921A0" w:rsidRDefault="002921A0" w:rsidP="002921A0">
            <w:pPr>
              <w:spacing w:after="0" w:line="240" w:lineRule="auto"/>
              <w:jc w:val="center"/>
              <w:rPr>
                <w:sz w:val="20"/>
                <w:szCs w:val="20"/>
              </w:rPr>
            </w:pPr>
            <w:r w:rsidRPr="002921A0">
              <w:rPr>
                <w:sz w:val="20"/>
                <w:szCs w:val="20"/>
              </w:rPr>
              <w:t>496,5</w:t>
            </w:r>
          </w:p>
        </w:tc>
        <w:tc>
          <w:tcPr>
            <w:tcW w:w="1550" w:type="dxa"/>
          </w:tcPr>
          <w:p w:rsidR="002921A0" w:rsidRPr="002921A0" w:rsidRDefault="002921A0" w:rsidP="002921A0">
            <w:pPr>
              <w:spacing w:after="0" w:line="240" w:lineRule="auto"/>
              <w:jc w:val="center"/>
              <w:rPr>
                <w:sz w:val="20"/>
                <w:szCs w:val="20"/>
                <w:highlight w:val="green"/>
              </w:rPr>
            </w:pPr>
            <w:r w:rsidRPr="002921A0">
              <w:rPr>
                <w:sz w:val="20"/>
                <w:szCs w:val="20"/>
              </w:rPr>
              <w:t>45,1%</w:t>
            </w:r>
          </w:p>
        </w:tc>
      </w:tr>
      <w:tr w:rsidR="002921A0" w:rsidRPr="002921A0" w:rsidTr="00935BA6">
        <w:trPr>
          <w:trHeight w:val="300"/>
        </w:trPr>
        <w:tc>
          <w:tcPr>
            <w:tcW w:w="3510" w:type="dxa"/>
            <w:vAlign w:val="center"/>
            <w:hideMark/>
          </w:tcPr>
          <w:p w:rsidR="002921A0" w:rsidRPr="002921A0" w:rsidRDefault="002921A0" w:rsidP="002921A0">
            <w:pPr>
              <w:spacing w:after="0" w:line="240" w:lineRule="auto"/>
              <w:jc w:val="left"/>
              <w:rPr>
                <w:sz w:val="20"/>
                <w:szCs w:val="20"/>
              </w:rPr>
            </w:pPr>
            <w:r w:rsidRPr="002921A0">
              <w:rPr>
                <w:sz w:val="20"/>
                <w:szCs w:val="20"/>
              </w:rPr>
              <w:t>- федеральный бюджет</w:t>
            </w:r>
          </w:p>
        </w:tc>
        <w:tc>
          <w:tcPr>
            <w:tcW w:w="1467" w:type="dxa"/>
          </w:tcPr>
          <w:p w:rsidR="002921A0" w:rsidRPr="002921A0" w:rsidRDefault="002921A0" w:rsidP="002921A0">
            <w:pPr>
              <w:spacing w:after="0" w:line="240" w:lineRule="auto"/>
              <w:jc w:val="center"/>
              <w:rPr>
                <w:sz w:val="20"/>
                <w:szCs w:val="20"/>
              </w:rPr>
            </w:pPr>
            <w:r w:rsidRPr="002921A0">
              <w:rPr>
                <w:sz w:val="20"/>
                <w:szCs w:val="20"/>
              </w:rPr>
              <w:t>0,0</w:t>
            </w:r>
          </w:p>
        </w:tc>
        <w:tc>
          <w:tcPr>
            <w:tcW w:w="1540" w:type="dxa"/>
          </w:tcPr>
          <w:p w:rsidR="002921A0" w:rsidRPr="002921A0" w:rsidRDefault="002921A0" w:rsidP="002921A0">
            <w:pPr>
              <w:spacing w:after="0" w:line="240" w:lineRule="auto"/>
              <w:jc w:val="center"/>
              <w:rPr>
                <w:sz w:val="20"/>
                <w:szCs w:val="20"/>
              </w:rPr>
            </w:pPr>
            <w:r w:rsidRPr="002921A0">
              <w:rPr>
                <w:sz w:val="20"/>
                <w:szCs w:val="20"/>
              </w:rPr>
              <w:t>0,0</w:t>
            </w:r>
          </w:p>
        </w:tc>
        <w:tc>
          <w:tcPr>
            <w:tcW w:w="1387" w:type="dxa"/>
          </w:tcPr>
          <w:p w:rsidR="002921A0" w:rsidRPr="002921A0" w:rsidRDefault="002921A0" w:rsidP="002921A0">
            <w:pPr>
              <w:spacing w:after="0" w:line="240" w:lineRule="auto"/>
              <w:jc w:val="center"/>
              <w:rPr>
                <w:sz w:val="20"/>
                <w:szCs w:val="20"/>
              </w:rPr>
            </w:pPr>
            <w:r w:rsidRPr="002921A0">
              <w:rPr>
                <w:sz w:val="20"/>
                <w:szCs w:val="20"/>
              </w:rPr>
              <w:t>0,0</w:t>
            </w:r>
          </w:p>
        </w:tc>
        <w:tc>
          <w:tcPr>
            <w:tcW w:w="1550" w:type="dxa"/>
          </w:tcPr>
          <w:p w:rsidR="002921A0" w:rsidRPr="002921A0" w:rsidRDefault="002921A0" w:rsidP="002921A0">
            <w:pPr>
              <w:spacing w:after="0" w:line="240" w:lineRule="auto"/>
              <w:jc w:val="center"/>
              <w:rPr>
                <w:sz w:val="20"/>
                <w:szCs w:val="20"/>
              </w:rPr>
            </w:pPr>
            <w:r w:rsidRPr="002921A0">
              <w:rPr>
                <w:sz w:val="20"/>
                <w:szCs w:val="20"/>
              </w:rPr>
              <w:t>0%</w:t>
            </w:r>
          </w:p>
        </w:tc>
      </w:tr>
      <w:tr w:rsidR="002921A0" w:rsidRPr="002921A0" w:rsidTr="00935BA6">
        <w:trPr>
          <w:trHeight w:val="300"/>
        </w:trPr>
        <w:tc>
          <w:tcPr>
            <w:tcW w:w="3510" w:type="dxa"/>
            <w:vAlign w:val="center"/>
            <w:hideMark/>
          </w:tcPr>
          <w:p w:rsidR="002921A0" w:rsidRPr="002921A0" w:rsidRDefault="002921A0" w:rsidP="002921A0">
            <w:pPr>
              <w:spacing w:after="0" w:line="240" w:lineRule="auto"/>
              <w:jc w:val="left"/>
              <w:rPr>
                <w:sz w:val="20"/>
                <w:szCs w:val="20"/>
              </w:rPr>
            </w:pPr>
            <w:r w:rsidRPr="002921A0">
              <w:rPr>
                <w:sz w:val="20"/>
                <w:szCs w:val="20"/>
              </w:rPr>
              <w:lastRenderedPageBreak/>
              <w:t>- бюджет автономного округа</w:t>
            </w:r>
          </w:p>
        </w:tc>
        <w:tc>
          <w:tcPr>
            <w:tcW w:w="1467" w:type="dxa"/>
          </w:tcPr>
          <w:p w:rsidR="002921A0" w:rsidRPr="002921A0" w:rsidRDefault="002921A0" w:rsidP="002921A0">
            <w:pPr>
              <w:spacing w:after="0" w:line="240" w:lineRule="auto"/>
              <w:jc w:val="center"/>
              <w:rPr>
                <w:sz w:val="20"/>
                <w:szCs w:val="20"/>
              </w:rPr>
            </w:pPr>
            <w:r w:rsidRPr="002921A0">
              <w:rPr>
                <w:sz w:val="20"/>
                <w:szCs w:val="20"/>
              </w:rPr>
              <w:t>0,0</w:t>
            </w:r>
          </w:p>
        </w:tc>
        <w:tc>
          <w:tcPr>
            <w:tcW w:w="1540" w:type="dxa"/>
          </w:tcPr>
          <w:p w:rsidR="002921A0" w:rsidRPr="002921A0" w:rsidRDefault="002921A0" w:rsidP="002921A0">
            <w:pPr>
              <w:spacing w:after="0" w:line="240" w:lineRule="auto"/>
              <w:jc w:val="center"/>
              <w:rPr>
                <w:sz w:val="20"/>
                <w:szCs w:val="20"/>
              </w:rPr>
            </w:pPr>
            <w:r w:rsidRPr="002921A0">
              <w:rPr>
                <w:sz w:val="20"/>
                <w:szCs w:val="20"/>
              </w:rPr>
              <w:t>0,0</w:t>
            </w:r>
          </w:p>
        </w:tc>
        <w:tc>
          <w:tcPr>
            <w:tcW w:w="1387" w:type="dxa"/>
          </w:tcPr>
          <w:p w:rsidR="002921A0" w:rsidRPr="002921A0" w:rsidRDefault="002921A0" w:rsidP="002921A0">
            <w:pPr>
              <w:spacing w:after="0" w:line="240" w:lineRule="auto"/>
              <w:jc w:val="center"/>
              <w:rPr>
                <w:sz w:val="20"/>
                <w:szCs w:val="20"/>
              </w:rPr>
            </w:pPr>
            <w:r w:rsidRPr="002921A0">
              <w:rPr>
                <w:sz w:val="20"/>
                <w:szCs w:val="20"/>
              </w:rPr>
              <w:t>0,0</w:t>
            </w:r>
          </w:p>
        </w:tc>
        <w:tc>
          <w:tcPr>
            <w:tcW w:w="1550" w:type="dxa"/>
          </w:tcPr>
          <w:p w:rsidR="002921A0" w:rsidRPr="002921A0" w:rsidRDefault="002921A0" w:rsidP="002921A0">
            <w:pPr>
              <w:spacing w:after="0" w:line="240" w:lineRule="auto"/>
              <w:jc w:val="center"/>
              <w:rPr>
                <w:sz w:val="20"/>
                <w:szCs w:val="20"/>
              </w:rPr>
            </w:pPr>
            <w:r w:rsidRPr="002921A0">
              <w:rPr>
                <w:sz w:val="20"/>
                <w:szCs w:val="20"/>
              </w:rPr>
              <w:t>0%</w:t>
            </w:r>
          </w:p>
        </w:tc>
      </w:tr>
      <w:tr w:rsidR="002921A0" w:rsidRPr="002921A0" w:rsidTr="00935BA6">
        <w:trPr>
          <w:trHeight w:val="300"/>
        </w:trPr>
        <w:tc>
          <w:tcPr>
            <w:tcW w:w="3510" w:type="dxa"/>
            <w:vAlign w:val="center"/>
            <w:hideMark/>
          </w:tcPr>
          <w:p w:rsidR="002921A0" w:rsidRPr="002921A0" w:rsidRDefault="002921A0" w:rsidP="002921A0">
            <w:pPr>
              <w:spacing w:after="0" w:line="240" w:lineRule="auto"/>
              <w:jc w:val="left"/>
              <w:rPr>
                <w:sz w:val="20"/>
                <w:szCs w:val="20"/>
              </w:rPr>
            </w:pPr>
            <w:r w:rsidRPr="002921A0">
              <w:rPr>
                <w:sz w:val="20"/>
                <w:szCs w:val="20"/>
              </w:rPr>
              <w:t>- бюджет города</w:t>
            </w:r>
          </w:p>
        </w:tc>
        <w:tc>
          <w:tcPr>
            <w:tcW w:w="1467" w:type="dxa"/>
          </w:tcPr>
          <w:p w:rsidR="002921A0" w:rsidRPr="002921A0" w:rsidRDefault="002921A0" w:rsidP="002921A0">
            <w:pPr>
              <w:spacing w:after="0" w:line="240" w:lineRule="auto"/>
              <w:jc w:val="center"/>
              <w:rPr>
                <w:sz w:val="20"/>
                <w:szCs w:val="20"/>
              </w:rPr>
            </w:pPr>
            <w:r w:rsidRPr="002921A0">
              <w:rPr>
                <w:sz w:val="20"/>
                <w:szCs w:val="20"/>
              </w:rPr>
              <w:t>1 200,0</w:t>
            </w:r>
          </w:p>
        </w:tc>
        <w:tc>
          <w:tcPr>
            <w:tcW w:w="1540" w:type="dxa"/>
          </w:tcPr>
          <w:p w:rsidR="002921A0" w:rsidRPr="002921A0" w:rsidRDefault="002921A0" w:rsidP="002921A0">
            <w:pPr>
              <w:spacing w:after="0" w:line="240" w:lineRule="auto"/>
              <w:jc w:val="center"/>
              <w:rPr>
                <w:sz w:val="20"/>
                <w:szCs w:val="20"/>
              </w:rPr>
            </w:pPr>
            <w:r w:rsidRPr="002921A0">
              <w:rPr>
                <w:sz w:val="20"/>
                <w:szCs w:val="20"/>
              </w:rPr>
              <w:t xml:space="preserve"> 1 101,5</w:t>
            </w:r>
          </w:p>
        </w:tc>
        <w:tc>
          <w:tcPr>
            <w:tcW w:w="1387" w:type="dxa"/>
          </w:tcPr>
          <w:p w:rsidR="002921A0" w:rsidRPr="002921A0" w:rsidRDefault="002921A0" w:rsidP="002921A0">
            <w:pPr>
              <w:spacing w:after="0" w:line="240" w:lineRule="auto"/>
              <w:jc w:val="center"/>
              <w:rPr>
                <w:sz w:val="20"/>
                <w:szCs w:val="20"/>
              </w:rPr>
            </w:pPr>
            <w:r w:rsidRPr="002921A0">
              <w:rPr>
                <w:sz w:val="20"/>
                <w:szCs w:val="20"/>
              </w:rPr>
              <w:t>496,5</w:t>
            </w:r>
          </w:p>
        </w:tc>
        <w:tc>
          <w:tcPr>
            <w:tcW w:w="1550" w:type="dxa"/>
          </w:tcPr>
          <w:p w:rsidR="002921A0" w:rsidRPr="002921A0" w:rsidRDefault="002921A0" w:rsidP="002921A0">
            <w:pPr>
              <w:spacing w:after="0" w:line="240" w:lineRule="auto"/>
              <w:jc w:val="center"/>
              <w:rPr>
                <w:sz w:val="20"/>
                <w:szCs w:val="20"/>
                <w:highlight w:val="green"/>
              </w:rPr>
            </w:pPr>
            <w:r w:rsidRPr="002921A0">
              <w:rPr>
                <w:sz w:val="20"/>
                <w:szCs w:val="20"/>
              </w:rPr>
              <w:t>45,1%</w:t>
            </w:r>
          </w:p>
        </w:tc>
      </w:tr>
      <w:tr w:rsidR="002921A0" w:rsidRPr="002921A0" w:rsidTr="00935BA6">
        <w:trPr>
          <w:trHeight w:val="300"/>
        </w:trPr>
        <w:tc>
          <w:tcPr>
            <w:tcW w:w="3510" w:type="dxa"/>
            <w:vAlign w:val="center"/>
            <w:hideMark/>
          </w:tcPr>
          <w:p w:rsidR="002921A0" w:rsidRPr="002921A0" w:rsidRDefault="002921A0" w:rsidP="002921A0">
            <w:pPr>
              <w:spacing w:after="0" w:line="240" w:lineRule="auto"/>
              <w:jc w:val="left"/>
              <w:rPr>
                <w:sz w:val="20"/>
                <w:szCs w:val="20"/>
              </w:rPr>
            </w:pPr>
            <w:r w:rsidRPr="002921A0">
              <w:rPr>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 всего, в том числе:</w:t>
            </w:r>
          </w:p>
        </w:tc>
        <w:tc>
          <w:tcPr>
            <w:tcW w:w="1467" w:type="dxa"/>
          </w:tcPr>
          <w:p w:rsidR="002921A0" w:rsidRPr="002921A0" w:rsidRDefault="002921A0" w:rsidP="002921A0">
            <w:pPr>
              <w:spacing w:after="0" w:line="240" w:lineRule="auto"/>
              <w:jc w:val="center"/>
              <w:rPr>
                <w:sz w:val="20"/>
                <w:szCs w:val="20"/>
              </w:rPr>
            </w:pPr>
            <w:r w:rsidRPr="002921A0">
              <w:rPr>
                <w:sz w:val="20"/>
                <w:szCs w:val="20"/>
              </w:rPr>
              <w:t>152 754,3</w:t>
            </w:r>
          </w:p>
        </w:tc>
        <w:tc>
          <w:tcPr>
            <w:tcW w:w="1540" w:type="dxa"/>
          </w:tcPr>
          <w:p w:rsidR="002921A0" w:rsidRPr="002921A0" w:rsidRDefault="002921A0" w:rsidP="002921A0">
            <w:pPr>
              <w:spacing w:after="0" w:line="240" w:lineRule="auto"/>
              <w:jc w:val="center"/>
              <w:rPr>
                <w:sz w:val="20"/>
                <w:szCs w:val="20"/>
              </w:rPr>
            </w:pPr>
            <w:r w:rsidRPr="002921A0">
              <w:rPr>
                <w:sz w:val="20"/>
                <w:szCs w:val="20"/>
              </w:rPr>
              <w:t>162 122,1</w:t>
            </w:r>
          </w:p>
        </w:tc>
        <w:tc>
          <w:tcPr>
            <w:tcW w:w="1387" w:type="dxa"/>
          </w:tcPr>
          <w:p w:rsidR="002921A0" w:rsidRPr="002921A0" w:rsidRDefault="002921A0" w:rsidP="002921A0">
            <w:pPr>
              <w:spacing w:after="0" w:line="240" w:lineRule="auto"/>
              <w:jc w:val="center"/>
              <w:rPr>
                <w:sz w:val="20"/>
                <w:szCs w:val="20"/>
              </w:rPr>
            </w:pPr>
            <w:r w:rsidRPr="002921A0">
              <w:rPr>
                <w:sz w:val="20"/>
                <w:szCs w:val="20"/>
              </w:rPr>
              <w:t>160 489,0</w:t>
            </w:r>
          </w:p>
        </w:tc>
        <w:tc>
          <w:tcPr>
            <w:tcW w:w="1550" w:type="dxa"/>
          </w:tcPr>
          <w:p w:rsidR="002921A0" w:rsidRPr="002921A0" w:rsidRDefault="002921A0" w:rsidP="002921A0">
            <w:pPr>
              <w:spacing w:after="0" w:line="240" w:lineRule="auto"/>
              <w:jc w:val="center"/>
              <w:rPr>
                <w:sz w:val="20"/>
                <w:szCs w:val="20"/>
                <w:highlight w:val="green"/>
              </w:rPr>
            </w:pPr>
            <w:r w:rsidRPr="002921A0">
              <w:rPr>
                <w:sz w:val="20"/>
                <w:szCs w:val="20"/>
              </w:rPr>
              <w:t>99%</w:t>
            </w:r>
          </w:p>
        </w:tc>
      </w:tr>
      <w:tr w:rsidR="002921A0" w:rsidRPr="002921A0" w:rsidTr="00935BA6">
        <w:trPr>
          <w:trHeight w:val="288"/>
        </w:trPr>
        <w:tc>
          <w:tcPr>
            <w:tcW w:w="3510" w:type="dxa"/>
            <w:vAlign w:val="center"/>
            <w:hideMark/>
          </w:tcPr>
          <w:p w:rsidR="002921A0" w:rsidRPr="002921A0" w:rsidRDefault="002921A0" w:rsidP="002921A0">
            <w:pPr>
              <w:spacing w:after="0" w:line="240" w:lineRule="auto"/>
              <w:jc w:val="left"/>
              <w:rPr>
                <w:sz w:val="20"/>
                <w:szCs w:val="20"/>
              </w:rPr>
            </w:pPr>
            <w:r w:rsidRPr="002921A0">
              <w:rPr>
                <w:sz w:val="20"/>
                <w:szCs w:val="20"/>
              </w:rPr>
              <w:t>- федеральный бюджет</w:t>
            </w:r>
          </w:p>
        </w:tc>
        <w:tc>
          <w:tcPr>
            <w:tcW w:w="1467" w:type="dxa"/>
          </w:tcPr>
          <w:p w:rsidR="002921A0" w:rsidRPr="002921A0" w:rsidRDefault="002921A0" w:rsidP="002921A0">
            <w:pPr>
              <w:spacing w:after="0"/>
              <w:jc w:val="center"/>
            </w:pPr>
            <w:r w:rsidRPr="002921A0">
              <w:t>0,0</w:t>
            </w:r>
          </w:p>
        </w:tc>
        <w:tc>
          <w:tcPr>
            <w:tcW w:w="1540" w:type="dxa"/>
          </w:tcPr>
          <w:p w:rsidR="002921A0" w:rsidRPr="002921A0" w:rsidRDefault="002921A0" w:rsidP="002921A0">
            <w:pPr>
              <w:spacing w:after="0"/>
              <w:jc w:val="center"/>
            </w:pPr>
            <w:r w:rsidRPr="002921A0">
              <w:t>0,0</w:t>
            </w:r>
          </w:p>
        </w:tc>
        <w:tc>
          <w:tcPr>
            <w:tcW w:w="1387" w:type="dxa"/>
          </w:tcPr>
          <w:p w:rsidR="002921A0" w:rsidRPr="002921A0" w:rsidRDefault="002921A0" w:rsidP="002921A0">
            <w:pPr>
              <w:spacing w:after="0"/>
              <w:jc w:val="center"/>
            </w:pPr>
            <w:r w:rsidRPr="002921A0">
              <w:t>0,0</w:t>
            </w:r>
          </w:p>
        </w:tc>
        <w:tc>
          <w:tcPr>
            <w:tcW w:w="1550" w:type="dxa"/>
          </w:tcPr>
          <w:p w:rsidR="002921A0" w:rsidRPr="002921A0" w:rsidRDefault="002921A0" w:rsidP="002921A0">
            <w:pPr>
              <w:spacing w:after="0" w:line="240" w:lineRule="auto"/>
              <w:jc w:val="center"/>
              <w:rPr>
                <w:sz w:val="20"/>
                <w:szCs w:val="20"/>
              </w:rPr>
            </w:pPr>
            <w:r w:rsidRPr="002921A0">
              <w:rPr>
                <w:sz w:val="20"/>
                <w:szCs w:val="20"/>
              </w:rPr>
              <w:t>0%</w:t>
            </w:r>
          </w:p>
        </w:tc>
      </w:tr>
      <w:tr w:rsidR="002921A0" w:rsidRPr="002921A0" w:rsidTr="00935BA6">
        <w:trPr>
          <w:trHeight w:val="300"/>
        </w:trPr>
        <w:tc>
          <w:tcPr>
            <w:tcW w:w="3510" w:type="dxa"/>
            <w:vAlign w:val="center"/>
            <w:hideMark/>
          </w:tcPr>
          <w:p w:rsidR="002921A0" w:rsidRPr="002921A0" w:rsidRDefault="002921A0" w:rsidP="002921A0">
            <w:pPr>
              <w:spacing w:after="0" w:line="240" w:lineRule="auto"/>
              <w:jc w:val="left"/>
              <w:rPr>
                <w:sz w:val="20"/>
                <w:szCs w:val="20"/>
              </w:rPr>
            </w:pPr>
            <w:r w:rsidRPr="002921A0">
              <w:rPr>
                <w:sz w:val="20"/>
                <w:szCs w:val="20"/>
              </w:rPr>
              <w:t>- бюджет автономного округа</w:t>
            </w:r>
          </w:p>
        </w:tc>
        <w:tc>
          <w:tcPr>
            <w:tcW w:w="1467" w:type="dxa"/>
          </w:tcPr>
          <w:p w:rsidR="002921A0" w:rsidRPr="002921A0" w:rsidRDefault="002921A0" w:rsidP="002921A0">
            <w:pPr>
              <w:spacing w:after="0"/>
              <w:jc w:val="center"/>
            </w:pPr>
            <w:r w:rsidRPr="002921A0">
              <w:t>23,0</w:t>
            </w:r>
          </w:p>
        </w:tc>
        <w:tc>
          <w:tcPr>
            <w:tcW w:w="1540" w:type="dxa"/>
          </w:tcPr>
          <w:p w:rsidR="002921A0" w:rsidRPr="002921A0" w:rsidRDefault="002921A0" w:rsidP="002921A0">
            <w:pPr>
              <w:spacing w:after="0"/>
              <w:jc w:val="center"/>
            </w:pPr>
            <w:r w:rsidRPr="002921A0">
              <w:t>0,0</w:t>
            </w:r>
          </w:p>
        </w:tc>
        <w:tc>
          <w:tcPr>
            <w:tcW w:w="1387" w:type="dxa"/>
          </w:tcPr>
          <w:p w:rsidR="002921A0" w:rsidRPr="002921A0" w:rsidRDefault="002921A0" w:rsidP="002921A0">
            <w:pPr>
              <w:spacing w:after="0"/>
              <w:jc w:val="center"/>
            </w:pPr>
            <w:r w:rsidRPr="002921A0">
              <w:t>0,0</w:t>
            </w:r>
          </w:p>
        </w:tc>
        <w:tc>
          <w:tcPr>
            <w:tcW w:w="1550" w:type="dxa"/>
          </w:tcPr>
          <w:p w:rsidR="002921A0" w:rsidRPr="002921A0" w:rsidRDefault="002921A0" w:rsidP="002921A0">
            <w:pPr>
              <w:spacing w:after="0" w:line="240" w:lineRule="auto"/>
              <w:jc w:val="center"/>
              <w:rPr>
                <w:sz w:val="20"/>
                <w:szCs w:val="20"/>
              </w:rPr>
            </w:pPr>
            <w:r w:rsidRPr="002921A0">
              <w:rPr>
                <w:sz w:val="20"/>
                <w:szCs w:val="20"/>
              </w:rPr>
              <w:t>0%</w:t>
            </w:r>
          </w:p>
        </w:tc>
      </w:tr>
      <w:tr w:rsidR="002921A0" w:rsidRPr="002921A0" w:rsidTr="00935BA6">
        <w:trPr>
          <w:trHeight w:val="300"/>
        </w:trPr>
        <w:tc>
          <w:tcPr>
            <w:tcW w:w="3510" w:type="dxa"/>
            <w:vAlign w:val="center"/>
            <w:hideMark/>
          </w:tcPr>
          <w:p w:rsidR="002921A0" w:rsidRPr="002921A0" w:rsidRDefault="002921A0" w:rsidP="002921A0">
            <w:pPr>
              <w:spacing w:after="0" w:line="240" w:lineRule="auto"/>
              <w:jc w:val="left"/>
              <w:rPr>
                <w:sz w:val="20"/>
                <w:szCs w:val="20"/>
              </w:rPr>
            </w:pPr>
            <w:r w:rsidRPr="002921A0">
              <w:rPr>
                <w:sz w:val="20"/>
                <w:szCs w:val="20"/>
              </w:rPr>
              <w:t>- бюджет города</w:t>
            </w:r>
          </w:p>
        </w:tc>
        <w:tc>
          <w:tcPr>
            <w:tcW w:w="1467" w:type="dxa"/>
          </w:tcPr>
          <w:p w:rsidR="002921A0" w:rsidRPr="002921A0" w:rsidRDefault="002921A0" w:rsidP="002921A0">
            <w:pPr>
              <w:spacing w:after="0" w:line="240" w:lineRule="auto"/>
              <w:jc w:val="center"/>
              <w:rPr>
                <w:sz w:val="20"/>
                <w:szCs w:val="20"/>
              </w:rPr>
            </w:pPr>
            <w:r w:rsidRPr="002921A0">
              <w:rPr>
                <w:sz w:val="20"/>
                <w:szCs w:val="20"/>
              </w:rPr>
              <w:t>152 731,3</w:t>
            </w:r>
          </w:p>
        </w:tc>
        <w:tc>
          <w:tcPr>
            <w:tcW w:w="1540" w:type="dxa"/>
          </w:tcPr>
          <w:p w:rsidR="002921A0" w:rsidRPr="002921A0" w:rsidRDefault="002921A0" w:rsidP="002921A0">
            <w:pPr>
              <w:spacing w:after="0" w:line="240" w:lineRule="auto"/>
              <w:jc w:val="center"/>
              <w:rPr>
                <w:sz w:val="20"/>
                <w:szCs w:val="20"/>
              </w:rPr>
            </w:pPr>
            <w:r w:rsidRPr="002921A0">
              <w:rPr>
                <w:sz w:val="20"/>
                <w:szCs w:val="20"/>
              </w:rPr>
              <w:t>162 122,1</w:t>
            </w:r>
          </w:p>
        </w:tc>
        <w:tc>
          <w:tcPr>
            <w:tcW w:w="1387" w:type="dxa"/>
          </w:tcPr>
          <w:p w:rsidR="002921A0" w:rsidRPr="002921A0" w:rsidRDefault="002921A0" w:rsidP="002921A0">
            <w:pPr>
              <w:spacing w:after="0" w:line="240" w:lineRule="auto"/>
              <w:jc w:val="center"/>
              <w:rPr>
                <w:sz w:val="20"/>
                <w:szCs w:val="20"/>
              </w:rPr>
            </w:pPr>
            <w:r w:rsidRPr="002921A0">
              <w:rPr>
                <w:sz w:val="20"/>
                <w:szCs w:val="20"/>
              </w:rPr>
              <w:t>160 489,0</w:t>
            </w:r>
          </w:p>
        </w:tc>
        <w:tc>
          <w:tcPr>
            <w:tcW w:w="1550" w:type="dxa"/>
          </w:tcPr>
          <w:p w:rsidR="002921A0" w:rsidRPr="002921A0" w:rsidRDefault="002921A0" w:rsidP="002921A0">
            <w:pPr>
              <w:spacing w:after="0" w:line="240" w:lineRule="auto"/>
              <w:jc w:val="center"/>
              <w:rPr>
                <w:sz w:val="20"/>
                <w:szCs w:val="20"/>
                <w:highlight w:val="green"/>
              </w:rPr>
            </w:pPr>
            <w:r w:rsidRPr="002921A0">
              <w:rPr>
                <w:sz w:val="20"/>
                <w:szCs w:val="20"/>
              </w:rPr>
              <w:t>99%</w:t>
            </w:r>
          </w:p>
        </w:tc>
      </w:tr>
      <w:tr w:rsidR="002921A0" w:rsidRPr="002921A0" w:rsidTr="00935BA6">
        <w:trPr>
          <w:trHeight w:val="300"/>
        </w:trPr>
        <w:tc>
          <w:tcPr>
            <w:tcW w:w="3510" w:type="dxa"/>
            <w:vAlign w:val="center"/>
          </w:tcPr>
          <w:p w:rsidR="002921A0" w:rsidRPr="002921A0" w:rsidRDefault="002921A0" w:rsidP="002921A0">
            <w:pPr>
              <w:spacing w:after="0" w:line="240" w:lineRule="auto"/>
              <w:jc w:val="left"/>
              <w:rPr>
                <w:sz w:val="20"/>
                <w:szCs w:val="20"/>
              </w:rPr>
            </w:pPr>
            <w:r w:rsidRPr="002921A0">
              <w:rPr>
                <w:sz w:val="20"/>
                <w:szCs w:val="20"/>
              </w:rPr>
              <w:t>Основное мероприятие «Проведение экспертизы зданий и сооружений», всего, в том числе:</w:t>
            </w:r>
          </w:p>
        </w:tc>
        <w:tc>
          <w:tcPr>
            <w:tcW w:w="1467" w:type="dxa"/>
          </w:tcPr>
          <w:p w:rsidR="002921A0" w:rsidRPr="002921A0" w:rsidRDefault="002921A0" w:rsidP="002921A0">
            <w:pPr>
              <w:spacing w:after="0" w:line="240" w:lineRule="auto"/>
              <w:jc w:val="center"/>
              <w:rPr>
                <w:sz w:val="20"/>
                <w:szCs w:val="20"/>
              </w:rPr>
            </w:pPr>
            <w:r w:rsidRPr="002921A0">
              <w:rPr>
                <w:sz w:val="20"/>
                <w:szCs w:val="20"/>
              </w:rPr>
              <w:t>600,0</w:t>
            </w:r>
          </w:p>
        </w:tc>
        <w:tc>
          <w:tcPr>
            <w:tcW w:w="1540" w:type="dxa"/>
          </w:tcPr>
          <w:p w:rsidR="002921A0" w:rsidRPr="002921A0" w:rsidRDefault="002921A0" w:rsidP="002921A0">
            <w:pPr>
              <w:spacing w:after="0" w:line="240" w:lineRule="auto"/>
              <w:jc w:val="center"/>
              <w:rPr>
                <w:sz w:val="20"/>
                <w:szCs w:val="20"/>
              </w:rPr>
            </w:pPr>
            <w:r w:rsidRPr="002921A0">
              <w:rPr>
                <w:sz w:val="20"/>
                <w:szCs w:val="20"/>
              </w:rPr>
              <w:t>650,0</w:t>
            </w:r>
          </w:p>
        </w:tc>
        <w:tc>
          <w:tcPr>
            <w:tcW w:w="1387" w:type="dxa"/>
          </w:tcPr>
          <w:p w:rsidR="002921A0" w:rsidRPr="002921A0" w:rsidRDefault="002921A0" w:rsidP="002921A0">
            <w:pPr>
              <w:spacing w:after="0" w:line="240" w:lineRule="auto"/>
              <w:jc w:val="center"/>
              <w:rPr>
                <w:sz w:val="20"/>
                <w:szCs w:val="20"/>
              </w:rPr>
            </w:pPr>
            <w:r w:rsidRPr="002921A0">
              <w:rPr>
                <w:sz w:val="20"/>
                <w:szCs w:val="20"/>
              </w:rPr>
              <w:t>650,0</w:t>
            </w:r>
          </w:p>
        </w:tc>
        <w:tc>
          <w:tcPr>
            <w:tcW w:w="1550" w:type="dxa"/>
          </w:tcPr>
          <w:p w:rsidR="002921A0" w:rsidRPr="002921A0" w:rsidRDefault="002921A0" w:rsidP="002921A0">
            <w:pPr>
              <w:spacing w:after="0" w:line="240" w:lineRule="auto"/>
              <w:jc w:val="center"/>
              <w:rPr>
                <w:sz w:val="20"/>
                <w:szCs w:val="20"/>
              </w:rPr>
            </w:pPr>
            <w:r w:rsidRPr="002921A0">
              <w:rPr>
                <w:sz w:val="20"/>
                <w:szCs w:val="20"/>
              </w:rPr>
              <w:t>100%</w:t>
            </w:r>
          </w:p>
        </w:tc>
      </w:tr>
      <w:tr w:rsidR="002921A0" w:rsidRPr="002921A0" w:rsidTr="00935BA6">
        <w:trPr>
          <w:trHeight w:val="300"/>
        </w:trPr>
        <w:tc>
          <w:tcPr>
            <w:tcW w:w="3510" w:type="dxa"/>
            <w:vAlign w:val="center"/>
          </w:tcPr>
          <w:p w:rsidR="002921A0" w:rsidRPr="002921A0" w:rsidRDefault="002921A0" w:rsidP="002921A0">
            <w:pPr>
              <w:spacing w:after="0" w:line="240" w:lineRule="auto"/>
              <w:jc w:val="left"/>
              <w:rPr>
                <w:sz w:val="20"/>
                <w:szCs w:val="20"/>
              </w:rPr>
            </w:pPr>
            <w:r w:rsidRPr="002921A0">
              <w:rPr>
                <w:sz w:val="20"/>
                <w:szCs w:val="20"/>
              </w:rPr>
              <w:t>- федеральный бюджет</w:t>
            </w:r>
          </w:p>
        </w:tc>
        <w:tc>
          <w:tcPr>
            <w:tcW w:w="1467" w:type="dxa"/>
          </w:tcPr>
          <w:p w:rsidR="002921A0" w:rsidRPr="002921A0" w:rsidRDefault="002921A0" w:rsidP="002921A0">
            <w:pPr>
              <w:spacing w:after="0"/>
              <w:jc w:val="center"/>
            </w:pPr>
            <w:r w:rsidRPr="002921A0">
              <w:t>0,0</w:t>
            </w:r>
          </w:p>
        </w:tc>
        <w:tc>
          <w:tcPr>
            <w:tcW w:w="1540" w:type="dxa"/>
          </w:tcPr>
          <w:p w:rsidR="002921A0" w:rsidRPr="002921A0" w:rsidRDefault="002921A0" w:rsidP="002921A0">
            <w:pPr>
              <w:spacing w:after="0"/>
              <w:jc w:val="center"/>
            </w:pPr>
            <w:r w:rsidRPr="002921A0">
              <w:t>0,0</w:t>
            </w:r>
          </w:p>
        </w:tc>
        <w:tc>
          <w:tcPr>
            <w:tcW w:w="1387" w:type="dxa"/>
          </w:tcPr>
          <w:p w:rsidR="002921A0" w:rsidRPr="002921A0" w:rsidRDefault="002921A0" w:rsidP="002921A0">
            <w:pPr>
              <w:spacing w:after="0"/>
              <w:jc w:val="center"/>
            </w:pPr>
            <w:r w:rsidRPr="002921A0">
              <w:t>0,0</w:t>
            </w:r>
          </w:p>
        </w:tc>
        <w:tc>
          <w:tcPr>
            <w:tcW w:w="1550" w:type="dxa"/>
          </w:tcPr>
          <w:p w:rsidR="002921A0" w:rsidRPr="002921A0" w:rsidRDefault="002921A0" w:rsidP="002921A0">
            <w:pPr>
              <w:spacing w:after="0" w:line="240" w:lineRule="auto"/>
              <w:jc w:val="center"/>
              <w:rPr>
                <w:sz w:val="20"/>
                <w:szCs w:val="20"/>
              </w:rPr>
            </w:pPr>
            <w:r w:rsidRPr="002921A0">
              <w:rPr>
                <w:sz w:val="20"/>
                <w:szCs w:val="20"/>
              </w:rPr>
              <w:t>0%</w:t>
            </w:r>
          </w:p>
        </w:tc>
      </w:tr>
      <w:tr w:rsidR="002921A0" w:rsidRPr="002921A0" w:rsidTr="00935BA6">
        <w:trPr>
          <w:trHeight w:val="300"/>
        </w:trPr>
        <w:tc>
          <w:tcPr>
            <w:tcW w:w="3510" w:type="dxa"/>
            <w:vAlign w:val="center"/>
          </w:tcPr>
          <w:p w:rsidR="002921A0" w:rsidRPr="002921A0" w:rsidRDefault="002921A0" w:rsidP="002921A0">
            <w:pPr>
              <w:spacing w:after="0" w:line="240" w:lineRule="auto"/>
              <w:jc w:val="left"/>
              <w:rPr>
                <w:sz w:val="20"/>
                <w:szCs w:val="20"/>
              </w:rPr>
            </w:pPr>
            <w:r w:rsidRPr="002921A0">
              <w:rPr>
                <w:sz w:val="20"/>
                <w:szCs w:val="20"/>
              </w:rPr>
              <w:t>- бюджет автономного округа</w:t>
            </w:r>
          </w:p>
        </w:tc>
        <w:tc>
          <w:tcPr>
            <w:tcW w:w="1467" w:type="dxa"/>
          </w:tcPr>
          <w:p w:rsidR="002921A0" w:rsidRPr="002921A0" w:rsidRDefault="002921A0" w:rsidP="002921A0">
            <w:pPr>
              <w:spacing w:after="0"/>
              <w:jc w:val="center"/>
            </w:pPr>
            <w:r w:rsidRPr="002921A0">
              <w:t>0,0</w:t>
            </w:r>
          </w:p>
        </w:tc>
        <w:tc>
          <w:tcPr>
            <w:tcW w:w="1540" w:type="dxa"/>
          </w:tcPr>
          <w:p w:rsidR="002921A0" w:rsidRPr="002921A0" w:rsidRDefault="002921A0" w:rsidP="002921A0">
            <w:pPr>
              <w:spacing w:after="0"/>
              <w:jc w:val="center"/>
            </w:pPr>
            <w:r w:rsidRPr="002921A0">
              <w:t>0,0</w:t>
            </w:r>
          </w:p>
        </w:tc>
        <w:tc>
          <w:tcPr>
            <w:tcW w:w="1387" w:type="dxa"/>
          </w:tcPr>
          <w:p w:rsidR="002921A0" w:rsidRPr="002921A0" w:rsidRDefault="002921A0" w:rsidP="002921A0">
            <w:pPr>
              <w:spacing w:after="0"/>
              <w:jc w:val="center"/>
            </w:pPr>
            <w:r w:rsidRPr="002921A0">
              <w:t>0,0</w:t>
            </w:r>
          </w:p>
        </w:tc>
        <w:tc>
          <w:tcPr>
            <w:tcW w:w="1550" w:type="dxa"/>
          </w:tcPr>
          <w:p w:rsidR="002921A0" w:rsidRPr="002921A0" w:rsidRDefault="002921A0" w:rsidP="002921A0">
            <w:pPr>
              <w:spacing w:after="0" w:line="240" w:lineRule="auto"/>
              <w:jc w:val="center"/>
              <w:rPr>
                <w:sz w:val="20"/>
                <w:szCs w:val="20"/>
              </w:rPr>
            </w:pPr>
            <w:r w:rsidRPr="002921A0">
              <w:rPr>
                <w:sz w:val="20"/>
                <w:szCs w:val="20"/>
              </w:rPr>
              <w:t>0%</w:t>
            </w:r>
          </w:p>
        </w:tc>
      </w:tr>
      <w:tr w:rsidR="002921A0" w:rsidRPr="002921A0" w:rsidTr="00935BA6">
        <w:trPr>
          <w:trHeight w:val="300"/>
        </w:trPr>
        <w:tc>
          <w:tcPr>
            <w:tcW w:w="3510" w:type="dxa"/>
            <w:vAlign w:val="center"/>
          </w:tcPr>
          <w:p w:rsidR="002921A0" w:rsidRPr="002921A0" w:rsidRDefault="002921A0" w:rsidP="002921A0">
            <w:pPr>
              <w:spacing w:after="0" w:line="240" w:lineRule="auto"/>
              <w:jc w:val="left"/>
              <w:rPr>
                <w:sz w:val="20"/>
                <w:szCs w:val="20"/>
              </w:rPr>
            </w:pPr>
            <w:r w:rsidRPr="002921A0">
              <w:rPr>
                <w:sz w:val="20"/>
                <w:szCs w:val="20"/>
              </w:rPr>
              <w:t>- бюджет города</w:t>
            </w:r>
          </w:p>
        </w:tc>
        <w:tc>
          <w:tcPr>
            <w:tcW w:w="1467" w:type="dxa"/>
          </w:tcPr>
          <w:p w:rsidR="002921A0" w:rsidRPr="002921A0" w:rsidRDefault="002921A0" w:rsidP="002921A0">
            <w:pPr>
              <w:spacing w:after="0" w:line="240" w:lineRule="auto"/>
              <w:jc w:val="center"/>
              <w:rPr>
                <w:sz w:val="20"/>
                <w:szCs w:val="20"/>
              </w:rPr>
            </w:pPr>
            <w:r w:rsidRPr="002921A0">
              <w:rPr>
                <w:sz w:val="20"/>
                <w:szCs w:val="20"/>
              </w:rPr>
              <w:t>600,0</w:t>
            </w:r>
          </w:p>
        </w:tc>
        <w:tc>
          <w:tcPr>
            <w:tcW w:w="1540" w:type="dxa"/>
          </w:tcPr>
          <w:p w:rsidR="002921A0" w:rsidRPr="002921A0" w:rsidRDefault="002921A0" w:rsidP="002921A0">
            <w:pPr>
              <w:spacing w:after="0" w:line="240" w:lineRule="auto"/>
              <w:jc w:val="center"/>
              <w:rPr>
                <w:sz w:val="20"/>
                <w:szCs w:val="20"/>
              </w:rPr>
            </w:pPr>
            <w:r w:rsidRPr="002921A0">
              <w:rPr>
                <w:sz w:val="20"/>
                <w:szCs w:val="20"/>
              </w:rPr>
              <w:t>650,0</w:t>
            </w:r>
          </w:p>
        </w:tc>
        <w:tc>
          <w:tcPr>
            <w:tcW w:w="1387" w:type="dxa"/>
          </w:tcPr>
          <w:p w:rsidR="002921A0" w:rsidRPr="002921A0" w:rsidRDefault="002921A0" w:rsidP="002921A0">
            <w:pPr>
              <w:spacing w:after="0" w:line="240" w:lineRule="auto"/>
              <w:jc w:val="center"/>
              <w:rPr>
                <w:sz w:val="20"/>
                <w:szCs w:val="20"/>
              </w:rPr>
            </w:pPr>
            <w:r w:rsidRPr="002921A0">
              <w:rPr>
                <w:sz w:val="20"/>
                <w:szCs w:val="20"/>
              </w:rPr>
              <w:t>650,0</w:t>
            </w:r>
          </w:p>
        </w:tc>
        <w:tc>
          <w:tcPr>
            <w:tcW w:w="1550" w:type="dxa"/>
          </w:tcPr>
          <w:p w:rsidR="002921A0" w:rsidRPr="002921A0" w:rsidRDefault="002921A0" w:rsidP="002921A0">
            <w:pPr>
              <w:spacing w:after="0" w:line="240" w:lineRule="auto"/>
              <w:jc w:val="center"/>
              <w:rPr>
                <w:sz w:val="20"/>
                <w:szCs w:val="20"/>
              </w:rPr>
            </w:pPr>
            <w:r w:rsidRPr="002921A0">
              <w:rPr>
                <w:sz w:val="20"/>
                <w:szCs w:val="20"/>
              </w:rPr>
              <w:t>100%</w:t>
            </w:r>
          </w:p>
        </w:tc>
      </w:tr>
    </w:tbl>
    <w:p w:rsidR="002921A0" w:rsidRPr="002921A0" w:rsidRDefault="002921A0" w:rsidP="002921A0">
      <w:pPr>
        <w:shd w:val="clear" w:color="auto" w:fill="FFFFFF"/>
        <w:spacing w:after="0"/>
        <w:ind w:firstLine="709"/>
        <w:jc w:val="both"/>
        <w:rPr>
          <w:sz w:val="23"/>
          <w:szCs w:val="28"/>
          <w:highlight w:val="green"/>
        </w:rPr>
      </w:pPr>
    </w:p>
    <w:p w:rsidR="002921A0" w:rsidRPr="002921A0" w:rsidRDefault="002921A0" w:rsidP="002921A0">
      <w:pPr>
        <w:shd w:val="clear" w:color="auto" w:fill="FFFFFF"/>
        <w:spacing w:after="0"/>
        <w:ind w:firstLine="709"/>
        <w:jc w:val="both"/>
        <w:rPr>
          <w:rFonts w:eastAsia="Calibri"/>
          <w:sz w:val="28"/>
          <w:szCs w:val="28"/>
          <w:lang w:eastAsia="en-US"/>
        </w:rPr>
      </w:pPr>
      <w:r w:rsidRPr="002921A0">
        <w:rPr>
          <w:rFonts w:eastAsia="Calibri"/>
          <w:sz w:val="28"/>
          <w:szCs w:val="28"/>
          <w:lang w:eastAsia="en-US"/>
        </w:rPr>
        <w:t xml:space="preserve">В 2022 году на реализацию мероприятий муниципальной программы «Обеспечение градостроительной деятельности на территории города Ханты-Мансийска» выделено </w:t>
      </w:r>
      <w:r w:rsidRPr="002921A0">
        <w:rPr>
          <w:rFonts w:eastAsia="Calibri"/>
          <w:bCs/>
          <w:sz w:val="28"/>
          <w:szCs w:val="28"/>
          <w:lang w:eastAsia="en-US"/>
        </w:rPr>
        <w:t xml:space="preserve">163 873,6 тыс. </w:t>
      </w:r>
      <w:r w:rsidRPr="002921A0">
        <w:rPr>
          <w:rFonts w:eastAsia="Calibri"/>
          <w:sz w:val="28"/>
          <w:szCs w:val="28"/>
          <w:lang w:eastAsia="en-US"/>
        </w:rPr>
        <w:t>рублей.</w:t>
      </w:r>
    </w:p>
    <w:p w:rsidR="002921A0" w:rsidRPr="002921A0" w:rsidRDefault="002921A0" w:rsidP="002921A0">
      <w:pPr>
        <w:shd w:val="clear" w:color="auto" w:fill="FFFFFF"/>
        <w:tabs>
          <w:tab w:val="left" w:pos="993"/>
        </w:tabs>
        <w:spacing w:after="0"/>
        <w:ind w:firstLine="709"/>
        <w:jc w:val="both"/>
        <w:rPr>
          <w:rFonts w:eastAsia="Calibri"/>
          <w:sz w:val="28"/>
          <w:szCs w:val="28"/>
          <w:lang w:eastAsia="en-US"/>
        </w:rPr>
      </w:pPr>
      <w:r w:rsidRPr="002921A0">
        <w:rPr>
          <w:rFonts w:eastAsia="Calibri"/>
          <w:sz w:val="28"/>
          <w:szCs w:val="28"/>
          <w:lang w:eastAsia="en-US"/>
        </w:rPr>
        <w:t>На реализацию основного мероприятия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 выделены средства в размере 1 101,5 тыс. рублей.</w:t>
      </w:r>
    </w:p>
    <w:p w:rsidR="002921A0" w:rsidRPr="002921A0" w:rsidRDefault="002921A0" w:rsidP="002921A0">
      <w:pPr>
        <w:shd w:val="clear" w:color="auto" w:fill="FFFFFF"/>
        <w:spacing w:after="0"/>
        <w:ind w:firstLine="709"/>
        <w:jc w:val="both"/>
        <w:rPr>
          <w:rFonts w:eastAsia="Calibri"/>
          <w:sz w:val="28"/>
          <w:szCs w:val="28"/>
          <w:lang w:eastAsia="en-US"/>
        </w:rPr>
      </w:pPr>
      <w:r w:rsidRPr="002921A0">
        <w:rPr>
          <w:rFonts w:eastAsia="Calibri"/>
          <w:sz w:val="28"/>
          <w:szCs w:val="28"/>
          <w:lang w:eastAsia="en-US"/>
        </w:rPr>
        <w:t xml:space="preserve">Кассовое исполнение составило 45% или 496,5 тыс. рублей. </w:t>
      </w:r>
    </w:p>
    <w:p w:rsidR="002921A0" w:rsidRPr="002921A0" w:rsidRDefault="002921A0" w:rsidP="002921A0">
      <w:pPr>
        <w:spacing w:after="0"/>
        <w:ind w:firstLine="709"/>
        <w:jc w:val="both"/>
        <w:rPr>
          <w:rFonts w:eastAsia="Calibri"/>
          <w:sz w:val="28"/>
          <w:szCs w:val="28"/>
          <w:lang w:eastAsia="en-US"/>
        </w:rPr>
      </w:pPr>
      <w:r w:rsidRPr="002921A0">
        <w:rPr>
          <w:rFonts w:eastAsia="Calibri"/>
          <w:sz w:val="28"/>
          <w:szCs w:val="28"/>
          <w:lang w:eastAsia="en-US"/>
        </w:rPr>
        <w:t>Выделенные средства направлены на выполнение кадастровых работ при постановке территориальных зон на кадастровый учет и выполнение градостроительных работ по снятию с государственного учета сведений о зоне с особыми условиями использования территории.</w:t>
      </w:r>
    </w:p>
    <w:p w:rsidR="002921A0" w:rsidRPr="002921A0" w:rsidRDefault="002921A0" w:rsidP="002921A0">
      <w:pPr>
        <w:spacing w:after="0"/>
        <w:ind w:firstLine="709"/>
        <w:jc w:val="both"/>
        <w:rPr>
          <w:rFonts w:eastAsia="Calibri"/>
          <w:sz w:val="28"/>
          <w:szCs w:val="28"/>
          <w:lang w:eastAsia="en-US"/>
        </w:rPr>
      </w:pPr>
      <w:r w:rsidRPr="002921A0">
        <w:rPr>
          <w:rFonts w:eastAsia="Calibri"/>
          <w:sz w:val="28"/>
          <w:szCs w:val="28"/>
          <w:lang w:eastAsia="en-US"/>
        </w:rPr>
        <w:t>Не освоен</w:t>
      </w:r>
      <w:r w:rsidR="00FB5812">
        <w:rPr>
          <w:rFonts w:eastAsia="Calibri"/>
          <w:sz w:val="28"/>
          <w:szCs w:val="28"/>
          <w:lang w:eastAsia="en-US"/>
        </w:rPr>
        <w:t>ы</w:t>
      </w:r>
      <w:r w:rsidRPr="002921A0">
        <w:rPr>
          <w:rFonts w:eastAsia="Calibri"/>
          <w:sz w:val="28"/>
          <w:szCs w:val="28"/>
          <w:lang w:eastAsia="en-US"/>
        </w:rPr>
        <w:t xml:space="preserve"> 605,0 тыс. рублей </w:t>
      </w:r>
      <w:r w:rsidR="00FB5812">
        <w:rPr>
          <w:rFonts w:eastAsia="Calibri"/>
          <w:sz w:val="28"/>
          <w:szCs w:val="28"/>
          <w:lang w:eastAsia="en-US"/>
        </w:rPr>
        <w:t xml:space="preserve">в связи с не выполненной </w:t>
      </w:r>
      <w:r w:rsidR="00FB5812" w:rsidRPr="002921A0">
        <w:rPr>
          <w:rFonts w:eastAsia="Calibri"/>
          <w:sz w:val="28"/>
          <w:szCs w:val="28"/>
          <w:lang w:eastAsia="en-US"/>
        </w:rPr>
        <w:t>работ</w:t>
      </w:r>
      <w:r w:rsidR="00FB5812">
        <w:rPr>
          <w:rFonts w:eastAsia="Calibri"/>
          <w:sz w:val="28"/>
          <w:szCs w:val="28"/>
          <w:lang w:eastAsia="en-US"/>
        </w:rPr>
        <w:t>ой</w:t>
      </w:r>
      <w:r w:rsidR="00FB5812" w:rsidRPr="002921A0">
        <w:rPr>
          <w:rFonts w:eastAsia="Calibri"/>
          <w:sz w:val="28"/>
          <w:szCs w:val="28"/>
          <w:lang w:eastAsia="en-US"/>
        </w:rPr>
        <w:t xml:space="preserve"> подрядчик</w:t>
      </w:r>
      <w:r w:rsidR="00FB5812">
        <w:rPr>
          <w:rFonts w:eastAsia="Calibri"/>
          <w:sz w:val="28"/>
          <w:szCs w:val="28"/>
          <w:lang w:eastAsia="en-US"/>
        </w:rPr>
        <w:t xml:space="preserve">ов </w:t>
      </w:r>
      <w:r w:rsidRPr="002921A0">
        <w:rPr>
          <w:rFonts w:eastAsia="Calibri"/>
          <w:sz w:val="28"/>
          <w:szCs w:val="28"/>
          <w:lang w:eastAsia="en-US"/>
        </w:rPr>
        <w:t xml:space="preserve">в установленные </w:t>
      </w:r>
      <w:r w:rsidR="00FB5812">
        <w:rPr>
          <w:rFonts w:eastAsia="Calibri"/>
          <w:sz w:val="28"/>
          <w:szCs w:val="28"/>
          <w:lang w:eastAsia="en-US"/>
        </w:rPr>
        <w:t>д</w:t>
      </w:r>
      <w:r w:rsidR="00FB5812" w:rsidRPr="002921A0">
        <w:rPr>
          <w:rFonts w:eastAsia="Calibri"/>
          <w:sz w:val="28"/>
          <w:szCs w:val="28"/>
          <w:lang w:eastAsia="en-US"/>
        </w:rPr>
        <w:t>оговорам</w:t>
      </w:r>
      <w:r w:rsidR="00FB5812">
        <w:rPr>
          <w:rFonts w:eastAsia="Calibri"/>
          <w:sz w:val="28"/>
          <w:szCs w:val="28"/>
          <w:lang w:eastAsia="en-US"/>
        </w:rPr>
        <w:t>и</w:t>
      </w:r>
      <w:r w:rsidR="00FB5812" w:rsidRPr="002921A0">
        <w:rPr>
          <w:rFonts w:eastAsia="Calibri"/>
          <w:sz w:val="28"/>
          <w:szCs w:val="28"/>
          <w:lang w:eastAsia="en-US"/>
        </w:rPr>
        <w:t xml:space="preserve"> </w:t>
      </w:r>
      <w:r w:rsidRPr="002921A0">
        <w:rPr>
          <w:rFonts w:eastAsia="Calibri"/>
          <w:sz w:val="28"/>
          <w:szCs w:val="28"/>
          <w:lang w:eastAsia="en-US"/>
        </w:rPr>
        <w:t>сроки:</w:t>
      </w:r>
    </w:p>
    <w:p w:rsidR="002921A0" w:rsidRPr="002921A0" w:rsidRDefault="002921A0" w:rsidP="002921A0">
      <w:pPr>
        <w:spacing w:after="0"/>
        <w:ind w:firstLine="709"/>
        <w:jc w:val="both"/>
        <w:rPr>
          <w:rFonts w:eastAsia="Calibri"/>
          <w:sz w:val="28"/>
          <w:szCs w:val="28"/>
          <w:lang w:eastAsia="en-US"/>
        </w:rPr>
      </w:pPr>
      <w:r w:rsidRPr="002921A0">
        <w:rPr>
          <w:rFonts w:eastAsia="Calibri"/>
          <w:sz w:val="28"/>
          <w:szCs w:val="28"/>
          <w:lang w:eastAsia="en-US"/>
        </w:rPr>
        <w:t xml:space="preserve">- по разработке дизайн-проекта в районе улицы Энгельса, 26 в размере – 120,0 тыс. рублей; </w:t>
      </w:r>
    </w:p>
    <w:p w:rsidR="002921A0" w:rsidRPr="002921A0" w:rsidRDefault="002921A0" w:rsidP="002921A0">
      <w:pPr>
        <w:spacing w:after="0"/>
        <w:ind w:firstLine="709"/>
        <w:jc w:val="both"/>
        <w:rPr>
          <w:rFonts w:eastAsia="Calibri"/>
          <w:sz w:val="28"/>
          <w:szCs w:val="28"/>
          <w:lang w:eastAsia="en-US"/>
        </w:rPr>
      </w:pPr>
      <w:r w:rsidRPr="002921A0">
        <w:rPr>
          <w:rFonts w:eastAsia="Calibri"/>
          <w:sz w:val="28"/>
          <w:szCs w:val="28"/>
          <w:lang w:eastAsia="en-US"/>
        </w:rPr>
        <w:t>- по подготовке проекта внесения изменений в проект планировки и проект межевания территории микрорайона «Солдатское поле» в размере – 485,0 тыс. рублей.</w:t>
      </w:r>
    </w:p>
    <w:p w:rsidR="002921A0" w:rsidRPr="002921A0" w:rsidRDefault="002921A0" w:rsidP="002921A0">
      <w:pPr>
        <w:shd w:val="clear" w:color="auto" w:fill="FFFFFF"/>
        <w:tabs>
          <w:tab w:val="left" w:pos="993"/>
        </w:tabs>
        <w:spacing w:after="0"/>
        <w:ind w:firstLine="709"/>
        <w:jc w:val="both"/>
        <w:rPr>
          <w:rFonts w:eastAsia="Calibri"/>
          <w:sz w:val="28"/>
          <w:szCs w:val="28"/>
          <w:lang w:eastAsia="en-US"/>
        </w:rPr>
      </w:pPr>
      <w:r w:rsidRPr="002921A0">
        <w:rPr>
          <w:rFonts w:eastAsia="Calibri"/>
          <w:sz w:val="28"/>
          <w:szCs w:val="28"/>
          <w:lang w:eastAsia="en-US"/>
        </w:rPr>
        <w:t xml:space="preserve">На реализацию основного мероприятия «Обеспечение деятельности Департамента градостроительства и архитектуры Администрации города     Ханты-Мансийска и подведомственного ему учреждения» выделены средства в размере 162 122,1 тыс. рублей.  </w:t>
      </w:r>
    </w:p>
    <w:p w:rsidR="002921A0" w:rsidRPr="002921A0" w:rsidRDefault="002921A0" w:rsidP="002921A0">
      <w:pPr>
        <w:shd w:val="clear" w:color="auto" w:fill="FFFFFF"/>
        <w:spacing w:after="0"/>
        <w:ind w:firstLine="709"/>
        <w:jc w:val="both"/>
        <w:rPr>
          <w:rFonts w:eastAsia="Calibri"/>
          <w:sz w:val="28"/>
          <w:szCs w:val="28"/>
          <w:lang w:eastAsia="en-US"/>
        </w:rPr>
      </w:pPr>
      <w:r w:rsidRPr="002921A0">
        <w:rPr>
          <w:rFonts w:eastAsia="Calibri"/>
          <w:sz w:val="28"/>
          <w:szCs w:val="28"/>
          <w:lang w:eastAsia="en-US"/>
        </w:rPr>
        <w:lastRenderedPageBreak/>
        <w:t xml:space="preserve">Кассовое исполнение составило 160 489,0 тыс. рублей. Плановые показатели исполнены на 99%. </w:t>
      </w:r>
    </w:p>
    <w:p w:rsidR="002921A0" w:rsidRPr="002921A0" w:rsidRDefault="002921A0" w:rsidP="002921A0">
      <w:pPr>
        <w:shd w:val="clear" w:color="auto" w:fill="FFFFFF"/>
        <w:spacing w:after="0"/>
        <w:ind w:firstLine="709"/>
        <w:jc w:val="both"/>
        <w:rPr>
          <w:rFonts w:eastAsia="Calibri"/>
          <w:sz w:val="28"/>
          <w:szCs w:val="28"/>
          <w:lang w:eastAsia="en-US"/>
        </w:rPr>
      </w:pPr>
      <w:r w:rsidRPr="002921A0">
        <w:rPr>
          <w:rFonts w:eastAsia="Calibri"/>
          <w:sz w:val="28"/>
          <w:szCs w:val="28"/>
          <w:lang w:eastAsia="en-US"/>
        </w:rPr>
        <w:t>Средства направлены на:</w:t>
      </w:r>
    </w:p>
    <w:p w:rsidR="002921A0" w:rsidRPr="002921A0" w:rsidRDefault="002921A0" w:rsidP="002921A0">
      <w:pPr>
        <w:spacing w:after="0"/>
        <w:ind w:firstLine="709"/>
        <w:jc w:val="both"/>
        <w:rPr>
          <w:rFonts w:eastAsia="Calibri"/>
          <w:sz w:val="28"/>
          <w:szCs w:val="28"/>
          <w:lang w:eastAsia="en-US"/>
        </w:rPr>
      </w:pPr>
      <w:r w:rsidRPr="002921A0">
        <w:rPr>
          <w:rFonts w:eastAsia="Calibri"/>
          <w:sz w:val="28"/>
          <w:szCs w:val="28"/>
          <w:lang w:eastAsia="en-US"/>
        </w:rPr>
        <w:t>- обеспечение функций и полномочий Департамента градостроительства и архитектуры Администрации города Ханты-Мансийска и муниципального казенного учреждения «Управление капитального строительства города Ханты-Мансийска».</w:t>
      </w:r>
    </w:p>
    <w:p w:rsidR="002921A0" w:rsidRPr="002921A0" w:rsidRDefault="002921A0" w:rsidP="002921A0">
      <w:pPr>
        <w:spacing w:after="0"/>
        <w:ind w:firstLine="709"/>
        <w:jc w:val="both"/>
        <w:rPr>
          <w:rFonts w:eastAsia="Calibri"/>
          <w:sz w:val="28"/>
          <w:szCs w:val="28"/>
          <w:lang w:eastAsia="en-US"/>
        </w:rPr>
      </w:pPr>
      <w:r w:rsidRPr="002921A0">
        <w:rPr>
          <w:rFonts w:eastAsia="Calibri"/>
          <w:sz w:val="28"/>
          <w:szCs w:val="28"/>
          <w:lang w:eastAsia="en-US"/>
        </w:rPr>
        <w:t>По итогам 2022 года город Ханты-Мансийск занимает 3 место среди 22 муниципалитетов Ханты-Мансийского автономного округа – Югры по качеству вносимых документов в государственную информационную систему обеспечения градостроительной деятельности.</w:t>
      </w:r>
    </w:p>
    <w:p w:rsidR="002921A0" w:rsidRPr="002921A0" w:rsidRDefault="002921A0" w:rsidP="002921A0">
      <w:pPr>
        <w:spacing w:after="0"/>
        <w:ind w:firstLine="709"/>
        <w:jc w:val="both"/>
        <w:rPr>
          <w:rFonts w:eastAsia="Calibri"/>
          <w:sz w:val="28"/>
          <w:szCs w:val="28"/>
          <w:lang w:eastAsia="en-US"/>
        </w:rPr>
      </w:pPr>
      <w:r w:rsidRPr="002921A0">
        <w:rPr>
          <w:rFonts w:eastAsia="Calibri"/>
          <w:sz w:val="28"/>
          <w:szCs w:val="28"/>
          <w:lang w:eastAsia="en-US"/>
        </w:rPr>
        <w:t>В рамках обеспечения субъектов градостроительной деятельности информацией, необходимой для архитектурно-строительного проектирования, выдано 172 градостроительных плана на земельные участки.  Для осуществления строительно-монтажных работ застройщикам выданы 111 разрешений на строительство, включая 86 на индивидуальные жилые дома.</w:t>
      </w:r>
    </w:p>
    <w:p w:rsidR="002921A0" w:rsidRPr="002921A0" w:rsidRDefault="002921A0" w:rsidP="002921A0">
      <w:pPr>
        <w:spacing w:after="0"/>
        <w:ind w:firstLine="709"/>
        <w:jc w:val="both"/>
        <w:rPr>
          <w:rFonts w:eastAsia="Calibri"/>
          <w:sz w:val="28"/>
          <w:szCs w:val="28"/>
          <w:lang w:eastAsia="en-US"/>
        </w:rPr>
      </w:pPr>
      <w:r w:rsidRPr="002921A0">
        <w:rPr>
          <w:rFonts w:eastAsia="Calibri"/>
          <w:sz w:val="28"/>
          <w:szCs w:val="28"/>
          <w:lang w:eastAsia="en-US"/>
        </w:rPr>
        <w:t>В отчетном году активно продолжалась застройка новых микрорайонов: «Береговая зона», «Западный» и «Восточный». В микрорайоне «Береговая зона» площадью 76 га, построены и введены в эксплуатацию 9 многоквартирных домов жилой площадью 113,6 тыс. м</w:t>
      </w:r>
      <w:r w:rsidRPr="002921A0">
        <w:rPr>
          <w:rFonts w:eastAsia="Calibri"/>
          <w:sz w:val="28"/>
          <w:szCs w:val="28"/>
          <w:vertAlign w:val="superscript"/>
          <w:lang w:eastAsia="en-US"/>
        </w:rPr>
        <w:t>2</w:t>
      </w:r>
      <w:r w:rsidRPr="002921A0">
        <w:rPr>
          <w:rFonts w:eastAsia="Calibri"/>
          <w:sz w:val="28"/>
          <w:szCs w:val="28"/>
          <w:lang w:eastAsia="en-US"/>
        </w:rPr>
        <w:t xml:space="preserve"> (в 2022 году введены в эксплуатацию 4 многоквартирных дома, жилой площадью 42,5 тыс. м</w:t>
      </w:r>
      <w:r w:rsidRPr="002921A0">
        <w:rPr>
          <w:rFonts w:eastAsia="Calibri"/>
          <w:sz w:val="28"/>
          <w:szCs w:val="28"/>
          <w:vertAlign w:val="superscript"/>
          <w:lang w:eastAsia="en-US"/>
        </w:rPr>
        <w:t>2</w:t>
      </w:r>
      <w:r w:rsidRPr="002921A0">
        <w:rPr>
          <w:rFonts w:eastAsia="Calibri"/>
          <w:sz w:val="28"/>
          <w:szCs w:val="28"/>
          <w:lang w:eastAsia="en-US"/>
        </w:rPr>
        <w:t>).</w:t>
      </w:r>
    </w:p>
    <w:p w:rsidR="002921A0" w:rsidRPr="002921A0" w:rsidRDefault="002921A0" w:rsidP="002921A0">
      <w:pPr>
        <w:spacing w:after="0"/>
        <w:ind w:firstLine="709"/>
        <w:jc w:val="both"/>
        <w:rPr>
          <w:rFonts w:eastAsia="Calibri"/>
          <w:sz w:val="28"/>
          <w:szCs w:val="28"/>
          <w:lang w:eastAsia="en-US"/>
        </w:rPr>
      </w:pPr>
      <w:r w:rsidRPr="002921A0">
        <w:rPr>
          <w:rFonts w:eastAsia="Calibri"/>
          <w:sz w:val="28"/>
          <w:szCs w:val="28"/>
          <w:lang w:eastAsia="en-US"/>
        </w:rPr>
        <w:t>В микрорайоне «Западный» площадью 80,7 га введен в эксплуатацию многоквартирный дом жилой площадью 13,2 тыс. м</w:t>
      </w:r>
      <w:r w:rsidRPr="002921A0">
        <w:rPr>
          <w:rFonts w:eastAsia="Calibri"/>
          <w:sz w:val="28"/>
          <w:szCs w:val="28"/>
          <w:vertAlign w:val="superscript"/>
          <w:lang w:eastAsia="en-US"/>
        </w:rPr>
        <w:t>2</w:t>
      </w:r>
      <w:r w:rsidRPr="002921A0">
        <w:rPr>
          <w:rFonts w:eastAsia="Calibri"/>
          <w:sz w:val="28"/>
          <w:szCs w:val="28"/>
          <w:lang w:eastAsia="en-US"/>
        </w:rPr>
        <w:t xml:space="preserve"> на 360 квартир, до 2025 года планируется построить 4 многоквартирных дома жилой площадью 44,5 тыс. м</w:t>
      </w:r>
      <w:r w:rsidRPr="002921A0">
        <w:rPr>
          <w:rFonts w:eastAsia="Calibri"/>
          <w:sz w:val="28"/>
          <w:szCs w:val="28"/>
          <w:vertAlign w:val="superscript"/>
          <w:lang w:eastAsia="en-US"/>
        </w:rPr>
        <w:t>2</w:t>
      </w:r>
      <w:r w:rsidRPr="002921A0">
        <w:rPr>
          <w:rFonts w:eastAsia="Calibri"/>
          <w:sz w:val="28"/>
          <w:szCs w:val="28"/>
          <w:lang w:eastAsia="en-US"/>
        </w:rPr>
        <w:t xml:space="preserve"> на 874 квартиры.</w:t>
      </w:r>
    </w:p>
    <w:p w:rsidR="002921A0" w:rsidRPr="002921A0" w:rsidRDefault="002921A0" w:rsidP="002921A0">
      <w:pPr>
        <w:spacing w:after="0"/>
        <w:ind w:firstLine="709"/>
        <w:jc w:val="both"/>
        <w:rPr>
          <w:rFonts w:eastAsia="Calibri"/>
          <w:sz w:val="28"/>
          <w:szCs w:val="28"/>
          <w:lang w:eastAsia="en-US"/>
        </w:rPr>
      </w:pPr>
      <w:r w:rsidRPr="002921A0">
        <w:rPr>
          <w:rFonts w:eastAsia="Calibri"/>
          <w:sz w:val="28"/>
          <w:szCs w:val="28"/>
          <w:lang w:eastAsia="en-US"/>
        </w:rPr>
        <w:t>В микрорайоне «Восточный» площадью 96 га выдано 251 разрешение на строительство, завершено строительство 58 индивидуальных жилых домов.</w:t>
      </w:r>
    </w:p>
    <w:p w:rsidR="002921A0" w:rsidRPr="002921A0" w:rsidRDefault="002921A0" w:rsidP="002921A0">
      <w:pPr>
        <w:widowControl w:val="0"/>
        <w:autoSpaceDE w:val="0"/>
        <w:autoSpaceDN w:val="0"/>
        <w:adjustRightInd w:val="0"/>
        <w:spacing w:after="0"/>
        <w:ind w:firstLine="709"/>
        <w:contextualSpacing/>
        <w:jc w:val="both"/>
        <w:rPr>
          <w:rFonts w:eastAsiaTheme="minorHAnsi"/>
          <w:sz w:val="28"/>
          <w:szCs w:val="28"/>
          <w:lang w:eastAsia="en-US"/>
        </w:rPr>
      </w:pPr>
      <w:r w:rsidRPr="002921A0">
        <w:rPr>
          <w:rFonts w:eastAsiaTheme="minorHAnsi"/>
          <w:sz w:val="28"/>
          <w:szCs w:val="28"/>
          <w:lang w:eastAsia="en-US"/>
        </w:rPr>
        <w:t>В 2022 году проведено более 30 заседаний комиссии в сфере градостроительной деятельности:</w:t>
      </w:r>
    </w:p>
    <w:p w:rsidR="002921A0" w:rsidRPr="002921A0" w:rsidRDefault="002921A0" w:rsidP="002921A0">
      <w:pPr>
        <w:widowControl w:val="0"/>
        <w:autoSpaceDE w:val="0"/>
        <w:autoSpaceDN w:val="0"/>
        <w:adjustRightInd w:val="0"/>
        <w:spacing w:after="0"/>
        <w:ind w:firstLine="709"/>
        <w:contextualSpacing/>
        <w:jc w:val="both"/>
        <w:rPr>
          <w:rFonts w:eastAsiaTheme="minorHAnsi"/>
          <w:sz w:val="28"/>
          <w:szCs w:val="28"/>
          <w:lang w:eastAsia="en-US"/>
        </w:rPr>
      </w:pPr>
      <w:r w:rsidRPr="002921A0">
        <w:rPr>
          <w:rFonts w:eastAsiaTheme="minorHAnsi"/>
          <w:sz w:val="28"/>
          <w:szCs w:val="28"/>
          <w:lang w:eastAsia="en-US"/>
        </w:rPr>
        <w:t>- 15 заседаний комиссии по переводу жилых помещений в нежилые, нежилых помещений в жилые и по перепланировке (переустройству) жилых помещений, рассмотрено 137 вопросов;</w:t>
      </w:r>
    </w:p>
    <w:p w:rsidR="002921A0" w:rsidRPr="002921A0" w:rsidRDefault="002921A0" w:rsidP="002921A0">
      <w:pPr>
        <w:widowControl w:val="0"/>
        <w:autoSpaceDE w:val="0"/>
        <w:autoSpaceDN w:val="0"/>
        <w:adjustRightInd w:val="0"/>
        <w:spacing w:after="0"/>
        <w:ind w:firstLine="709"/>
        <w:contextualSpacing/>
        <w:jc w:val="both"/>
        <w:rPr>
          <w:rFonts w:eastAsiaTheme="minorHAnsi"/>
          <w:sz w:val="28"/>
          <w:szCs w:val="28"/>
          <w:lang w:eastAsia="en-US"/>
        </w:rPr>
      </w:pPr>
      <w:r w:rsidRPr="002921A0">
        <w:rPr>
          <w:rFonts w:eastAsiaTheme="minorHAnsi"/>
          <w:sz w:val="28"/>
          <w:szCs w:val="28"/>
          <w:lang w:eastAsia="en-US"/>
        </w:rPr>
        <w:t>- 7 заседаний комиссии по землепользованию и застройке, рассмотрено 47 вопросов;</w:t>
      </w:r>
    </w:p>
    <w:p w:rsidR="002921A0" w:rsidRPr="002921A0" w:rsidRDefault="002921A0" w:rsidP="002921A0">
      <w:pPr>
        <w:widowControl w:val="0"/>
        <w:autoSpaceDE w:val="0"/>
        <w:autoSpaceDN w:val="0"/>
        <w:adjustRightInd w:val="0"/>
        <w:spacing w:after="0"/>
        <w:ind w:firstLine="709"/>
        <w:contextualSpacing/>
        <w:jc w:val="both"/>
        <w:rPr>
          <w:rFonts w:eastAsiaTheme="minorHAnsi"/>
          <w:sz w:val="28"/>
          <w:szCs w:val="28"/>
          <w:lang w:eastAsia="ar-SA"/>
        </w:rPr>
      </w:pPr>
      <w:r w:rsidRPr="002921A0">
        <w:rPr>
          <w:sz w:val="28"/>
          <w:szCs w:val="28"/>
        </w:rPr>
        <w:t xml:space="preserve">- 11 заседаний комиссии по градостроительству и архитектуре, рассмотрено 85 вопросов, среди которых согласование паспортов отделки </w:t>
      </w:r>
      <w:r w:rsidRPr="002921A0">
        <w:rPr>
          <w:sz w:val="28"/>
          <w:szCs w:val="28"/>
        </w:rPr>
        <w:lastRenderedPageBreak/>
        <w:t>фасадов предлагаемых к строительству объектов и объектов, подлежащих капитальному ремонту или реконструкции.</w:t>
      </w:r>
    </w:p>
    <w:p w:rsidR="002921A0" w:rsidRPr="002921A0" w:rsidRDefault="002921A0" w:rsidP="002921A0">
      <w:pPr>
        <w:widowControl w:val="0"/>
        <w:shd w:val="clear" w:color="auto" w:fill="FFFFFF"/>
        <w:autoSpaceDE w:val="0"/>
        <w:autoSpaceDN w:val="0"/>
        <w:spacing w:after="0"/>
        <w:ind w:firstLine="709"/>
        <w:jc w:val="both"/>
        <w:rPr>
          <w:rFonts w:eastAsia="Times New Roman"/>
          <w:sz w:val="28"/>
          <w:szCs w:val="28"/>
        </w:rPr>
      </w:pPr>
      <w:r w:rsidRPr="002921A0">
        <w:rPr>
          <w:rFonts w:eastAsia="Times New Roman"/>
          <w:sz w:val="28"/>
          <w:szCs w:val="28"/>
        </w:rPr>
        <w:t>Всего за отчетный период в сфере градостроительства оказано                        более 1,5 тыс. муниципальных услуг.</w:t>
      </w:r>
    </w:p>
    <w:p w:rsidR="002921A0" w:rsidRPr="002921A0" w:rsidRDefault="002921A0" w:rsidP="002921A0">
      <w:pPr>
        <w:spacing w:after="0"/>
        <w:ind w:firstLine="709"/>
        <w:jc w:val="both"/>
        <w:rPr>
          <w:rFonts w:eastAsia="Calibri"/>
          <w:sz w:val="28"/>
          <w:szCs w:val="28"/>
          <w:lang w:eastAsia="en-US"/>
        </w:rPr>
      </w:pPr>
      <w:r w:rsidRPr="002921A0">
        <w:rPr>
          <w:rFonts w:eastAsia="Calibri"/>
          <w:sz w:val="28"/>
          <w:szCs w:val="28"/>
          <w:lang w:eastAsia="en-US"/>
        </w:rPr>
        <w:t xml:space="preserve">На реализацию основного мероприятия «Проведение экспертизы зданий и сооружений» выделенные в сумме 650,0 тыс. рублей средства исполнены в полном объеме.  </w:t>
      </w:r>
    </w:p>
    <w:p w:rsidR="002921A0" w:rsidRPr="002921A0" w:rsidRDefault="002921A0" w:rsidP="002921A0">
      <w:pPr>
        <w:spacing w:after="0"/>
        <w:ind w:firstLine="709"/>
        <w:jc w:val="both"/>
        <w:rPr>
          <w:rFonts w:eastAsia="Calibri"/>
          <w:sz w:val="28"/>
          <w:szCs w:val="28"/>
          <w:lang w:eastAsia="en-US"/>
        </w:rPr>
      </w:pPr>
      <w:r w:rsidRPr="002921A0">
        <w:rPr>
          <w:rFonts w:eastAsia="Calibri"/>
          <w:sz w:val="28"/>
          <w:szCs w:val="28"/>
          <w:lang w:eastAsia="en-US"/>
        </w:rPr>
        <w:t>Выполнены мероприятия по проведению: инженерного и технического обследования конструкций с целью определения соответствия установленным требованиям и возможности дальнейшей эксплуатации; экспертизы, назначенной арбитражным судом, в целях признания права собственности муниципального образования на объекты недвижимого имущества (сооружения).</w:t>
      </w:r>
    </w:p>
    <w:p w:rsidR="002921A0" w:rsidRPr="002921A0" w:rsidRDefault="002921A0" w:rsidP="002921A0">
      <w:pPr>
        <w:keepNext/>
        <w:keepLines/>
        <w:spacing w:after="0" w:line="240" w:lineRule="auto"/>
        <w:ind w:right="424"/>
        <w:jc w:val="center"/>
        <w:outlineLvl w:val="0"/>
        <w:rPr>
          <w:rFonts w:eastAsiaTheme="majorEastAsia"/>
          <w:b/>
          <w:bCs/>
          <w:color w:val="C45911" w:themeColor="accent2" w:themeShade="BF"/>
          <w:sz w:val="32"/>
          <w:szCs w:val="32"/>
        </w:rPr>
      </w:pPr>
      <w:bookmarkStart w:id="3" w:name="_GoBack"/>
      <w:bookmarkEnd w:id="3"/>
    </w:p>
    <w:sectPr w:rsidR="002921A0" w:rsidRPr="002921A0" w:rsidSect="00F638DE">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501" w:rsidRDefault="007C4501" w:rsidP="00FF5332">
      <w:pPr>
        <w:spacing w:after="0" w:line="240" w:lineRule="auto"/>
      </w:pPr>
      <w:r>
        <w:separator/>
      </w:r>
    </w:p>
  </w:endnote>
  <w:endnote w:type="continuationSeparator" w:id="0">
    <w:p w:rsidR="007C4501" w:rsidRDefault="007C4501" w:rsidP="00FF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501" w:rsidRDefault="007C4501" w:rsidP="00FF5332">
      <w:pPr>
        <w:spacing w:after="0" w:line="240" w:lineRule="auto"/>
      </w:pPr>
      <w:r>
        <w:separator/>
      </w:r>
    </w:p>
  </w:footnote>
  <w:footnote w:type="continuationSeparator" w:id="0">
    <w:p w:rsidR="007C4501" w:rsidRDefault="007C4501" w:rsidP="00FF5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A7C91"/>
    <w:multiLevelType w:val="hybridMultilevel"/>
    <w:tmpl w:val="E7DC8506"/>
    <w:lvl w:ilvl="0" w:tplc="DFC40BA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6">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7">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250B16"/>
    <w:multiLevelType w:val="hybridMultilevel"/>
    <w:tmpl w:val="EE2A5AA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3547A7"/>
    <w:multiLevelType w:val="hybridMultilevel"/>
    <w:tmpl w:val="7FFC4D3E"/>
    <w:lvl w:ilvl="0" w:tplc="7A629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DB63F4"/>
    <w:multiLevelType w:val="hybridMultilevel"/>
    <w:tmpl w:val="05E68F96"/>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8336D9"/>
    <w:multiLevelType w:val="hybridMultilevel"/>
    <w:tmpl w:val="0FFE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2A4E1A1F"/>
    <w:multiLevelType w:val="hybridMultilevel"/>
    <w:tmpl w:val="5BFC362E"/>
    <w:lvl w:ilvl="0" w:tplc="4A2CE0CC">
      <w:start w:val="1"/>
      <w:numFmt w:val="bullet"/>
      <w:lvlText w:val=""/>
      <w:lvlJc w:val="left"/>
      <w:pPr>
        <w:ind w:left="1428" w:hanging="360"/>
      </w:pPr>
      <w:rPr>
        <w:rFonts w:ascii="Symbol" w:hAnsi="Symbol" w:hint="default"/>
        <w:b/>
        <w:strike w:val="0"/>
        <w:dstrike w:val="0"/>
        <w:u w:val="none"/>
        <w:effect w:val="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7">
    <w:nsid w:val="2B214583"/>
    <w:multiLevelType w:val="hybridMultilevel"/>
    <w:tmpl w:val="2B48C282"/>
    <w:lvl w:ilvl="0" w:tplc="8474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286D45"/>
    <w:multiLevelType w:val="hybridMultilevel"/>
    <w:tmpl w:val="8B50F7BE"/>
    <w:lvl w:ilvl="0" w:tplc="2F86A4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32A031B"/>
    <w:multiLevelType w:val="hybridMultilevel"/>
    <w:tmpl w:val="9AA08AD6"/>
    <w:lvl w:ilvl="0" w:tplc="4A2CE0CC">
      <w:start w:val="1"/>
      <w:numFmt w:val="bullet"/>
      <w:lvlText w:val=""/>
      <w:lvlJc w:val="left"/>
      <w:pPr>
        <w:ind w:left="720" w:hanging="360"/>
      </w:pPr>
      <w:rPr>
        <w:rFonts w:ascii="Symbol" w:hAnsi="Symbol" w:hint="default"/>
        <w:b/>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304F13"/>
    <w:multiLevelType w:val="hybridMultilevel"/>
    <w:tmpl w:val="9772632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0B5E23"/>
    <w:multiLevelType w:val="hybridMultilevel"/>
    <w:tmpl w:val="7BE6B718"/>
    <w:lvl w:ilvl="0" w:tplc="04AA4DD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2CF21F4"/>
    <w:multiLevelType w:val="hybridMultilevel"/>
    <w:tmpl w:val="319A27F2"/>
    <w:lvl w:ilvl="0" w:tplc="861C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1D6B48"/>
    <w:multiLevelType w:val="hybridMultilevel"/>
    <w:tmpl w:val="AFDAC89A"/>
    <w:lvl w:ilvl="0" w:tplc="DB8AE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454150"/>
    <w:multiLevelType w:val="hybridMultilevel"/>
    <w:tmpl w:val="E692E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B737B3"/>
    <w:multiLevelType w:val="hybridMultilevel"/>
    <w:tmpl w:val="EB0CB320"/>
    <w:lvl w:ilvl="0" w:tplc="51DE2D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86602C"/>
    <w:multiLevelType w:val="hybridMultilevel"/>
    <w:tmpl w:val="7B1ECC54"/>
    <w:lvl w:ilvl="0" w:tplc="644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1D7CFE"/>
    <w:multiLevelType w:val="hybridMultilevel"/>
    <w:tmpl w:val="D0EC87D8"/>
    <w:lvl w:ilvl="0" w:tplc="562C299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B7B0F6B"/>
    <w:multiLevelType w:val="hybridMultilevel"/>
    <w:tmpl w:val="4BAC64A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24591A"/>
    <w:multiLevelType w:val="hybridMultilevel"/>
    <w:tmpl w:val="038EBCC2"/>
    <w:lvl w:ilvl="0" w:tplc="4A2CE0CC">
      <w:start w:val="1"/>
      <w:numFmt w:val="bullet"/>
      <w:lvlText w:val=""/>
      <w:lvlJc w:val="left"/>
      <w:pPr>
        <w:ind w:left="50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0E838E0"/>
    <w:multiLevelType w:val="hybridMultilevel"/>
    <w:tmpl w:val="E6CA9A0A"/>
    <w:lvl w:ilvl="0" w:tplc="04AA4D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AE5420"/>
    <w:multiLevelType w:val="hybridMultilevel"/>
    <w:tmpl w:val="262A8F54"/>
    <w:lvl w:ilvl="0" w:tplc="C338C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C367655"/>
    <w:multiLevelType w:val="hybridMultilevel"/>
    <w:tmpl w:val="046294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B5C4E"/>
    <w:multiLevelType w:val="hybridMultilevel"/>
    <w:tmpl w:val="F65A6682"/>
    <w:lvl w:ilvl="0" w:tplc="9F24B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6"/>
  </w:num>
  <w:num w:numId="3">
    <w:abstractNumId w:val="5"/>
  </w:num>
  <w:num w:numId="4">
    <w:abstractNumId w:val="27"/>
  </w:num>
  <w:num w:numId="5">
    <w:abstractNumId w:val="11"/>
  </w:num>
  <w:num w:numId="6">
    <w:abstractNumId w:val="3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2"/>
  </w:num>
  <w:num w:numId="10">
    <w:abstractNumId w:val="3"/>
  </w:num>
  <w:num w:numId="11">
    <w:abstractNumId w:val="25"/>
  </w:num>
  <w:num w:numId="12">
    <w:abstractNumId w:val="8"/>
  </w:num>
  <w:num w:numId="13">
    <w:abstractNumId w:val="22"/>
  </w:num>
  <w:num w:numId="14">
    <w:abstractNumId w:val="26"/>
  </w:num>
  <w:num w:numId="15">
    <w:abstractNumId w:val="40"/>
  </w:num>
  <w:num w:numId="16">
    <w:abstractNumId w:val="10"/>
  </w:num>
  <w:num w:numId="17">
    <w:abstractNumId w:val="19"/>
  </w:num>
  <w:num w:numId="18">
    <w:abstractNumId w:val="38"/>
  </w:num>
  <w:num w:numId="19">
    <w:abstractNumId w:val="35"/>
  </w:num>
  <w:num w:numId="20">
    <w:abstractNumId w:val="28"/>
  </w:num>
  <w:num w:numId="21">
    <w:abstractNumId w:val="33"/>
  </w:num>
  <w:num w:numId="22">
    <w:abstractNumId w:val="9"/>
  </w:num>
  <w:num w:numId="23">
    <w:abstractNumId w:val="7"/>
  </w:num>
  <w:num w:numId="24">
    <w:abstractNumId w:val="36"/>
  </w:num>
  <w:num w:numId="25">
    <w:abstractNumId w:val="0"/>
  </w:num>
  <w:num w:numId="26">
    <w:abstractNumId w:val="1"/>
  </w:num>
  <w:num w:numId="27">
    <w:abstractNumId w:val="1"/>
    <w:lvlOverride w:ilvl="0">
      <w:startOverride w:val="1"/>
    </w:lvlOverride>
  </w:num>
  <w:num w:numId="28">
    <w:abstractNumId w:val="14"/>
  </w:num>
  <w:num w:numId="29">
    <w:abstractNumId w:val="23"/>
  </w:num>
  <w:num w:numId="30">
    <w:abstractNumId w:val="34"/>
  </w:num>
  <w:num w:numId="31">
    <w:abstractNumId w:val="16"/>
  </w:num>
  <w:num w:numId="32">
    <w:abstractNumId w:val="44"/>
  </w:num>
  <w:num w:numId="33">
    <w:abstractNumId w:val="20"/>
  </w:num>
  <w:num w:numId="34">
    <w:abstractNumId w:val="18"/>
  </w:num>
  <w:num w:numId="35">
    <w:abstractNumId w:val="24"/>
  </w:num>
  <w:num w:numId="36">
    <w:abstractNumId w:val="37"/>
  </w:num>
  <w:num w:numId="37">
    <w:abstractNumId w:val="39"/>
  </w:num>
  <w:num w:numId="38">
    <w:abstractNumId w:val="41"/>
  </w:num>
  <w:num w:numId="39">
    <w:abstractNumId w:val="12"/>
  </w:num>
  <w:num w:numId="40">
    <w:abstractNumId w:val="17"/>
  </w:num>
  <w:num w:numId="41">
    <w:abstractNumId w:val="43"/>
  </w:num>
  <w:num w:numId="42">
    <w:abstractNumId w:val="13"/>
  </w:num>
  <w:num w:numId="43">
    <w:abstractNumId w:val="21"/>
  </w:num>
  <w:num w:numId="44">
    <w:abstractNumId w:val="29"/>
  </w:num>
  <w:num w:numId="45">
    <w:abstractNumId w:val="31"/>
  </w:num>
  <w:num w:numId="46">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B"/>
    <w:rsid w:val="000000FC"/>
    <w:rsid w:val="000002AD"/>
    <w:rsid w:val="00000690"/>
    <w:rsid w:val="000027A9"/>
    <w:rsid w:val="0000305E"/>
    <w:rsid w:val="00003AF7"/>
    <w:rsid w:val="00004A0D"/>
    <w:rsid w:val="00005B0B"/>
    <w:rsid w:val="00007597"/>
    <w:rsid w:val="00007838"/>
    <w:rsid w:val="000114FD"/>
    <w:rsid w:val="000120B3"/>
    <w:rsid w:val="00013A6F"/>
    <w:rsid w:val="00015711"/>
    <w:rsid w:val="00016A75"/>
    <w:rsid w:val="00017FD2"/>
    <w:rsid w:val="00020360"/>
    <w:rsid w:val="00022414"/>
    <w:rsid w:val="0002293D"/>
    <w:rsid w:val="00022BB0"/>
    <w:rsid w:val="00022EDA"/>
    <w:rsid w:val="00023182"/>
    <w:rsid w:val="000239B0"/>
    <w:rsid w:val="00023C06"/>
    <w:rsid w:val="000249FD"/>
    <w:rsid w:val="00030B7B"/>
    <w:rsid w:val="00031E1E"/>
    <w:rsid w:val="00032232"/>
    <w:rsid w:val="00033EEB"/>
    <w:rsid w:val="000346CF"/>
    <w:rsid w:val="0003627A"/>
    <w:rsid w:val="00036EFD"/>
    <w:rsid w:val="00037551"/>
    <w:rsid w:val="00037FD4"/>
    <w:rsid w:val="000400DA"/>
    <w:rsid w:val="00040656"/>
    <w:rsid w:val="00040EAD"/>
    <w:rsid w:val="000412B3"/>
    <w:rsid w:val="0004168A"/>
    <w:rsid w:val="00041B18"/>
    <w:rsid w:val="000439D1"/>
    <w:rsid w:val="00043D7D"/>
    <w:rsid w:val="00043E35"/>
    <w:rsid w:val="00051491"/>
    <w:rsid w:val="00051E8E"/>
    <w:rsid w:val="00053363"/>
    <w:rsid w:val="0005796D"/>
    <w:rsid w:val="00061A5B"/>
    <w:rsid w:val="00062DF0"/>
    <w:rsid w:val="00063175"/>
    <w:rsid w:val="00063B09"/>
    <w:rsid w:val="00064D26"/>
    <w:rsid w:val="00065CD6"/>
    <w:rsid w:val="00066464"/>
    <w:rsid w:val="00067393"/>
    <w:rsid w:val="00070A50"/>
    <w:rsid w:val="00072490"/>
    <w:rsid w:val="000724F9"/>
    <w:rsid w:val="0007503D"/>
    <w:rsid w:val="00075990"/>
    <w:rsid w:val="00075EDE"/>
    <w:rsid w:val="0008090E"/>
    <w:rsid w:val="00081652"/>
    <w:rsid w:val="000816A3"/>
    <w:rsid w:val="0008178E"/>
    <w:rsid w:val="0008276B"/>
    <w:rsid w:val="000829D9"/>
    <w:rsid w:val="00083916"/>
    <w:rsid w:val="00084644"/>
    <w:rsid w:val="00084D98"/>
    <w:rsid w:val="00090006"/>
    <w:rsid w:val="00090413"/>
    <w:rsid w:val="0009141D"/>
    <w:rsid w:val="00092BF3"/>
    <w:rsid w:val="00093133"/>
    <w:rsid w:val="00094974"/>
    <w:rsid w:val="00094A25"/>
    <w:rsid w:val="00095213"/>
    <w:rsid w:val="00095ACA"/>
    <w:rsid w:val="000965D3"/>
    <w:rsid w:val="0009715C"/>
    <w:rsid w:val="00097714"/>
    <w:rsid w:val="000A03B2"/>
    <w:rsid w:val="000A3532"/>
    <w:rsid w:val="000A3B6C"/>
    <w:rsid w:val="000A4F5C"/>
    <w:rsid w:val="000A566D"/>
    <w:rsid w:val="000A6854"/>
    <w:rsid w:val="000A6FD6"/>
    <w:rsid w:val="000A7281"/>
    <w:rsid w:val="000B25B0"/>
    <w:rsid w:val="000B41CD"/>
    <w:rsid w:val="000B5D9D"/>
    <w:rsid w:val="000B61D5"/>
    <w:rsid w:val="000B63F9"/>
    <w:rsid w:val="000B746F"/>
    <w:rsid w:val="000B77F0"/>
    <w:rsid w:val="000B7BD6"/>
    <w:rsid w:val="000C2146"/>
    <w:rsid w:val="000C3C96"/>
    <w:rsid w:val="000C515B"/>
    <w:rsid w:val="000C58BF"/>
    <w:rsid w:val="000C5B45"/>
    <w:rsid w:val="000C6BE7"/>
    <w:rsid w:val="000D0B1D"/>
    <w:rsid w:val="000D308C"/>
    <w:rsid w:val="000D3B8E"/>
    <w:rsid w:val="000D402C"/>
    <w:rsid w:val="000D71AF"/>
    <w:rsid w:val="000D7A23"/>
    <w:rsid w:val="000D7ADA"/>
    <w:rsid w:val="000E0631"/>
    <w:rsid w:val="000E4035"/>
    <w:rsid w:val="000E41C9"/>
    <w:rsid w:val="000E4E24"/>
    <w:rsid w:val="000F072E"/>
    <w:rsid w:val="000F0A36"/>
    <w:rsid w:val="000F33AB"/>
    <w:rsid w:val="000F4C8A"/>
    <w:rsid w:val="000F7B96"/>
    <w:rsid w:val="00102E12"/>
    <w:rsid w:val="001033F5"/>
    <w:rsid w:val="001046F6"/>
    <w:rsid w:val="0010737A"/>
    <w:rsid w:val="00110858"/>
    <w:rsid w:val="00111250"/>
    <w:rsid w:val="0011129A"/>
    <w:rsid w:val="0011135F"/>
    <w:rsid w:val="001114AB"/>
    <w:rsid w:val="00112343"/>
    <w:rsid w:val="001141CE"/>
    <w:rsid w:val="001142EE"/>
    <w:rsid w:val="001145C1"/>
    <w:rsid w:val="0011653B"/>
    <w:rsid w:val="00117E22"/>
    <w:rsid w:val="0012149C"/>
    <w:rsid w:val="00121A23"/>
    <w:rsid w:val="001222F1"/>
    <w:rsid w:val="001234CC"/>
    <w:rsid w:val="00125167"/>
    <w:rsid w:val="00125689"/>
    <w:rsid w:val="001259EE"/>
    <w:rsid w:val="001307E9"/>
    <w:rsid w:val="00130997"/>
    <w:rsid w:val="001313BE"/>
    <w:rsid w:val="00131710"/>
    <w:rsid w:val="00132E86"/>
    <w:rsid w:val="00134258"/>
    <w:rsid w:val="00135344"/>
    <w:rsid w:val="00136F21"/>
    <w:rsid w:val="00137CB0"/>
    <w:rsid w:val="001406CA"/>
    <w:rsid w:val="00141D48"/>
    <w:rsid w:val="0014218B"/>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292D"/>
    <w:rsid w:val="00163661"/>
    <w:rsid w:val="00163B2F"/>
    <w:rsid w:val="0016445D"/>
    <w:rsid w:val="001661BD"/>
    <w:rsid w:val="00166736"/>
    <w:rsid w:val="001712F2"/>
    <w:rsid w:val="00172E9B"/>
    <w:rsid w:val="001734E4"/>
    <w:rsid w:val="00173814"/>
    <w:rsid w:val="00174537"/>
    <w:rsid w:val="00174FB6"/>
    <w:rsid w:val="00180239"/>
    <w:rsid w:val="00182627"/>
    <w:rsid w:val="00182B12"/>
    <w:rsid w:val="001835FE"/>
    <w:rsid w:val="00185CE6"/>
    <w:rsid w:val="00187034"/>
    <w:rsid w:val="00187662"/>
    <w:rsid w:val="00187D7A"/>
    <w:rsid w:val="001907CA"/>
    <w:rsid w:val="00195A87"/>
    <w:rsid w:val="00195C1B"/>
    <w:rsid w:val="00197160"/>
    <w:rsid w:val="001972BF"/>
    <w:rsid w:val="00197B41"/>
    <w:rsid w:val="001A1BC8"/>
    <w:rsid w:val="001B00BA"/>
    <w:rsid w:val="001B02DA"/>
    <w:rsid w:val="001B0B9F"/>
    <w:rsid w:val="001B3182"/>
    <w:rsid w:val="001B3669"/>
    <w:rsid w:val="001C2E86"/>
    <w:rsid w:val="001C3DB0"/>
    <w:rsid w:val="001C5167"/>
    <w:rsid w:val="001C56A5"/>
    <w:rsid w:val="001C6E95"/>
    <w:rsid w:val="001C6FD1"/>
    <w:rsid w:val="001D0D60"/>
    <w:rsid w:val="001D1196"/>
    <w:rsid w:val="001D2E29"/>
    <w:rsid w:val="001D2F92"/>
    <w:rsid w:val="001D3B95"/>
    <w:rsid w:val="001D5E9E"/>
    <w:rsid w:val="001D6949"/>
    <w:rsid w:val="001E0131"/>
    <w:rsid w:val="001E3BFD"/>
    <w:rsid w:val="001E4100"/>
    <w:rsid w:val="001E5837"/>
    <w:rsid w:val="001E645C"/>
    <w:rsid w:val="001E66EB"/>
    <w:rsid w:val="001F0538"/>
    <w:rsid w:val="001F16E0"/>
    <w:rsid w:val="001F357B"/>
    <w:rsid w:val="001F406D"/>
    <w:rsid w:val="001F60F5"/>
    <w:rsid w:val="001F774F"/>
    <w:rsid w:val="00200101"/>
    <w:rsid w:val="00202218"/>
    <w:rsid w:val="00205873"/>
    <w:rsid w:val="00206245"/>
    <w:rsid w:val="0020670E"/>
    <w:rsid w:val="002072EE"/>
    <w:rsid w:val="0021177E"/>
    <w:rsid w:val="00215838"/>
    <w:rsid w:val="0021633F"/>
    <w:rsid w:val="00220890"/>
    <w:rsid w:val="00222136"/>
    <w:rsid w:val="002224E4"/>
    <w:rsid w:val="00223600"/>
    <w:rsid w:val="00223C8C"/>
    <w:rsid w:val="00225E29"/>
    <w:rsid w:val="00225E49"/>
    <w:rsid w:val="00226935"/>
    <w:rsid w:val="00226EB6"/>
    <w:rsid w:val="00227331"/>
    <w:rsid w:val="002278AD"/>
    <w:rsid w:val="0023071A"/>
    <w:rsid w:val="00230D09"/>
    <w:rsid w:val="00233FF4"/>
    <w:rsid w:val="00235B66"/>
    <w:rsid w:val="00236506"/>
    <w:rsid w:val="00236E3F"/>
    <w:rsid w:val="00237957"/>
    <w:rsid w:val="002379F1"/>
    <w:rsid w:val="0024166C"/>
    <w:rsid w:val="00242075"/>
    <w:rsid w:val="002435F8"/>
    <w:rsid w:val="002449F3"/>
    <w:rsid w:val="00244B6E"/>
    <w:rsid w:val="0025435E"/>
    <w:rsid w:val="00255852"/>
    <w:rsid w:val="0025615A"/>
    <w:rsid w:val="00257942"/>
    <w:rsid w:val="002579EE"/>
    <w:rsid w:val="00261227"/>
    <w:rsid w:val="00262250"/>
    <w:rsid w:val="0026386F"/>
    <w:rsid w:val="00264FBA"/>
    <w:rsid w:val="00266323"/>
    <w:rsid w:val="002666A5"/>
    <w:rsid w:val="00266EBE"/>
    <w:rsid w:val="00267674"/>
    <w:rsid w:val="0027025F"/>
    <w:rsid w:val="002703C5"/>
    <w:rsid w:val="002720EE"/>
    <w:rsid w:val="00273B95"/>
    <w:rsid w:val="0027788C"/>
    <w:rsid w:val="0027795F"/>
    <w:rsid w:val="00277A45"/>
    <w:rsid w:val="002801E6"/>
    <w:rsid w:val="00281D80"/>
    <w:rsid w:val="00283069"/>
    <w:rsid w:val="00284705"/>
    <w:rsid w:val="00285D0E"/>
    <w:rsid w:val="00286C4E"/>
    <w:rsid w:val="00286FF9"/>
    <w:rsid w:val="0029033E"/>
    <w:rsid w:val="002905F7"/>
    <w:rsid w:val="002921A0"/>
    <w:rsid w:val="00292242"/>
    <w:rsid w:val="00294412"/>
    <w:rsid w:val="00294F38"/>
    <w:rsid w:val="0029552E"/>
    <w:rsid w:val="002956C5"/>
    <w:rsid w:val="0029648A"/>
    <w:rsid w:val="00296D8C"/>
    <w:rsid w:val="002972C1"/>
    <w:rsid w:val="002973A5"/>
    <w:rsid w:val="002977E9"/>
    <w:rsid w:val="002A09FA"/>
    <w:rsid w:val="002A172E"/>
    <w:rsid w:val="002A17C0"/>
    <w:rsid w:val="002A1856"/>
    <w:rsid w:val="002A39EF"/>
    <w:rsid w:val="002A435A"/>
    <w:rsid w:val="002A58A7"/>
    <w:rsid w:val="002A6C06"/>
    <w:rsid w:val="002B3698"/>
    <w:rsid w:val="002B4494"/>
    <w:rsid w:val="002B64C1"/>
    <w:rsid w:val="002C15FB"/>
    <w:rsid w:val="002C2173"/>
    <w:rsid w:val="002C220B"/>
    <w:rsid w:val="002C229C"/>
    <w:rsid w:val="002C273D"/>
    <w:rsid w:val="002C2A45"/>
    <w:rsid w:val="002C2B75"/>
    <w:rsid w:val="002C3530"/>
    <w:rsid w:val="002C36B0"/>
    <w:rsid w:val="002C6073"/>
    <w:rsid w:val="002C7A4E"/>
    <w:rsid w:val="002D33EF"/>
    <w:rsid w:val="002D5DF0"/>
    <w:rsid w:val="002E1063"/>
    <w:rsid w:val="002E1816"/>
    <w:rsid w:val="002E2E6B"/>
    <w:rsid w:val="002E4EEC"/>
    <w:rsid w:val="002E72A1"/>
    <w:rsid w:val="002F01CA"/>
    <w:rsid w:val="002F1B09"/>
    <w:rsid w:val="002F1DB0"/>
    <w:rsid w:val="002F2397"/>
    <w:rsid w:val="002F2A4D"/>
    <w:rsid w:val="002F5301"/>
    <w:rsid w:val="003005CB"/>
    <w:rsid w:val="00300A1A"/>
    <w:rsid w:val="00300BCF"/>
    <w:rsid w:val="0030104A"/>
    <w:rsid w:val="0030352B"/>
    <w:rsid w:val="00303878"/>
    <w:rsid w:val="00303999"/>
    <w:rsid w:val="00303B3A"/>
    <w:rsid w:val="0030462F"/>
    <w:rsid w:val="003046C9"/>
    <w:rsid w:val="003073A5"/>
    <w:rsid w:val="003103E4"/>
    <w:rsid w:val="003104BA"/>
    <w:rsid w:val="00310A50"/>
    <w:rsid w:val="00311840"/>
    <w:rsid w:val="00315D0E"/>
    <w:rsid w:val="003201C8"/>
    <w:rsid w:val="00320D06"/>
    <w:rsid w:val="00322319"/>
    <w:rsid w:val="00323062"/>
    <w:rsid w:val="00323F2F"/>
    <w:rsid w:val="00324227"/>
    <w:rsid w:val="00324654"/>
    <w:rsid w:val="00325B5D"/>
    <w:rsid w:val="003262AB"/>
    <w:rsid w:val="003278CE"/>
    <w:rsid w:val="003326FB"/>
    <w:rsid w:val="0033379E"/>
    <w:rsid w:val="003341D5"/>
    <w:rsid w:val="00334C36"/>
    <w:rsid w:val="00334CEE"/>
    <w:rsid w:val="00336B11"/>
    <w:rsid w:val="00336CF0"/>
    <w:rsid w:val="0033767F"/>
    <w:rsid w:val="00340E6E"/>
    <w:rsid w:val="00341809"/>
    <w:rsid w:val="00341AC1"/>
    <w:rsid w:val="003425F9"/>
    <w:rsid w:val="00342691"/>
    <w:rsid w:val="00342A40"/>
    <w:rsid w:val="0034341A"/>
    <w:rsid w:val="00343723"/>
    <w:rsid w:val="00343C3D"/>
    <w:rsid w:val="00345669"/>
    <w:rsid w:val="00350BB4"/>
    <w:rsid w:val="00352684"/>
    <w:rsid w:val="00354018"/>
    <w:rsid w:val="00355968"/>
    <w:rsid w:val="003600F5"/>
    <w:rsid w:val="003606F6"/>
    <w:rsid w:val="00360980"/>
    <w:rsid w:val="00360CF8"/>
    <w:rsid w:val="00360DAE"/>
    <w:rsid w:val="00364A7C"/>
    <w:rsid w:val="003652ED"/>
    <w:rsid w:val="003656AF"/>
    <w:rsid w:val="00367BF8"/>
    <w:rsid w:val="00367DFB"/>
    <w:rsid w:val="00370791"/>
    <w:rsid w:val="00370F36"/>
    <w:rsid w:val="0037155E"/>
    <w:rsid w:val="00371B75"/>
    <w:rsid w:val="00371F31"/>
    <w:rsid w:val="0037207E"/>
    <w:rsid w:val="00372BC6"/>
    <w:rsid w:val="003757D6"/>
    <w:rsid w:val="00376DB9"/>
    <w:rsid w:val="00377E62"/>
    <w:rsid w:val="003804FB"/>
    <w:rsid w:val="003826F7"/>
    <w:rsid w:val="00383CD7"/>
    <w:rsid w:val="00384035"/>
    <w:rsid w:val="003844EE"/>
    <w:rsid w:val="0038461D"/>
    <w:rsid w:val="00384FF7"/>
    <w:rsid w:val="00385959"/>
    <w:rsid w:val="00386521"/>
    <w:rsid w:val="0038724E"/>
    <w:rsid w:val="00390BBF"/>
    <w:rsid w:val="003922C5"/>
    <w:rsid w:val="003963DB"/>
    <w:rsid w:val="00396DA9"/>
    <w:rsid w:val="003A2A6D"/>
    <w:rsid w:val="003A44E8"/>
    <w:rsid w:val="003A4F57"/>
    <w:rsid w:val="003A550C"/>
    <w:rsid w:val="003A5748"/>
    <w:rsid w:val="003A5C93"/>
    <w:rsid w:val="003A7566"/>
    <w:rsid w:val="003A7E12"/>
    <w:rsid w:val="003B104F"/>
    <w:rsid w:val="003B234D"/>
    <w:rsid w:val="003B571E"/>
    <w:rsid w:val="003B6AEF"/>
    <w:rsid w:val="003B7D1E"/>
    <w:rsid w:val="003C0808"/>
    <w:rsid w:val="003C1982"/>
    <w:rsid w:val="003C3A1F"/>
    <w:rsid w:val="003C516E"/>
    <w:rsid w:val="003C71B3"/>
    <w:rsid w:val="003C7E50"/>
    <w:rsid w:val="003C7E78"/>
    <w:rsid w:val="003D0CB2"/>
    <w:rsid w:val="003D1265"/>
    <w:rsid w:val="003D5035"/>
    <w:rsid w:val="003D51B2"/>
    <w:rsid w:val="003D5646"/>
    <w:rsid w:val="003D72FB"/>
    <w:rsid w:val="003D73A3"/>
    <w:rsid w:val="003D7E6A"/>
    <w:rsid w:val="003E0C26"/>
    <w:rsid w:val="003E1372"/>
    <w:rsid w:val="003E4722"/>
    <w:rsid w:val="003E573F"/>
    <w:rsid w:val="003F069F"/>
    <w:rsid w:val="003F3087"/>
    <w:rsid w:val="003F3290"/>
    <w:rsid w:val="003F6408"/>
    <w:rsid w:val="003F66A2"/>
    <w:rsid w:val="003F6761"/>
    <w:rsid w:val="004002A9"/>
    <w:rsid w:val="00401EDD"/>
    <w:rsid w:val="0040437E"/>
    <w:rsid w:val="004062E1"/>
    <w:rsid w:val="004103AB"/>
    <w:rsid w:val="0041121B"/>
    <w:rsid w:val="00412638"/>
    <w:rsid w:val="00412838"/>
    <w:rsid w:val="00414AC3"/>
    <w:rsid w:val="004211F6"/>
    <w:rsid w:val="00423016"/>
    <w:rsid w:val="00423D9C"/>
    <w:rsid w:val="00424E7A"/>
    <w:rsid w:val="00432C80"/>
    <w:rsid w:val="004338D6"/>
    <w:rsid w:val="00434995"/>
    <w:rsid w:val="00435896"/>
    <w:rsid w:val="00435A7C"/>
    <w:rsid w:val="00436AF6"/>
    <w:rsid w:val="0043790B"/>
    <w:rsid w:val="00437CD6"/>
    <w:rsid w:val="00440672"/>
    <w:rsid w:val="004410C3"/>
    <w:rsid w:val="00441679"/>
    <w:rsid w:val="004421DE"/>
    <w:rsid w:val="004452CF"/>
    <w:rsid w:val="00447048"/>
    <w:rsid w:val="00447A8F"/>
    <w:rsid w:val="00447CC9"/>
    <w:rsid w:val="00450178"/>
    <w:rsid w:val="0045077D"/>
    <w:rsid w:val="00451344"/>
    <w:rsid w:val="004519C2"/>
    <w:rsid w:val="00453132"/>
    <w:rsid w:val="00455638"/>
    <w:rsid w:val="004556C1"/>
    <w:rsid w:val="004558A8"/>
    <w:rsid w:val="004571F8"/>
    <w:rsid w:val="00460569"/>
    <w:rsid w:val="00461750"/>
    <w:rsid w:val="00462AC9"/>
    <w:rsid w:val="00463369"/>
    <w:rsid w:val="004643CE"/>
    <w:rsid w:val="0046455F"/>
    <w:rsid w:val="00465033"/>
    <w:rsid w:val="004659BD"/>
    <w:rsid w:val="00470B8F"/>
    <w:rsid w:val="00472026"/>
    <w:rsid w:val="00472AB1"/>
    <w:rsid w:val="00472AC4"/>
    <w:rsid w:val="004737D0"/>
    <w:rsid w:val="00476935"/>
    <w:rsid w:val="00477990"/>
    <w:rsid w:val="00480437"/>
    <w:rsid w:val="004808B9"/>
    <w:rsid w:val="00480DBD"/>
    <w:rsid w:val="00483BC5"/>
    <w:rsid w:val="004860E9"/>
    <w:rsid w:val="004861D7"/>
    <w:rsid w:val="00487123"/>
    <w:rsid w:val="00492E8D"/>
    <w:rsid w:val="00494C67"/>
    <w:rsid w:val="00494CE7"/>
    <w:rsid w:val="004A0DD1"/>
    <w:rsid w:val="004A1402"/>
    <w:rsid w:val="004A1C00"/>
    <w:rsid w:val="004A3BD4"/>
    <w:rsid w:val="004A5B8F"/>
    <w:rsid w:val="004A5B9E"/>
    <w:rsid w:val="004A6D8C"/>
    <w:rsid w:val="004A6F2E"/>
    <w:rsid w:val="004A7F28"/>
    <w:rsid w:val="004B1A13"/>
    <w:rsid w:val="004B26EA"/>
    <w:rsid w:val="004B5FD9"/>
    <w:rsid w:val="004B608E"/>
    <w:rsid w:val="004B762F"/>
    <w:rsid w:val="004C35FB"/>
    <w:rsid w:val="004C45B8"/>
    <w:rsid w:val="004C4DA6"/>
    <w:rsid w:val="004C4FEF"/>
    <w:rsid w:val="004C5157"/>
    <w:rsid w:val="004C5758"/>
    <w:rsid w:val="004C6BA5"/>
    <w:rsid w:val="004C6F0E"/>
    <w:rsid w:val="004C75BE"/>
    <w:rsid w:val="004C7EB5"/>
    <w:rsid w:val="004D0BFE"/>
    <w:rsid w:val="004D0C73"/>
    <w:rsid w:val="004D1394"/>
    <w:rsid w:val="004D246F"/>
    <w:rsid w:val="004D3E22"/>
    <w:rsid w:val="004D4C17"/>
    <w:rsid w:val="004E1095"/>
    <w:rsid w:val="004E36AE"/>
    <w:rsid w:val="004E62E3"/>
    <w:rsid w:val="004E67CC"/>
    <w:rsid w:val="004E69E1"/>
    <w:rsid w:val="004F01BC"/>
    <w:rsid w:val="004F0548"/>
    <w:rsid w:val="004F36BC"/>
    <w:rsid w:val="004F4C3A"/>
    <w:rsid w:val="004F54C1"/>
    <w:rsid w:val="004F667C"/>
    <w:rsid w:val="004F6A1D"/>
    <w:rsid w:val="004F72CC"/>
    <w:rsid w:val="0050106F"/>
    <w:rsid w:val="005013F6"/>
    <w:rsid w:val="00502B69"/>
    <w:rsid w:val="0050377B"/>
    <w:rsid w:val="00503EB2"/>
    <w:rsid w:val="00504E45"/>
    <w:rsid w:val="005073F5"/>
    <w:rsid w:val="00510758"/>
    <w:rsid w:val="00511C89"/>
    <w:rsid w:val="00512B73"/>
    <w:rsid w:val="005140AC"/>
    <w:rsid w:val="0051674C"/>
    <w:rsid w:val="005175B5"/>
    <w:rsid w:val="00520461"/>
    <w:rsid w:val="00520E9E"/>
    <w:rsid w:val="00521343"/>
    <w:rsid w:val="005214CC"/>
    <w:rsid w:val="00522427"/>
    <w:rsid w:val="005228E1"/>
    <w:rsid w:val="00524854"/>
    <w:rsid w:val="005255CE"/>
    <w:rsid w:val="00530F68"/>
    <w:rsid w:val="00531058"/>
    <w:rsid w:val="00531E1A"/>
    <w:rsid w:val="005339FF"/>
    <w:rsid w:val="00535555"/>
    <w:rsid w:val="00535BC4"/>
    <w:rsid w:val="005364F9"/>
    <w:rsid w:val="00537BB7"/>
    <w:rsid w:val="00541CF8"/>
    <w:rsid w:val="00541E5D"/>
    <w:rsid w:val="005421BE"/>
    <w:rsid w:val="005431CD"/>
    <w:rsid w:val="00545370"/>
    <w:rsid w:val="005455AA"/>
    <w:rsid w:val="005458F7"/>
    <w:rsid w:val="00551E5C"/>
    <w:rsid w:val="00555562"/>
    <w:rsid w:val="00555807"/>
    <w:rsid w:val="00555BA6"/>
    <w:rsid w:val="00555C26"/>
    <w:rsid w:val="005561C7"/>
    <w:rsid w:val="0055657B"/>
    <w:rsid w:val="00561758"/>
    <w:rsid w:val="00562959"/>
    <w:rsid w:val="00563558"/>
    <w:rsid w:val="00564E80"/>
    <w:rsid w:val="00565FD2"/>
    <w:rsid w:val="00566D35"/>
    <w:rsid w:val="00570546"/>
    <w:rsid w:val="00571289"/>
    <w:rsid w:val="0057129E"/>
    <w:rsid w:val="00571523"/>
    <w:rsid w:val="005729F6"/>
    <w:rsid w:val="00572ABB"/>
    <w:rsid w:val="00572E84"/>
    <w:rsid w:val="00574D7C"/>
    <w:rsid w:val="00576316"/>
    <w:rsid w:val="00576954"/>
    <w:rsid w:val="005774C3"/>
    <w:rsid w:val="00580F3A"/>
    <w:rsid w:val="00584A21"/>
    <w:rsid w:val="00584C55"/>
    <w:rsid w:val="00585A86"/>
    <w:rsid w:val="00586229"/>
    <w:rsid w:val="00587ECE"/>
    <w:rsid w:val="00590484"/>
    <w:rsid w:val="00592FD6"/>
    <w:rsid w:val="00593A6D"/>
    <w:rsid w:val="005940C4"/>
    <w:rsid w:val="00594574"/>
    <w:rsid w:val="00594B32"/>
    <w:rsid w:val="00595415"/>
    <w:rsid w:val="00595AF1"/>
    <w:rsid w:val="00597B37"/>
    <w:rsid w:val="005A1A7D"/>
    <w:rsid w:val="005A1F36"/>
    <w:rsid w:val="005A2803"/>
    <w:rsid w:val="005A3489"/>
    <w:rsid w:val="005A75F7"/>
    <w:rsid w:val="005B170A"/>
    <w:rsid w:val="005B1DAA"/>
    <w:rsid w:val="005B2943"/>
    <w:rsid w:val="005B5C02"/>
    <w:rsid w:val="005B64F3"/>
    <w:rsid w:val="005B7028"/>
    <w:rsid w:val="005C0EC0"/>
    <w:rsid w:val="005C4E97"/>
    <w:rsid w:val="005C582E"/>
    <w:rsid w:val="005C5C3F"/>
    <w:rsid w:val="005C697E"/>
    <w:rsid w:val="005C71FA"/>
    <w:rsid w:val="005D1CA9"/>
    <w:rsid w:val="005D310F"/>
    <w:rsid w:val="005D35D4"/>
    <w:rsid w:val="005D51AB"/>
    <w:rsid w:val="005D636D"/>
    <w:rsid w:val="005D6C4A"/>
    <w:rsid w:val="005D72F7"/>
    <w:rsid w:val="005D7434"/>
    <w:rsid w:val="005D7B24"/>
    <w:rsid w:val="005E067A"/>
    <w:rsid w:val="005E2A73"/>
    <w:rsid w:val="005E33E5"/>
    <w:rsid w:val="005E583E"/>
    <w:rsid w:val="005E6B92"/>
    <w:rsid w:val="005E72F3"/>
    <w:rsid w:val="005E79F9"/>
    <w:rsid w:val="005F0D0B"/>
    <w:rsid w:val="005F138C"/>
    <w:rsid w:val="005F1ED1"/>
    <w:rsid w:val="005F202D"/>
    <w:rsid w:val="005F2B54"/>
    <w:rsid w:val="005F397F"/>
    <w:rsid w:val="005F4886"/>
    <w:rsid w:val="005F55FF"/>
    <w:rsid w:val="005F6C33"/>
    <w:rsid w:val="005F781C"/>
    <w:rsid w:val="006008D4"/>
    <w:rsid w:val="00600EFC"/>
    <w:rsid w:val="00600FD8"/>
    <w:rsid w:val="00603875"/>
    <w:rsid w:val="00605165"/>
    <w:rsid w:val="006069AF"/>
    <w:rsid w:val="00606A30"/>
    <w:rsid w:val="00611937"/>
    <w:rsid w:val="00612521"/>
    <w:rsid w:val="00612599"/>
    <w:rsid w:val="00613BF1"/>
    <w:rsid w:val="0061449E"/>
    <w:rsid w:val="0061705C"/>
    <w:rsid w:val="00617479"/>
    <w:rsid w:val="0061749C"/>
    <w:rsid w:val="00617A68"/>
    <w:rsid w:val="00620809"/>
    <w:rsid w:val="0062139B"/>
    <w:rsid w:val="006216A3"/>
    <w:rsid w:val="00623F18"/>
    <w:rsid w:val="006249F6"/>
    <w:rsid w:val="006250CA"/>
    <w:rsid w:val="00625CE6"/>
    <w:rsid w:val="00626821"/>
    <w:rsid w:val="006307CE"/>
    <w:rsid w:val="006307FD"/>
    <w:rsid w:val="00630F61"/>
    <w:rsid w:val="006323E7"/>
    <w:rsid w:val="00634A1A"/>
    <w:rsid w:val="0063792F"/>
    <w:rsid w:val="00637C0D"/>
    <w:rsid w:val="006411B2"/>
    <w:rsid w:val="00641A0F"/>
    <w:rsid w:val="00641B1F"/>
    <w:rsid w:val="00641E33"/>
    <w:rsid w:val="00644E64"/>
    <w:rsid w:val="00647776"/>
    <w:rsid w:val="0065187C"/>
    <w:rsid w:val="00654673"/>
    <w:rsid w:val="00655ED7"/>
    <w:rsid w:val="00661A8D"/>
    <w:rsid w:val="006633D2"/>
    <w:rsid w:val="00664901"/>
    <w:rsid w:val="00664AC2"/>
    <w:rsid w:val="00664E19"/>
    <w:rsid w:val="00665385"/>
    <w:rsid w:val="00665BF4"/>
    <w:rsid w:val="00665F22"/>
    <w:rsid w:val="006671CF"/>
    <w:rsid w:val="00672442"/>
    <w:rsid w:val="006730F9"/>
    <w:rsid w:val="00674353"/>
    <w:rsid w:val="00674E4E"/>
    <w:rsid w:val="006754E4"/>
    <w:rsid w:val="006759EF"/>
    <w:rsid w:val="0067672E"/>
    <w:rsid w:val="006808A5"/>
    <w:rsid w:val="00682EB8"/>
    <w:rsid w:val="00683C24"/>
    <w:rsid w:val="00683E34"/>
    <w:rsid w:val="00683E85"/>
    <w:rsid w:val="0068576C"/>
    <w:rsid w:val="0068601C"/>
    <w:rsid w:val="006861F3"/>
    <w:rsid w:val="00686A07"/>
    <w:rsid w:val="006878B8"/>
    <w:rsid w:val="00687A6B"/>
    <w:rsid w:val="00690EB0"/>
    <w:rsid w:val="00692BB3"/>
    <w:rsid w:val="00693FEB"/>
    <w:rsid w:val="00695292"/>
    <w:rsid w:val="00695590"/>
    <w:rsid w:val="00696872"/>
    <w:rsid w:val="0069693B"/>
    <w:rsid w:val="006A0963"/>
    <w:rsid w:val="006A0E2F"/>
    <w:rsid w:val="006A1CBC"/>
    <w:rsid w:val="006A3486"/>
    <w:rsid w:val="006A40C3"/>
    <w:rsid w:val="006A7C7D"/>
    <w:rsid w:val="006B0C08"/>
    <w:rsid w:val="006B35AE"/>
    <w:rsid w:val="006B5740"/>
    <w:rsid w:val="006B5B5F"/>
    <w:rsid w:val="006B796B"/>
    <w:rsid w:val="006B7E0B"/>
    <w:rsid w:val="006C0AC1"/>
    <w:rsid w:val="006C1586"/>
    <w:rsid w:val="006C207F"/>
    <w:rsid w:val="006C2386"/>
    <w:rsid w:val="006C2FDF"/>
    <w:rsid w:val="006C3E17"/>
    <w:rsid w:val="006C4AF0"/>
    <w:rsid w:val="006C5D55"/>
    <w:rsid w:val="006D07E6"/>
    <w:rsid w:val="006D0DF4"/>
    <w:rsid w:val="006D2391"/>
    <w:rsid w:val="006D2E4F"/>
    <w:rsid w:val="006D594F"/>
    <w:rsid w:val="006D59AD"/>
    <w:rsid w:val="006D67CF"/>
    <w:rsid w:val="006D734B"/>
    <w:rsid w:val="006D7C39"/>
    <w:rsid w:val="006E055D"/>
    <w:rsid w:val="006E09F7"/>
    <w:rsid w:val="006E0F65"/>
    <w:rsid w:val="006E10AA"/>
    <w:rsid w:val="006E38CE"/>
    <w:rsid w:val="006E38F8"/>
    <w:rsid w:val="006E463A"/>
    <w:rsid w:val="006E4E4A"/>
    <w:rsid w:val="006E6789"/>
    <w:rsid w:val="006F0B19"/>
    <w:rsid w:val="006F2450"/>
    <w:rsid w:val="006F3A9D"/>
    <w:rsid w:val="006F4183"/>
    <w:rsid w:val="006F47EC"/>
    <w:rsid w:val="006F4984"/>
    <w:rsid w:val="006F6FE7"/>
    <w:rsid w:val="006F74A2"/>
    <w:rsid w:val="006F7BE4"/>
    <w:rsid w:val="006F7F3B"/>
    <w:rsid w:val="00700B72"/>
    <w:rsid w:val="0070160F"/>
    <w:rsid w:val="00702A0C"/>
    <w:rsid w:val="00702F22"/>
    <w:rsid w:val="007032B9"/>
    <w:rsid w:val="00704201"/>
    <w:rsid w:val="0070527B"/>
    <w:rsid w:val="00705CF1"/>
    <w:rsid w:val="007102E7"/>
    <w:rsid w:val="0071070F"/>
    <w:rsid w:val="007126BD"/>
    <w:rsid w:val="00712A1E"/>
    <w:rsid w:val="00713123"/>
    <w:rsid w:val="007138C9"/>
    <w:rsid w:val="0071432D"/>
    <w:rsid w:val="0071484C"/>
    <w:rsid w:val="0071600B"/>
    <w:rsid w:val="00716431"/>
    <w:rsid w:val="00720E8E"/>
    <w:rsid w:val="00722469"/>
    <w:rsid w:val="00722BB6"/>
    <w:rsid w:val="00722EF9"/>
    <w:rsid w:val="007243B8"/>
    <w:rsid w:val="00724698"/>
    <w:rsid w:val="007311BA"/>
    <w:rsid w:val="0073194A"/>
    <w:rsid w:val="0073602C"/>
    <w:rsid w:val="00740D91"/>
    <w:rsid w:val="0075386F"/>
    <w:rsid w:val="00756177"/>
    <w:rsid w:val="00760197"/>
    <w:rsid w:val="007602FB"/>
    <w:rsid w:val="00760C31"/>
    <w:rsid w:val="00762394"/>
    <w:rsid w:val="00762874"/>
    <w:rsid w:val="007647F8"/>
    <w:rsid w:val="00767D37"/>
    <w:rsid w:val="00774F3B"/>
    <w:rsid w:val="0078094F"/>
    <w:rsid w:val="00781D47"/>
    <w:rsid w:val="00781EAF"/>
    <w:rsid w:val="007833EE"/>
    <w:rsid w:val="00783E05"/>
    <w:rsid w:val="00784A7F"/>
    <w:rsid w:val="007868A2"/>
    <w:rsid w:val="00786A82"/>
    <w:rsid w:val="00787219"/>
    <w:rsid w:val="0079079A"/>
    <w:rsid w:val="00793EA1"/>
    <w:rsid w:val="00793FC8"/>
    <w:rsid w:val="00796002"/>
    <w:rsid w:val="007A0EC0"/>
    <w:rsid w:val="007A36AC"/>
    <w:rsid w:val="007A5DFB"/>
    <w:rsid w:val="007A7922"/>
    <w:rsid w:val="007B0AC8"/>
    <w:rsid w:val="007B13B0"/>
    <w:rsid w:val="007B240A"/>
    <w:rsid w:val="007B51E7"/>
    <w:rsid w:val="007B7DA2"/>
    <w:rsid w:val="007C0676"/>
    <w:rsid w:val="007C109A"/>
    <w:rsid w:val="007C1509"/>
    <w:rsid w:val="007C4501"/>
    <w:rsid w:val="007C48FF"/>
    <w:rsid w:val="007D017F"/>
    <w:rsid w:val="007D054C"/>
    <w:rsid w:val="007D0920"/>
    <w:rsid w:val="007D1077"/>
    <w:rsid w:val="007D1789"/>
    <w:rsid w:val="007D281D"/>
    <w:rsid w:val="007D3D64"/>
    <w:rsid w:val="007D47B6"/>
    <w:rsid w:val="007D485F"/>
    <w:rsid w:val="007D55E1"/>
    <w:rsid w:val="007D56C3"/>
    <w:rsid w:val="007D697D"/>
    <w:rsid w:val="007D7085"/>
    <w:rsid w:val="007E0704"/>
    <w:rsid w:val="007E0F72"/>
    <w:rsid w:val="007E4125"/>
    <w:rsid w:val="007E4942"/>
    <w:rsid w:val="007E4E63"/>
    <w:rsid w:val="007E6374"/>
    <w:rsid w:val="007E7D7B"/>
    <w:rsid w:val="007F2FE6"/>
    <w:rsid w:val="007F30F7"/>
    <w:rsid w:val="007F5EFC"/>
    <w:rsid w:val="007F6274"/>
    <w:rsid w:val="007F6B01"/>
    <w:rsid w:val="007F6D0A"/>
    <w:rsid w:val="008024F4"/>
    <w:rsid w:val="0080558F"/>
    <w:rsid w:val="008100BC"/>
    <w:rsid w:val="008108C2"/>
    <w:rsid w:val="008109A4"/>
    <w:rsid w:val="00812E50"/>
    <w:rsid w:val="008137A3"/>
    <w:rsid w:val="00814F32"/>
    <w:rsid w:val="00815B40"/>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5AD6"/>
    <w:rsid w:val="00836E1F"/>
    <w:rsid w:val="008376C6"/>
    <w:rsid w:val="008413BF"/>
    <w:rsid w:val="00841A9E"/>
    <w:rsid w:val="0084585A"/>
    <w:rsid w:val="00845D68"/>
    <w:rsid w:val="0084683F"/>
    <w:rsid w:val="00850473"/>
    <w:rsid w:val="00851D58"/>
    <w:rsid w:val="008530CD"/>
    <w:rsid w:val="00856F57"/>
    <w:rsid w:val="00862C44"/>
    <w:rsid w:val="00864C78"/>
    <w:rsid w:val="00864FAC"/>
    <w:rsid w:val="008650E0"/>
    <w:rsid w:val="00865DB5"/>
    <w:rsid w:val="00867B97"/>
    <w:rsid w:val="008702FA"/>
    <w:rsid w:val="00871AC1"/>
    <w:rsid w:val="00872861"/>
    <w:rsid w:val="00872A43"/>
    <w:rsid w:val="00873284"/>
    <w:rsid w:val="0087493A"/>
    <w:rsid w:val="00876CD4"/>
    <w:rsid w:val="008771CD"/>
    <w:rsid w:val="008773B6"/>
    <w:rsid w:val="00877A77"/>
    <w:rsid w:val="00881BC3"/>
    <w:rsid w:val="00882387"/>
    <w:rsid w:val="0088413E"/>
    <w:rsid w:val="00886169"/>
    <w:rsid w:val="00886DB9"/>
    <w:rsid w:val="008879AA"/>
    <w:rsid w:val="00893D83"/>
    <w:rsid w:val="00894071"/>
    <w:rsid w:val="00895044"/>
    <w:rsid w:val="00895401"/>
    <w:rsid w:val="008A2010"/>
    <w:rsid w:val="008A49CB"/>
    <w:rsid w:val="008A52BE"/>
    <w:rsid w:val="008A5315"/>
    <w:rsid w:val="008A58CE"/>
    <w:rsid w:val="008A5BA6"/>
    <w:rsid w:val="008A77E2"/>
    <w:rsid w:val="008A7ADD"/>
    <w:rsid w:val="008A7CE3"/>
    <w:rsid w:val="008B264F"/>
    <w:rsid w:val="008B400D"/>
    <w:rsid w:val="008B5DE9"/>
    <w:rsid w:val="008B5F76"/>
    <w:rsid w:val="008B654E"/>
    <w:rsid w:val="008B7424"/>
    <w:rsid w:val="008C02B8"/>
    <w:rsid w:val="008C1D88"/>
    <w:rsid w:val="008C27A8"/>
    <w:rsid w:val="008C2E7A"/>
    <w:rsid w:val="008C6E10"/>
    <w:rsid w:val="008C7B46"/>
    <w:rsid w:val="008C7FB4"/>
    <w:rsid w:val="008D0B52"/>
    <w:rsid w:val="008D1043"/>
    <w:rsid w:val="008D2F6F"/>
    <w:rsid w:val="008D3B92"/>
    <w:rsid w:val="008D46B0"/>
    <w:rsid w:val="008D65F1"/>
    <w:rsid w:val="008D6ABD"/>
    <w:rsid w:val="008D73C0"/>
    <w:rsid w:val="008E14F5"/>
    <w:rsid w:val="008E3DAB"/>
    <w:rsid w:val="008E6E48"/>
    <w:rsid w:val="008E74A5"/>
    <w:rsid w:val="008E7BE4"/>
    <w:rsid w:val="008E7C12"/>
    <w:rsid w:val="008E7C3D"/>
    <w:rsid w:val="008F17AE"/>
    <w:rsid w:val="008F23B8"/>
    <w:rsid w:val="008F2D30"/>
    <w:rsid w:val="008F4142"/>
    <w:rsid w:val="008F4AB4"/>
    <w:rsid w:val="008F5856"/>
    <w:rsid w:val="008F5B73"/>
    <w:rsid w:val="008F71F8"/>
    <w:rsid w:val="00900850"/>
    <w:rsid w:val="00902030"/>
    <w:rsid w:val="009043F3"/>
    <w:rsid w:val="009061EF"/>
    <w:rsid w:val="00907B02"/>
    <w:rsid w:val="00910184"/>
    <w:rsid w:val="00910BE5"/>
    <w:rsid w:val="00912CCA"/>
    <w:rsid w:val="009155E6"/>
    <w:rsid w:val="00915DCA"/>
    <w:rsid w:val="00920035"/>
    <w:rsid w:val="00923522"/>
    <w:rsid w:val="009248E6"/>
    <w:rsid w:val="00924A48"/>
    <w:rsid w:val="00924C01"/>
    <w:rsid w:val="0092598E"/>
    <w:rsid w:val="00926693"/>
    <w:rsid w:val="00926AB6"/>
    <w:rsid w:val="00926C7C"/>
    <w:rsid w:val="0092707D"/>
    <w:rsid w:val="00927AB4"/>
    <w:rsid w:val="00927B48"/>
    <w:rsid w:val="0093038B"/>
    <w:rsid w:val="00930556"/>
    <w:rsid w:val="00931DEC"/>
    <w:rsid w:val="009326C2"/>
    <w:rsid w:val="00935BA6"/>
    <w:rsid w:val="00936564"/>
    <w:rsid w:val="00937644"/>
    <w:rsid w:val="00937B39"/>
    <w:rsid w:val="0094026F"/>
    <w:rsid w:val="00941CDF"/>
    <w:rsid w:val="009421A3"/>
    <w:rsid w:val="009427CD"/>
    <w:rsid w:val="00943FBC"/>
    <w:rsid w:val="00945437"/>
    <w:rsid w:val="009474C1"/>
    <w:rsid w:val="009477A4"/>
    <w:rsid w:val="00947A7B"/>
    <w:rsid w:val="00950942"/>
    <w:rsid w:val="00950E91"/>
    <w:rsid w:val="009520E6"/>
    <w:rsid w:val="00954103"/>
    <w:rsid w:val="009561A7"/>
    <w:rsid w:val="00960283"/>
    <w:rsid w:val="0096044A"/>
    <w:rsid w:val="009605D2"/>
    <w:rsid w:val="009619D0"/>
    <w:rsid w:val="00965007"/>
    <w:rsid w:val="00970544"/>
    <w:rsid w:val="0097105E"/>
    <w:rsid w:val="009721C8"/>
    <w:rsid w:val="00972391"/>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9A7"/>
    <w:rsid w:val="00994E53"/>
    <w:rsid w:val="009950ED"/>
    <w:rsid w:val="009963FC"/>
    <w:rsid w:val="009967D4"/>
    <w:rsid w:val="00996871"/>
    <w:rsid w:val="00996A55"/>
    <w:rsid w:val="009A1DF8"/>
    <w:rsid w:val="009A271B"/>
    <w:rsid w:val="009A276C"/>
    <w:rsid w:val="009A3D52"/>
    <w:rsid w:val="009A4138"/>
    <w:rsid w:val="009A4198"/>
    <w:rsid w:val="009A48CC"/>
    <w:rsid w:val="009A4A80"/>
    <w:rsid w:val="009A54CD"/>
    <w:rsid w:val="009A61B7"/>
    <w:rsid w:val="009B0D08"/>
    <w:rsid w:val="009B1249"/>
    <w:rsid w:val="009B2519"/>
    <w:rsid w:val="009B2FAE"/>
    <w:rsid w:val="009B3988"/>
    <w:rsid w:val="009B441D"/>
    <w:rsid w:val="009B61D7"/>
    <w:rsid w:val="009B624B"/>
    <w:rsid w:val="009B6D51"/>
    <w:rsid w:val="009B7511"/>
    <w:rsid w:val="009B7AD1"/>
    <w:rsid w:val="009C0384"/>
    <w:rsid w:val="009C0F63"/>
    <w:rsid w:val="009C4454"/>
    <w:rsid w:val="009C511B"/>
    <w:rsid w:val="009C5BC1"/>
    <w:rsid w:val="009D1FB5"/>
    <w:rsid w:val="009D2894"/>
    <w:rsid w:val="009D3E61"/>
    <w:rsid w:val="009D5941"/>
    <w:rsid w:val="009D5FA7"/>
    <w:rsid w:val="009D69A1"/>
    <w:rsid w:val="009D7418"/>
    <w:rsid w:val="009E0419"/>
    <w:rsid w:val="009E239F"/>
    <w:rsid w:val="009E270A"/>
    <w:rsid w:val="009E2E5A"/>
    <w:rsid w:val="009E43C0"/>
    <w:rsid w:val="009E4B0B"/>
    <w:rsid w:val="009E4C15"/>
    <w:rsid w:val="009E7B3D"/>
    <w:rsid w:val="009E7EE2"/>
    <w:rsid w:val="009F0A84"/>
    <w:rsid w:val="009F1F6A"/>
    <w:rsid w:val="009F420E"/>
    <w:rsid w:val="009F65D0"/>
    <w:rsid w:val="009F6E29"/>
    <w:rsid w:val="009F770F"/>
    <w:rsid w:val="00A019AF"/>
    <w:rsid w:val="00A02019"/>
    <w:rsid w:val="00A030D3"/>
    <w:rsid w:val="00A0434D"/>
    <w:rsid w:val="00A04492"/>
    <w:rsid w:val="00A06C33"/>
    <w:rsid w:val="00A0791E"/>
    <w:rsid w:val="00A07EFD"/>
    <w:rsid w:val="00A117F4"/>
    <w:rsid w:val="00A11CD9"/>
    <w:rsid w:val="00A122C4"/>
    <w:rsid w:val="00A12B6E"/>
    <w:rsid w:val="00A15039"/>
    <w:rsid w:val="00A15489"/>
    <w:rsid w:val="00A1625F"/>
    <w:rsid w:val="00A163D0"/>
    <w:rsid w:val="00A20E3D"/>
    <w:rsid w:val="00A221A9"/>
    <w:rsid w:val="00A223BC"/>
    <w:rsid w:val="00A22F56"/>
    <w:rsid w:val="00A22F69"/>
    <w:rsid w:val="00A23B6F"/>
    <w:rsid w:val="00A24404"/>
    <w:rsid w:val="00A25729"/>
    <w:rsid w:val="00A3015D"/>
    <w:rsid w:val="00A33D0C"/>
    <w:rsid w:val="00A34F2E"/>
    <w:rsid w:val="00A34FAE"/>
    <w:rsid w:val="00A36022"/>
    <w:rsid w:val="00A42305"/>
    <w:rsid w:val="00A42AED"/>
    <w:rsid w:val="00A42E94"/>
    <w:rsid w:val="00A43ABA"/>
    <w:rsid w:val="00A44D67"/>
    <w:rsid w:val="00A45A7B"/>
    <w:rsid w:val="00A45C6E"/>
    <w:rsid w:val="00A46C7A"/>
    <w:rsid w:val="00A4703B"/>
    <w:rsid w:val="00A50727"/>
    <w:rsid w:val="00A526D9"/>
    <w:rsid w:val="00A527E6"/>
    <w:rsid w:val="00A52AEB"/>
    <w:rsid w:val="00A52B4F"/>
    <w:rsid w:val="00A535CC"/>
    <w:rsid w:val="00A53E76"/>
    <w:rsid w:val="00A54946"/>
    <w:rsid w:val="00A54D14"/>
    <w:rsid w:val="00A55BF4"/>
    <w:rsid w:val="00A571B1"/>
    <w:rsid w:val="00A5782C"/>
    <w:rsid w:val="00A57BBD"/>
    <w:rsid w:val="00A608CF"/>
    <w:rsid w:val="00A60C1D"/>
    <w:rsid w:val="00A61E33"/>
    <w:rsid w:val="00A6260D"/>
    <w:rsid w:val="00A63BF6"/>
    <w:rsid w:val="00A6424D"/>
    <w:rsid w:val="00A648FD"/>
    <w:rsid w:val="00A65AA0"/>
    <w:rsid w:val="00A667BE"/>
    <w:rsid w:val="00A6722B"/>
    <w:rsid w:val="00A70AC2"/>
    <w:rsid w:val="00A715B1"/>
    <w:rsid w:val="00A735EE"/>
    <w:rsid w:val="00A73A01"/>
    <w:rsid w:val="00A742C4"/>
    <w:rsid w:val="00A762DD"/>
    <w:rsid w:val="00A77D54"/>
    <w:rsid w:val="00A8000D"/>
    <w:rsid w:val="00A80585"/>
    <w:rsid w:val="00A820DB"/>
    <w:rsid w:val="00A842C3"/>
    <w:rsid w:val="00A85AFB"/>
    <w:rsid w:val="00A869DC"/>
    <w:rsid w:val="00A87866"/>
    <w:rsid w:val="00A91344"/>
    <w:rsid w:val="00A923F9"/>
    <w:rsid w:val="00A93458"/>
    <w:rsid w:val="00A9387F"/>
    <w:rsid w:val="00A93D50"/>
    <w:rsid w:val="00A93EF1"/>
    <w:rsid w:val="00A94D0B"/>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B6C34"/>
    <w:rsid w:val="00AC0763"/>
    <w:rsid w:val="00AC0BDC"/>
    <w:rsid w:val="00AC1460"/>
    <w:rsid w:val="00AC3326"/>
    <w:rsid w:val="00AC3A0F"/>
    <w:rsid w:val="00AC3C5E"/>
    <w:rsid w:val="00AC5029"/>
    <w:rsid w:val="00AC743C"/>
    <w:rsid w:val="00AC7BCD"/>
    <w:rsid w:val="00AC7FD4"/>
    <w:rsid w:val="00AD088C"/>
    <w:rsid w:val="00AD5A28"/>
    <w:rsid w:val="00AD5F2A"/>
    <w:rsid w:val="00AD63FF"/>
    <w:rsid w:val="00AD7D0F"/>
    <w:rsid w:val="00AE0DA3"/>
    <w:rsid w:val="00AE1854"/>
    <w:rsid w:val="00AE1BE5"/>
    <w:rsid w:val="00AE2337"/>
    <w:rsid w:val="00AE243C"/>
    <w:rsid w:val="00AE296A"/>
    <w:rsid w:val="00AF0D40"/>
    <w:rsid w:val="00AF2626"/>
    <w:rsid w:val="00AF307A"/>
    <w:rsid w:val="00AF4425"/>
    <w:rsid w:val="00AF5554"/>
    <w:rsid w:val="00AF55E4"/>
    <w:rsid w:val="00AF5909"/>
    <w:rsid w:val="00AF7543"/>
    <w:rsid w:val="00AF7CD7"/>
    <w:rsid w:val="00B01FB8"/>
    <w:rsid w:val="00B03605"/>
    <w:rsid w:val="00B0436A"/>
    <w:rsid w:val="00B05B95"/>
    <w:rsid w:val="00B078AA"/>
    <w:rsid w:val="00B103BD"/>
    <w:rsid w:val="00B10A89"/>
    <w:rsid w:val="00B1129A"/>
    <w:rsid w:val="00B12083"/>
    <w:rsid w:val="00B12472"/>
    <w:rsid w:val="00B125AF"/>
    <w:rsid w:val="00B12A80"/>
    <w:rsid w:val="00B17995"/>
    <w:rsid w:val="00B2056A"/>
    <w:rsid w:val="00B20BE2"/>
    <w:rsid w:val="00B21AD8"/>
    <w:rsid w:val="00B2333E"/>
    <w:rsid w:val="00B250A7"/>
    <w:rsid w:val="00B27661"/>
    <w:rsid w:val="00B27D58"/>
    <w:rsid w:val="00B31E8D"/>
    <w:rsid w:val="00B32A9B"/>
    <w:rsid w:val="00B34EC2"/>
    <w:rsid w:val="00B354BF"/>
    <w:rsid w:val="00B3633C"/>
    <w:rsid w:val="00B364C3"/>
    <w:rsid w:val="00B36F90"/>
    <w:rsid w:val="00B41423"/>
    <w:rsid w:val="00B43127"/>
    <w:rsid w:val="00B441E3"/>
    <w:rsid w:val="00B50491"/>
    <w:rsid w:val="00B5058B"/>
    <w:rsid w:val="00B5119A"/>
    <w:rsid w:val="00B52B6B"/>
    <w:rsid w:val="00B53660"/>
    <w:rsid w:val="00B541A4"/>
    <w:rsid w:val="00B54A27"/>
    <w:rsid w:val="00B55226"/>
    <w:rsid w:val="00B55782"/>
    <w:rsid w:val="00B55DB4"/>
    <w:rsid w:val="00B56BB5"/>
    <w:rsid w:val="00B56DCA"/>
    <w:rsid w:val="00B60310"/>
    <w:rsid w:val="00B60505"/>
    <w:rsid w:val="00B60A59"/>
    <w:rsid w:val="00B626F7"/>
    <w:rsid w:val="00B63026"/>
    <w:rsid w:val="00B6312F"/>
    <w:rsid w:val="00B63B69"/>
    <w:rsid w:val="00B66E1D"/>
    <w:rsid w:val="00B6762B"/>
    <w:rsid w:val="00B7153D"/>
    <w:rsid w:val="00B73BDC"/>
    <w:rsid w:val="00B76404"/>
    <w:rsid w:val="00B7666E"/>
    <w:rsid w:val="00B81735"/>
    <w:rsid w:val="00B82E70"/>
    <w:rsid w:val="00B82F38"/>
    <w:rsid w:val="00B83D04"/>
    <w:rsid w:val="00B84388"/>
    <w:rsid w:val="00B84501"/>
    <w:rsid w:val="00B85154"/>
    <w:rsid w:val="00B85206"/>
    <w:rsid w:val="00B85B0B"/>
    <w:rsid w:val="00B8601D"/>
    <w:rsid w:val="00B861B9"/>
    <w:rsid w:val="00B86FCB"/>
    <w:rsid w:val="00B879D9"/>
    <w:rsid w:val="00B87D0C"/>
    <w:rsid w:val="00B91C88"/>
    <w:rsid w:val="00B91D0A"/>
    <w:rsid w:val="00B92C32"/>
    <w:rsid w:val="00B95BBD"/>
    <w:rsid w:val="00B96430"/>
    <w:rsid w:val="00B97C89"/>
    <w:rsid w:val="00BA0C12"/>
    <w:rsid w:val="00BA20D7"/>
    <w:rsid w:val="00BA5EC9"/>
    <w:rsid w:val="00BA741A"/>
    <w:rsid w:val="00BA759F"/>
    <w:rsid w:val="00BA7966"/>
    <w:rsid w:val="00BB02A9"/>
    <w:rsid w:val="00BB0F6C"/>
    <w:rsid w:val="00BB1FE7"/>
    <w:rsid w:val="00BB216C"/>
    <w:rsid w:val="00BB2455"/>
    <w:rsid w:val="00BB2A85"/>
    <w:rsid w:val="00BB5AB6"/>
    <w:rsid w:val="00BB6170"/>
    <w:rsid w:val="00BB7DB9"/>
    <w:rsid w:val="00BC12EF"/>
    <w:rsid w:val="00BC2A54"/>
    <w:rsid w:val="00BD1547"/>
    <w:rsid w:val="00BD4313"/>
    <w:rsid w:val="00BD56AE"/>
    <w:rsid w:val="00BD58F5"/>
    <w:rsid w:val="00BD6F9B"/>
    <w:rsid w:val="00BE2331"/>
    <w:rsid w:val="00BE2BF7"/>
    <w:rsid w:val="00BE6A40"/>
    <w:rsid w:val="00BE6D84"/>
    <w:rsid w:val="00BE6F4A"/>
    <w:rsid w:val="00BE79E7"/>
    <w:rsid w:val="00BF01E4"/>
    <w:rsid w:val="00BF11B7"/>
    <w:rsid w:val="00BF11C3"/>
    <w:rsid w:val="00BF2150"/>
    <w:rsid w:val="00BF2833"/>
    <w:rsid w:val="00BF29CD"/>
    <w:rsid w:val="00C0108B"/>
    <w:rsid w:val="00C01942"/>
    <w:rsid w:val="00C01EAB"/>
    <w:rsid w:val="00C03F4C"/>
    <w:rsid w:val="00C04323"/>
    <w:rsid w:val="00C04999"/>
    <w:rsid w:val="00C1185E"/>
    <w:rsid w:val="00C12944"/>
    <w:rsid w:val="00C146A1"/>
    <w:rsid w:val="00C147D2"/>
    <w:rsid w:val="00C15CA9"/>
    <w:rsid w:val="00C1621C"/>
    <w:rsid w:val="00C1670E"/>
    <w:rsid w:val="00C16F28"/>
    <w:rsid w:val="00C21030"/>
    <w:rsid w:val="00C2111C"/>
    <w:rsid w:val="00C22A49"/>
    <w:rsid w:val="00C23784"/>
    <w:rsid w:val="00C25FC5"/>
    <w:rsid w:val="00C3427A"/>
    <w:rsid w:val="00C35450"/>
    <w:rsid w:val="00C40206"/>
    <w:rsid w:val="00C40566"/>
    <w:rsid w:val="00C44E37"/>
    <w:rsid w:val="00C4611D"/>
    <w:rsid w:val="00C473AE"/>
    <w:rsid w:val="00C4776A"/>
    <w:rsid w:val="00C47AA6"/>
    <w:rsid w:val="00C47B2D"/>
    <w:rsid w:val="00C47FBA"/>
    <w:rsid w:val="00C5028D"/>
    <w:rsid w:val="00C521B6"/>
    <w:rsid w:val="00C55E5B"/>
    <w:rsid w:val="00C568DF"/>
    <w:rsid w:val="00C60022"/>
    <w:rsid w:val="00C64871"/>
    <w:rsid w:val="00C64EB3"/>
    <w:rsid w:val="00C65637"/>
    <w:rsid w:val="00C65EB6"/>
    <w:rsid w:val="00C67E1F"/>
    <w:rsid w:val="00C71949"/>
    <w:rsid w:val="00C737B3"/>
    <w:rsid w:val="00C73953"/>
    <w:rsid w:val="00C74648"/>
    <w:rsid w:val="00C75A10"/>
    <w:rsid w:val="00C75A2B"/>
    <w:rsid w:val="00C75C64"/>
    <w:rsid w:val="00C771B7"/>
    <w:rsid w:val="00C81749"/>
    <w:rsid w:val="00C8217D"/>
    <w:rsid w:val="00C827CF"/>
    <w:rsid w:val="00C83560"/>
    <w:rsid w:val="00C84F66"/>
    <w:rsid w:val="00C85B67"/>
    <w:rsid w:val="00C86304"/>
    <w:rsid w:val="00C86CFF"/>
    <w:rsid w:val="00C9263D"/>
    <w:rsid w:val="00C92EB0"/>
    <w:rsid w:val="00C938B8"/>
    <w:rsid w:val="00C94007"/>
    <w:rsid w:val="00C94180"/>
    <w:rsid w:val="00C966AA"/>
    <w:rsid w:val="00CA07A3"/>
    <w:rsid w:val="00CA0B01"/>
    <w:rsid w:val="00CA2D39"/>
    <w:rsid w:val="00CA3ACC"/>
    <w:rsid w:val="00CA5D92"/>
    <w:rsid w:val="00CA6A1A"/>
    <w:rsid w:val="00CA75E2"/>
    <w:rsid w:val="00CA7C82"/>
    <w:rsid w:val="00CB01D7"/>
    <w:rsid w:val="00CB05FC"/>
    <w:rsid w:val="00CB0738"/>
    <w:rsid w:val="00CB17D7"/>
    <w:rsid w:val="00CB2CBD"/>
    <w:rsid w:val="00CB7BE9"/>
    <w:rsid w:val="00CB7E10"/>
    <w:rsid w:val="00CC0851"/>
    <w:rsid w:val="00CC0DB0"/>
    <w:rsid w:val="00CC2471"/>
    <w:rsid w:val="00CC2862"/>
    <w:rsid w:val="00CC2D54"/>
    <w:rsid w:val="00CC441E"/>
    <w:rsid w:val="00CC4FD7"/>
    <w:rsid w:val="00CC67C7"/>
    <w:rsid w:val="00CC7FFB"/>
    <w:rsid w:val="00CD1954"/>
    <w:rsid w:val="00CD3926"/>
    <w:rsid w:val="00CD3D21"/>
    <w:rsid w:val="00CD44D3"/>
    <w:rsid w:val="00CD4F5C"/>
    <w:rsid w:val="00CD5534"/>
    <w:rsid w:val="00CD5607"/>
    <w:rsid w:val="00CD7249"/>
    <w:rsid w:val="00CD7403"/>
    <w:rsid w:val="00CE155A"/>
    <w:rsid w:val="00CE42CF"/>
    <w:rsid w:val="00CE5356"/>
    <w:rsid w:val="00CE603E"/>
    <w:rsid w:val="00CF3325"/>
    <w:rsid w:val="00CF39D1"/>
    <w:rsid w:val="00CF3D15"/>
    <w:rsid w:val="00CF46CE"/>
    <w:rsid w:val="00CF500B"/>
    <w:rsid w:val="00CF59D3"/>
    <w:rsid w:val="00CF5C3B"/>
    <w:rsid w:val="00CF7312"/>
    <w:rsid w:val="00D00F60"/>
    <w:rsid w:val="00D015EB"/>
    <w:rsid w:val="00D020FC"/>
    <w:rsid w:val="00D02139"/>
    <w:rsid w:val="00D0252B"/>
    <w:rsid w:val="00D03EE7"/>
    <w:rsid w:val="00D044CD"/>
    <w:rsid w:val="00D049DF"/>
    <w:rsid w:val="00D04C1F"/>
    <w:rsid w:val="00D04C29"/>
    <w:rsid w:val="00D07790"/>
    <w:rsid w:val="00D11256"/>
    <w:rsid w:val="00D122C1"/>
    <w:rsid w:val="00D136EE"/>
    <w:rsid w:val="00D13A53"/>
    <w:rsid w:val="00D13D91"/>
    <w:rsid w:val="00D141C6"/>
    <w:rsid w:val="00D1559E"/>
    <w:rsid w:val="00D159CB"/>
    <w:rsid w:val="00D253FE"/>
    <w:rsid w:val="00D25E3A"/>
    <w:rsid w:val="00D26360"/>
    <w:rsid w:val="00D34200"/>
    <w:rsid w:val="00D34A39"/>
    <w:rsid w:val="00D365E7"/>
    <w:rsid w:val="00D40EDF"/>
    <w:rsid w:val="00D41867"/>
    <w:rsid w:val="00D42AD6"/>
    <w:rsid w:val="00D430D8"/>
    <w:rsid w:val="00D433C1"/>
    <w:rsid w:val="00D453E1"/>
    <w:rsid w:val="00D46F25"/>
    <w:rsid w:val="00D57965"/>
    <w:rsid w:val="00D57F46"/>
    <w:rsid w:val="00D600A7"/>
    <w:rsid w:val="00D614C6"/>
    <w:rsid w:val="00D61A5F"/>
    <w:rsid w:val="00D626D5"/>
    <w:rsid w:val="00D62F03"/>
    <w:rsid w:val="00D63E4F"/>
    <w:rsid w:val="00D64B3B"/>
    <w:rsid w:val="00D67224"/>
    <w:rsid w:val="00D67E16"/>
    <w:rsid w:val="00D710FE"/>
    <w:rsid w:val="00D71362"/>
    <w:rsid w:val="00D719B7"/>
    <w:rsid w:val="00D71FA4"/>
    <w:rsid w:val="00D72F46"/>
    <w:rsid w:val="00D73594"/>
    <w:rsid w:val="00D767C8"/>
    <w:rsid w:val="00D77677"/>
    <w:rsid w:val="00D81667"/>
    <w:rsid w:val="00D82B8F"/>
    <w:rsid w:val="00D83430"/>
    <w:rsid w:val="00D8344D"/>
    <w:rsid w:val="00D8365A"/>
    <w:rsid w:val="00D83FAA"/>
    <w:rsid w:val="00D846A4"/>
    <w:rsid w:val="00D84FF8"/>
    <w:rsid w:val="00D85B9F"/>
    <w:rsid w:val="00D85F08"/>
    <w:rsid w:val="00D871B9"/>
    <w:rsid w:val="00D877BD"/>
    <w:rsid w:val="00D90909"/>
    <w:rsid w:val="00D91F56"/>
    <w:rsid w:val="00D93D21"/>
    <w:rsid w:val="00D93DFF"/>
    <w:rsid w:val="00D9407D"/>
    <w:rsid w:val="00D94211"/>
    <w:rsid w:val="00D9468B"/>
    <w:rsid w:val="00D951B0"/>
    <w:rsid w:val="00D9609C"/>
    <w:rsid w:val="00D9730C"/>
    <w:rsid w:val="00DA172E"/>
    <w:rsid w:val="00DA317E"/>
    <w:rsid w:val="00DA3EFF"/>
    <w:rsid w:val="00DA4D0F"/>
    <w:rsid w:val="00DA570C"/>
    <w:rsid w:val="00DA6DD1"/>
    <w:rsid w:val="00DA6FB3"/>
    <w:rsid w:val="00DA74B4"/>
    <w:rsid w:val="00DA758A"/>
    <w:rsid w:val="00DA75BD"/>
    <w:rsid w:val="00DB245F"/>
    <w:rsid w:val="00DB28D3"/>
    <w:rsid w:val="00DB36C0"/>
    <w:rsid w:val="00DB3ABF"/>
    <w:rsid w:val="00DB4475"/>
    <w:rsid w:val="00DB4C1F"/>
    <w:rsid w:val="00DB65EA"/>
    <w:rsid w:val="00DC0686"/>
    <w:rsid w:val="00DC06AF"/>
    <w:rsid w:val="00DC257E"/>
    <w:rsid w:val="00DC44E5"/>
    <w:rsid w:val="00DC5B70"/>
    <w:rsid w:val="00DD3266"/>
    <w:rsid w:val="00DD4C65"/>
    <w:rsid w:val="00DD6C1F"/>
    <w:rsid w:val="00DD7215"/>
    <w:rsid w:val="00DD75B6"/>
    <w:rsid w:val="00DE1340"/>
    <w:rsid w:val="00DE1D39"/>
    <w:rsid w:val="00DE24B6"/>
    <w:rsid w:val="00DE24E9"/>
    <w:rsid w:val="00DE3391"/>
    <w:rsid w:val="00DE4B8E"/>
    <w:rsid w:val="00DE5ADC"/>
    <w:rsid w:val="00DE685C"/>
    <w:rsid w:val="00DE6973"/>
    <w:rsid w:val="00DE6C00"/>
    <w:rsid w:val="00DF0A12"/>
    <w:rsid w:val="00DF1C7C"/>
    <w:rsid w:val="00DF26EF"/>
    <w:rsid w:val="00DF2971"/>
    <w:rsid w:val="00DF299D"/>
    <w:rsid w:val="00DF4837"/>
    <w:rsid w:val="00DF62EB"/>
    <w:rsid w:val="00E0023F"/>
    <w:rsid w:val="00E11710"/>
    <w:rsid w:val="00E1451F"/>
    <w:rsid w:val="00E149C1"/>
    <w:rsid w:val="00E153AB"/>
    <w:rsid w:val="00E15CDC"/>
    <w:rsid w:val="00E16790"/>
    <w:rsid w:val="00E17056"/>
    <w:rsid w:val="00E2004F"/>
    <w:rsid w:val="00E21B97"/>
    <w:rsid w:val="00E21CF3"/>
    <w:rsid w:val="00E23BD7"/>
    <w:rsid w:val="00E243FC"/>
    <w:rsid w:val="00E246B5"/>
    <w:rsid w:val="00E255A9"/>
    <w:rsid w:val="00E300F7"/>
    <w:rsid w:val="00E30E92"/>
    <w:rsid w:val="00E30F37"/>
    <w:rsid w:val="00E31BB6"/>
    <w:rsid w:val="00E3399C"/>
    <w:rsid w:val="00E33A50"/>
    <w:rsid w:val="00E33E58"/>
    <w:rsid w:val="00E341BD"/>
    <w:rsid w:val="00E34784"/>
    <w:rsid w:val="00E35F51"/>
    <w:rsid w:val="00E43335"/>
    <w:rsid w:val="00E45CA1"/>
    <w:rsid w:val="00E478FD"/>
    <w:rsid w:val="00E5155E"/>
    <w:rsid w:val="00E5568D"/>
    <w:rsid w:val="00E57C0C"/>
    <w:rsid w:val="00E60698"/>
    <w:rsid w:val="00E60797"/>
    <w:rsid w:val="00E6609E"/>
    <w:rsid w:val="00E7181F"/>
    <w:rsid w:val="00E72467"/>
    <w:rsid w:val="00E74CEA"/>
    <w:rsid w:val="00E7667E"/>
    <w:rsid w:val="00E76B80"/>
    <w:rsid w:val="00E77E2F"/>
    <w:rsid w:val="00E77E55"/>
    <w:rsid w:val="00E80090"/>
    <w:rsid w:val="00E81859"/>
    <w:rsid w:val="00E8314E"/>
    <w:rsid w:val="00E835D3"/>
    <w:rsid w:val="00E8449E"/>
    <w:rsid w:val="00E847AF"/>
    <w:rsid w:val="00E85A4F"/>
    <w:rsid w:val="00E92C89"/>
    <w:rsid w:val="00E93F66"/>
    <w:rsid w:val="00E94E67"/>
    <w:rsid w:val="00E95D14"/>
    <w:rsid w:val="00E964C4"/>
    <w:rsid w:val="00E969AF"/>
    <w:rsid w:val="00EA0094"/>
    <w:rsid w:val="00EA110D"/>
    <w:rsid w:val="00EA11B6"/>
    <w:rsid w:val="00EA2D94"/>
    <w:rsid w:val="00EA33C1"/>
    <w:rsid w:val="00EA3AD3"/>
    <w:rsid w:val="00EA3BEF"/>
    <w:rsid w:val="00EA3CD3"/>
    <w:rsid w:val="00EA4BF8"/>
    <w:rsid w:val="00EA71E3"/>
    <w:rsid w:val="00EB012F"/>
    <w:rsid w:val="00EB10EE"/>
    <w:rsid w:val="00EB17A1"/>
    <w:rsid w:val="00EB1EFB"/>
    <w:rsid w:val="00EB2C70"/>
    <w:rsid w:val="00EB62BE"/>
    <w:rsid w:val="00EB67BC"/>
    <w:rsid w:val="00EB6866"/>
    <w:rsid w:val="00EB6E2F"/>
    <w:rsid w:val="00EC00CC"/>
    <w:rsid w:val="00EC5EEE"/>
    <w:rsid w:val="00ED06A9"/>
    <w:rsid w:val="00ED0F31"/>
    <w:rsid w:val="00ED2108"/>
    <w:rsid w:val="00ED24B9"/>
    <w:rsid w:val="00ED2D6A"/>
    <w:rsid w:val="00ED3767"/>
    <w:rsid w:val="00ED4124"/>
    <w:rsid w:val="00ED6B41"/>
    <w:rsid w:val="00ED7099"/>
    <w:rsid w:val="00ED7788"/>
    <w:rsid w:val="00ED795E"/>
    <w:rsid w:val="00EE02DB"/>
    <w:rsid w:val="00EE0486"/>
    <w:rsid w:val="00EE21E2"/>
    <w:rsid w:val="00EE223E"/>
    <w:rsid w:val="00EE3B5E"/>
    <w:rsid w:val="00EE5ECD"/>
    <w:rsid w:val="00EE6EA2"/>
    <w:rsid w:val="00EF0622"/>
    <w:rsid w:val="00EF0BE1"/>
    <w:rsid w:val="00EF1213"/>
    <w:rsid w:val="00EF231F"/>
    <w:rsid w:val="00EF2B05"/>
    <w:rsid w:val="00EF3502"/>
    <w:rsid w:val="00EF4832"/>
    <w:rsid w:val="00EF7715"/>
    <w:rsid w:val="00F01BF3"/>
    <w:rsid w:val="00F02057"/>
    <w:rsid w:val="00F023C9"/>
    <w:rsid w:val="00F06C02"/>
    <w:rsid w:val="00F06E3E"/>
    <w:rsid w:val="00F06F44"/>
    <w:rsid w:val="00F0708E"/>
    <w:rsid w:val="00F11E67"/>
    <w:rsid w:val="00F12D0C"/>
    <w:rsid w:val="00F1448B"/>
    <w:rsid w:val="00F16F69"/>
    <w:rsid w:val="00F17BAD"/>
    <w:rsid w:val="00F207A9"/>
    <w:rsid w:val="00F21408"/>
    <w:rsid w:val="00F22B77"/>
    <w:rsid w:val="00F23BE2"/>
    <w:rsid w:val="00F24189"/>
    <w:rsid w:val="00F25422"/>
    <w:rsid w:val="00F254FE"/>
    <w:rsid w:val="00F25A95"/>
    <w:rsid w:val="00F25C3F"/>
    <w:rsid w:val="00F26561"/>
    <w:rsid w:val="00F3033C"/>
    <w:rsid w:val="00F3084A"/>
    <w:rsid w:val="00F33D92"/>
    <w:rsid w:val="00F33E97"/>
    <w:rsid w:val="00F34389"/>
    <w:rsid w:val="00F3728F"/>
    <w:rsid w:val="00F40F77"/>
    <w:rsid w:val="00F45DF7"/>
    <w:rsid w:val="00F469D9"/>
    <w:rsid w:val="00F47116"/>
    <w:rsid w:val="00F4798D"/>
    <w:rsid w:val="00F511BF"/>
    <w:rsid w:val="00F51EBC"/>
    <w:rsid w:val="00F5731C"/>
    <w:rsid w:val="00F60603"/>
    <w:rsid w:val="00F60B64"/>
    <w:rsid w:val="00F60BB5"/>
    <w:rsid w:val="00F60CBE"/>
    <w:rsid w:val="00F61598"/>
    <w:rsid w:val="00F638DE"/>
    <w:rsid w:val="00F63ACB"/>
    <w:rsid w:val="00F64854"/>
    <w:rsid w:val="00F6580D"/>
    <w:rsid w:val="00F65940"/>
    <w:rsid w:val="00F703A9"/>
    <w:rsid w:val="00F706C8"/>
    <w:rsid w:val="00F71B9E"/>
    <w:rsid w:val="00F722B7"/>
    <w:rsid w:val="00F7330C"/>
    <w:rsid w:val="00F738C1"/>
    <w:rsid w:val="00F75131"/>
    <w:rsid w:val="00F7564A"/>
    <w:rsid w:val="00F75CA7"/>
    <w:rsid w:val="00F82604"/>
    <w:rsid w:val="00F82629"/>
    <w:rsid w:val="00F83D39"/>
    <w:rsid w:val="00F84898"/>
    <w:rsid w:val="00F84A92"/>
    <w:rsid w:val="00F87238"/>
    <w:rsid w:val="00F87939"/>
    <w:rsid w:val="00F91021"/>
    <w:rsid w:val="00F919FE"/>
    <w:rsid w:val="00F95342"/>
    <w:rsid w:val="00F959D0"/>
    <w:rsid w:val="00F97247"/>
    <w:rsid w:val="00FA03F5"/>
    <w:rsid w:val="00FA1546"/>
    <w:rsid w:val="00FA287C"/>
    <w:rsid w:val="00FA71FC"/>
    <w:rsid w:val="00FB0311"/>
    <w:rsid w:val="00FB06ED"/>
    <w:rsid w:val="00FB095A"/>
    <w:rsid w:val="00FB0C67"/>
    <w:rsid w:val="00FB15C2"/>
    <w:rsid w:val="00FB1910"/>
    <w:rsid w:val="00FB2860"/>
    <w:rsid w:val="00FB4A80"/>
    <w:rsid w:val="00FB4AD1"/>
    <w:rsid w:val="00FB4DEF"/>
    <w:rsid w:val="00FB5812"/>
    <w:rsid w:val="00FB62D1"/>
    <w:rsid w:val="00FC19D5"/>
    <w:rsid w:val="00FC234D"/>
    <w:rsid w:val="00FC2C37"/>
    <w:rsid w:val="00FC331E"/>
    <w:rsid w:val="00FC47C4"/>
    <w:rsid w:val="00FC4F4C"/>
    <w:rsid w:val="00FC5ED5"/>
    <w:rsid w:val="00FC5FF0"/>
    <w:rsid w:val="00FC67C0"/>
    <w:rsid w:val="00FC7231"/>
    <w:rsid w:val="00FC7248"/>
    <w:rsid w:val="00FD3196"/>
    <w:rsid w:val="00FD5079"/>
    <w:rsid w:val="00FD535D"/>
    <w:rsid w:val="00FD58A6"/>
    <w:rsid w:val="00FD5DE9"/>
    <w:rsid w:val="00FD6105"/>
    <w:rsid w:val="00FD6317"/>
    <w:rsid w:val="00FD71B8"/>
    <w:rsid w:val="00FD7634"/>
    <w:rsid w:val="00FE64AB"/>
    <w:rsid w:val="00FE67FA"/>
    <w:rsid w:val="00FE6D23"/>
    <w:rsid w:val="00FF0116"/>
    <w:rsid w:val="00FF15EE"/>
    <w:rsid w:val="00FF25F5"/>
    <w:rsid w:val="00FF3AEA"/>
    <w:rsid w:val="00FF493F"/>
    <w:rsid w:val="00FF4A22"/>
    <w:rsid w:val="00FF5332"/>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389"/>
    <w:pPr>
      <w:jc w:val="right"/>
    </w:pPr>
    <w:rPr>
      <w:rFonts w:ascii="Times New Roman" w:hAnsi="Times New Roman"/>
    </w:rPr>
  </w:style>
  <w:style w:type="paragraph" w:styleId="1">
    <w:name w:val="heading 1"/>
    <w:basedOn w:val="a0"/>
    <w:next w:val="a0"/>
    <w:link w:val="10"/>
    <w:autoRedefine/>
    <w:qFormat/>
    <w:rsid w:val="002F2397"/>
    <w:pPr>
      <w:keepNext/>
      <w:keepLines/>
      <w:spacing w:after="0"/>
      <w:ind w:left="1222"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2397"/>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0002AD"/>
    <w:pPr>
      <w:tabs>
        <w:tab w:val="right" w:leader="dot" w:pos="9968"/>
      </w:tabs>
      <w:spacing w:after="100"/>
      <w:jc w:val="left"/>
    </w:p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Маркер,Bullet List,FooterText,numbered,Абзац списка нумерованный,Маркированный список 1,Paragraphe de liste1,lp1,Bulletr List Paragraph,Маркированный список_уровень1,Подпись рисунка,Colorful List Accent 1,ТЗ список,ПАРАГРАФ"/>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Маркер Знак,Bullet List Знак,FooterText Знак,numbered Знак,Абзац списка нумерованный Знак,Маркированный список 1 Знак,Paragraphe de liste1 Знак,lp1 Знак,Bulletr List Paragraph Знак,Подпись рисун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numbering" w:customStyle="1" w:styleId="111">
    <w:name w:val="Нет списка11"/>
    <w:next w:val="a3"/>
    <w:uiPriority w:val="99"/>
    <w:semiHidden/>
    <w:unhideWhenUsed/>
    <w:rsid w:val="002973A5"/>
  </w:style>
  <w:style w:type="table" w:styleId="-3">
    <w:name w:val="Light Shading Accent 3"/>
    <w:basedOn w:val="a2"/>
    <w:uiPriority w:val="60"/>
    <w:rsid w:val="002973A5"/>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2973A5"/>
  </w:style>
  <w:style w:type="numbering" w:customStyle="1" w:styleId="1110">
    <w:name w:val="Нет списка111"/>
    <w:next w:val="a3"/>
    <w:uiPriority w:val="99"/>
    <w:semiHidden/>
    <w:unhideWhenUsed/>
    <w:rsid w:val="002973A5"/>
  </w:style>
  <w:style w:type="numbering" w:customStyle="1" w:styleId="1111">
    <w:name w:val="Нет списка1111"/>
    <w:next w:val="a3"/>
    <w:uiPriority w:val="99"/>
    <w:semiHidden/>
    <w:unhideWhenUsed/>
    <w:rsid w:val="002973A5"/>
  </w:style>
  <w:style w:type="table" w:customStyle="1" w:styleId="-151">
    <w:name w:val="Таблица-сетка 1 светлая — акцент 51"/>
    <w:basedOn w:val="a2"/>
    <w:uiPriority w:val="46"/>
    <w:rsid w:val="002973A5"/>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2973A5"/>
  </w:style>
  <w:style w:type="paragraph" w:customStyle="1" w:styleId="font5">
    <w:name w:val="font5"/>
    <w:basedOn w:val="a0"/>
    <w:rsid w:val="002973A5"/>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2973A5"/>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2973A5"/>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2973A5"/>
    <w:pPr>
      <w:spacing w:before="100" w:beforeAutospacing="1" w:after="100" w:afterAutospacing="1" w:line="240" w:lineRule="auto"/>
    </w:pPr>
    <w:rPr>
      <w:rFonts w:eastAsia="Times New Roman"/>
      <w:sz w:val="24"/>
      <w:szCs w:val="24"/>
    </w:rPr>
  </w:style>
  <w:style w:type="paragraph" w:customStyle="1" w:styleId="xl68">
    <w:name w:val="xl6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2973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2973A5"/>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2973A5"/>
    <w:pPr>
      <w:spacing w:before="100" w:beforeAutospacing="1" w:after="100" w:afterAutospacing="1" w:line="240" w:lineRule="auto"/>
    </w:pPr>
    <w:rPr>
      <w:rFonts w:eastAsia="Times New Roman"/>
      <w:sz w:val="20"/>
      <w:szCs w:val="20"/>
    </w:rPr>
  </w:style>
  <w:style w:type="paragraph" w:customStyle="1" w:styleId="xl81">
    <w:name w:val="xl8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2973A5"/>
  </w:style>
  <w:style w:type="paragraph" w:customStyle="1" w:styleId="xl63">
    <w:name w:val="xl6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2973A5"/>
    <w:pPr>
      <w:spacing w:after="200"/>
    </w:pPr>
    <w:rPr>
      <w:rFonts w:eastAsiaTheme="minorHAnsi"/>
      <w:b/>
      <w:bCs/>
      <w:lang w:eastAsia="en-US"/>
    </w:rPr>
  </w:style>
  <w:style w:type="character" w:customStyle="1" w:styleId="afffd">
    <w:name w:val="Тема примечания Знак"/>
    <w:basedOn w:val="afd"/>
    <w:link w:val="afffc"/>
    <w:uiPriority w:val="99"/>
    <w:semiHidden/>
    <w:rsid w:val="002973A5"/>
    <w:rPr>
      <w:rFonts w:ascii="Times New Roman" w:eastAsiaTheme="minorHAnsi" w:hAnsi="Times New Roman" w:cs="Times New Roman"/>
      <w:b/>
      <w:bCs/>
      <w:sz w:val="20"/>
      <w:szCs w:val="20"/>
      <w:lang w:eastAsia="en-US"/>
    </w:rPr>
  </w:style>
  <w:style w:type="paragraph" w:customStyle="1" w:styleId="msonormalmailrucssattributepostfix">
    <w:name w:val="msonormal_mailru_css_attribute_postfix"/>
    <w:basedOn w:val="a0"/>
    <w:rsid w:val="00B20BE2"/>
    <w:pPr>
      <w:spacing w:before="100" w:beforeAutospacing="1" w:after="100" w:afterAutospacing="1" w:line="240" w:lineRule="auto"/>
      <w:jc w:val="left"/>
    </w:pPr>
    <w:rPr>
      <w:rFonts w:eastAsia="Calibri"/>
      <w:sz w:val="24"/>
      <w:szCs w:val="24"/>
    </w:rPr>
  </w:style>
  <w:style w:type="paragraph" w:customStyle="1" w:styleId="font6">
    <w:name w:val="font6"/>
    <w:basedOn w:val="a0"/>
    <w:rsid w:val="00B20BE2"/>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B20BE2"/>
    <w:pPr>
      <w:spacing w:before="100" w:beforeAutospacing="1" w:after="100" w:afterAutospacing="1" w:line="240" w:lineRule="auto"/>
      <w:jc w:val="left"/>
    </w:pPr>
    <w:rPr>
      <w:rFonts w:eastAsia="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389"/>
    <w:pPr>
      <w:jc w:val="right"/>
    </w:pPr>
    <w:rPr>
      <w:rFonts w:ascii="Times New Roman" w:hAnsi="Times New Roman"/>
    </w:rPr>
  </w:style>
  <w:style w:type="paragraph" w:styleId="1">
    <w:name w:val="heading 1"/>
    <w:basedOn w:val="a0"/>
    <w:next w:val="a0"/>
    <w:link w:val="10"/>
    <w:autoRedefine/>
    <w:qFormat/>
    <w:rsid w:val="002F2397"/>
    <w:pPr>
      <w:keepNext/>
      <w:keepLines/>
      <w:spacing w:after="0"/>
      <w:ind w:left="1222"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2397"/>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0002AD"/>
    <w:pPr>
      <w:tabs>
        <w:tab w:val="right" w:leader="dot" w:pos="9968"/>
      </w:tabs>
      <w:spacing w:after="100"/>
      <w:jc w:val="left"/>
    </w:p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Маркер,Bullet List,FooterText,numbered,Абзац списка нумерованный,Маркированный список 1,Paragraphe de liste1,lp1,Bulletr List Paragraph,Маркированный список_уровень1,Подпись рисунка,Colorful List Accent 1,ТЗ список,ПАРАГРАФ"/>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Маркер Знак,Bullet List Знак,FooterText Знак,numbered Знак,Абзац списка нумерованный Знак,Маркированный список 1 Знак,Paragraphe de liste1 Знак,lp1 Знак,Bulletr List Paragraph Знак,Подпись рисун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numbering" w:customStyle="1" w:styleId="111">
    <w:name w:val="Нет списка11"/>
    <w:next w:val="a3"/>
    <w:uiPriority w:val="99"/>
    <w:semiHidden/>
    <w:unhideWhenUsed/>
    <w:rsid w:val="002973A5"/>
  </w:style>
  <w:style w:type="table" w:styleId="-3">
    <w:name w:val="Light Shading Accent 3"/>
    <w:basedOn w:val="a2"/>
    <w:uiPriority w:val="60"/>
    <w:rsid w:val="002973A5"/>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2973A5"/>
  </w:style>
  <w:style w:type="numbering" w:customStyle="1" w:styleId="1110">
    <w:name w:val="Нет списка111"/>
    <w:next w:val="a3"/>
    <w:uiPriority w:val="99"/>
    <w:semiHidden/>
    <w:unhideWhenUsed/>
    <w:rsid w:val="002973A5"/>
  </w:style>
  <w:style w:type="numbering" w:customStyle="1" w:styleId="1111">
    <w:name w:val="Нет списка1111"/>
    <w:next w:val="a3"/>
    <w:uiPriority w:val="99"/>
    <w:semiHidden/>
    <w:unhideWhenUsed/>
    <w:rsid w:val="002973A5"/>
  </w:style>
  <w:style w:type="table" w:customStyle="1" w:styleId="-151">
    <w:name w:val="Таблица-сетка 1 светлая — акцент 51"/>
    <w:basedOn w:val="a2"/>
    <w:uiPriority w:val="46"/>
    <w:rsid w:val="002973A5"/>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2973A5"/>
  </w:style>
  <w:style w:type="paragraph" w:customStyle="1" w:styleId="font5">
    <w:name w:val="font5"/>
    <w:basedOn w:val="a0"/>
    <w:rsid w:val="002973A5"/>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2973A5"/>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2973A5"/>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2973A5"/>
    <w:pPr>
      <w:spacing w:before="100" w:beforeAutospacing="1" w:after="100" w:afterAutospacing="1" w:line="240" w:lineRule="auto"/>
    </w:pPr>
    <w:rPr>
      <w:rFonts w:eastAsia="Times New Roman"/>
      <w:sz w:val="24"/>
      <w:szCs w:val="24"/>
    </w:rPr>
  </w:style>
  <w:style w:type="paragraph" w:customStyle="1" w:styleId="xl68">
    <w:name w:val="xl6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2973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2973A5"/>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2973A5"/>
    <w:pPr>
      <w:spacing w:before="100" w:beforeAutospacing="1" w:after="100" w:afterAutospacing="1" w:line="240" w:lineRule="auto"/>
    </w:pPr>
    <w:rPr>
      <w:rFonts w:eastAsia="Times New Roman"/>
      <w:sz w:val="20"/>
      <w:szCs w:val="20"/>
    </w:rPr>
  </w:style>
  <w:style w:type="paragraph" w:customStyle="1" w:styleId="xl81">
    <w:name w:val="xl8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2973A5"/>
  </w:style>
  <w:style w:type="paragraph" w:customStyle="1" w:styleId="xl63">
    <w:name w:val="xl6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2973A5"/>
    <w:pPr>
      <w:spacing w:after="200"/>
    </w:pPr>
    <w:rPr>
      <w:rFonts w:eastAsiaTheme="minorHAnsi"/>
      <w:b/>
      <w:bCs/>
      <w:lang w:eastAsia="en-US"/>
    </w:rPr>
  </w:style>
  <w:style w:type="character" w:customStyle="1" w:styleId="afffd">
    <w:name w:val="Тема примечания Знак"/>
    <w:basedOn w:val="afd"/>
    <w:link w:val="afffc"/>
    <w:uiPriority w:val="99"/>
    <w:semiHidden/>
    <w:rsid w:val="002973A5"/>
    <w:rPr>
      <w:rFonts w:ascii="Times New Roman" w:eastAsiaTheme="minorHAnsi" w:hAnsi="Times New Roman" w:cs="Times New Roman"/>
      <w:b/>
      <w:bCs/>
      <w:sz w:val="20"/>
      <w:szCs w:val="20"/>
      <w:lang w:eastAsia="en-US"/>
    </w:rPr>
  </w:style>
  <w:style w:type="paragraph" w:customStyle="1" w:styleId="msonormalmailrucssattributepostfix">
    <w:name w:val="msonormal_mailru_css_attribute_postfix"/>
    <w:basedOn w:val="a0"/>
    <w:rsid w:val="00B20BE2"/>
    <w:pPr>
      <w:spacing w:before="100" w:beforeAutospacing="1" w:after="100" w:afterAutospacing="1" w:line="240" w:lineRule="auto"/>
      <w:jc w:val="left"/>
    </w:pPr>
    <w:rPr>
      <w:rFonts w:eastAsia="Calibri"/>
      <w:sz w:val="24"/>
      <w:szCs w:val="24"/>
    </w:rPr>
  </w:style>
  <w:style w:type="paragraph" w:customStyle="1" w:styleId="font6">
    <w:name w:val="font6"/>
    <w:basedOn w:val="a0"/>
    <w:rsid w:val="00B20BE2"/>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B20BE2"/>
    <w:pPr>
      <w:spacing w:before="100" w:beforeAutospacing="1" w:after="100" w:afterAutospacing="1" w:line="240" w:lineRule="auto"/>
      <w:jc w:val="left"/>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1740">
      <w:bodyDiv w:val="1"/>
      <w:marLeft w:val="0"/>
      <w:marRight w:val="0"/>
      <w:marTop w:val="0"/>
      <w:marBottom w:val="0"/>
      <w:divBdr>
        <w:top w:val="none" w:sz="0" w:space="0" w:color="auto"/>
        <w:left w:val="none" w:sz="0" w:space="0" w:color="auto"/>
        <w:bottom w:val="none" w:sz="0" w:space="0" w:color="auto"/>
        <w:right w:val="none" w:sz="0" w:space="0" w:color="auto"/>
      </w:divBdr>
    </w:div>
    <w:div w:id="194274418">
      <w:bodyDiv w:val="1"/>
      <w:marLeft w:val="0"/>
      <w:marRight w:val="0"/>
      <w:marTop w:val="0"/>
      <w:marBottom w:val="0"/>
      <w:divBdr>
        <w:top w:val="none" w:sz="0" w:space="0" w:color="auto"/>
        <w:left w:val="none" w:sz="0" w:space="0" w:color="auto"/>
        <w:bottom w:val="none" w:sz="0" w:space="0" w:color="auto"/>
        <w:right w:val="none" w:sz="0" w:space="0" w:color="auto"/>
      </w:divBdr>
    </w:div>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539173418">
      <w:bodyDiv w:val="1"/>
      <w:marLeft w:val="0"/>
      <w:marRight w:val="0"/>
      <w:marTop w:val="0"/>
      <w:marBottom w:val="0"/>
      <w:divBdr>
        <w:top w:val="none" w:sz="0" w:space="0" w:color="auto"/>
        <w:left w:val="none" w:sz="0" w:space="0" w:color="auto"/>
        <w:bottom w:val="none" w:sz="0" w:space="0" w:color="auto"/>
        <w:right w:val="none" w:sz="0" w:space="0" w:color="auto"/>
      </w:divBdr>
    </w:div>
    <w:div w:id="557712891">
      <w:bodyDiv w:val="1"/>
      <w:marLeft w:val="0"/>
      <w:marRight w:val="0"/>
      <w:marTop w:val="0"/>
      <w:marBottom w:val="0"/>
      <w:divBdr>
        <w:top w:val="none" w:sz="0" w:space="0" w:color="auto"/>
        <w:left w:val="none" w:sz="0" w:space="0" w:color="auto"/>
        <w:bottom w:val="none" w:sz="0" w:space="0" w:color="auto"/>
        <w:right w:val="none" w:sz="0" w:space="0" w:color="auto"/>
      </w:divBdr>
    </w:div>
    <w:div w:id="598029981">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685331065">
      <w:bodyDiv w:val="1"/>
      <w:marLeft w:val="0"/>
      <w:marRight w:val="0"/>
      <w:marTop w:val="0"/>
      <w:marBottom w:val="0"/>
      <w:divBdr>
        <w:top w:val="none" w:sz="0" w:space="0" w:color="auto"/>
        <w:left w:val="none" w:sz="0" w:space="0" w:color="auto"/>
        <w:bottom w:val="none" w:sz="0" w:space="0" w:color="auto"/>
        <w:right w:val="none" w:sz="0" w:space="0" w:color="auto"/>
      </w:divBdr>
    </w:div>
    <w:div w:id="772938676">
      <w:bodyDiv w:val="1"/>
      <w:marLeft w:val="0"/>
      <w:marRight w:val="0"/>
      <w:marTop w:val="0"/>
      <w:marBottom w:val="0"/>
      <w:divBdr>
        <w:top w:val="none" w:sz="0" w:space="0" w:color="auto"/>
        <w:left w:val="none" w:sz="0" w:space="0" w:color="auto"/>
        <w:bottom w:val="none" w:sz="0" w:space="0" w:color="auto"/>
        <w:right w:val="none" w:sz="0" w:space="0" w:color="auto"/>
      </w:divBdr>
    </w:div>
    <w:div w:id="867527453">
      <w:bodyDiv w:val="1"/>
      <w:marLeft w:val="0"/>
      <w:marRight w:val="0"/>
      <w:marTop w:val="0"/>
      <w:marBottom w:val="0"/>
      <w:divBdr>
        <w:top w:val="none" w:sz="0" w:space="0" w:color="auto"/>
        <w:left w:val="none" w:sz="0" w:space="0" w:color="auto"/>
        <w:bottom w:val="none" w:sz="0" w:space="0" w:color="auto"/>
        <w:right w:val="none" w:sz="0" w:space="0" w:color="auto"/>
      </w:divBdr>
    </w:div>
    <w:div w:id="877741584">
      <w:bodyDiv w:val="1"/>
      <w:marLeft w:val="0"/>
      <w:marRight w:val="0"/>
      <w:marTop w:val="0"/>
      <w:marBottom w:val="0"/>
      <w:divBdr>
        <w:top w:val="none" w:sz="0" w:space="0" w:color="auto"/>
        <w:left w:val="none" w:sz="0" w:space="0" w:color="auto"/>
        <w:bottom w:val="none" w:sz="0" w:space="0" w:color="auto"/>
        <w:right w:val="none" w:sz="0" w:space="0" w:color="auto"/>
      </w:divBdr>
    </w:div>
    <w:div w:id="1029138404">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185362155">
      <w:bodyDiv w:val="1"/>
      <w:marLeft w:val="0"/>
      <w:marRight w:val="0"/>
      <w:marTop w:val="0"/>
      <w:marBottom w:val="0"/>
      <w:divBdr>
        <w:top w:val="none" w:sz="0" w:space="0" w:color="auto"/>
        <w:left w:val="none" w:sz="0" w:space="0" w:color="auto"/>
        <w:bottom w:val="none" w:sz="0" w:space="0" w:color="auto"/>
        <w:right w:val="none" w:sz="0" w:space="0" w:color="auto"/>
      </w:divBdr>
    </w:div>
    <w:div w:id="1198815308">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403940608">
      <w:bodyDiv w:val="1"/>
      <w:marLeft w:val="0"/>
      <w:marRight w:val="0"/>
      <w:marTop w:val="0"/>
      <w:marBottom w:val="0"/>
      <w:divBdr>
        <w:top w:val="none" w:sz="0" w:space="0" w:color="auto"/>
        <w:left w:val="none" w:sz="0" w:space="0" w:color="auto"/>
        <w:bottom w:val="none" w:sz="0" w:space="0" w:color="auto"/>
        <w:right w:val="none" w:sz="0" w:space="0" w:color="auto"/>
      </w:divBdr>
    </w:div>
    <w:div w:id="1411924244">
      <w:bodyDiv w:val="1"/>
      <w:marLeft w:val="0"/>
      <w:marRight w:val="0"/>
      <w:marTop w:val="0"/>
      <w:marBottom w:val="0"/>
      <w:divBdr>
        <w:top w:val="none" w:sz="0" w:space="0" w:color="auto"/>
        <w:left w:val="none" w:sz="0" w:space="0" w:color="auto"/>
        <w:bottom w:val="none" w:sz="0" w:space="0" w:color="auto"/>
        <w:right w:val="none" w:sz="0" w:space="0" w:color="auto"/>
      </w:divBdr>
    </w:div>
    <w:div w:id="1420179142">
      <w:bodyDiv w:val="1"/>
      <w:marLeft w:val="0"/>
      <w:marRight w:val="0"/>
      <w:marTop w:val="0"/>
      <w:marBottom w:val="0"/>
      <w:divBdr>
        <w:top w:val="none" w:sz="0" w:space="0" w:color="auto"/>
        <w:left w:val="none" w:sz="0" w:space="0" w:color="auto"/>
        <w:bottom w:val="none" w:sz="0" w:space="0" w:color="auto"/>
        <w:right w:val="none" w:sz="0" w:space="0" w:color="auto"/>
      </w:divBdr>
    </w:div>
    <w:div w:id="1447889063">
      <w:bodyDiv w:val="1"/>
      <w:marLeft w:val="0"/>
      <w:marRight w:val="0"/>
      <w:marTop w:val="0"/>
      <w:marBottom w:val="0"/>
      <w:divBdr>
        <w:top w:val="none" w:sz="0" w:space="0" w:color="auto"/>
        <w:left w:val="none" w:sz="0" w:space="0" w:color="auto"/>
        <w:bottom w:val="none" w:sz="0" w:space="0" w:color="auto"/>
        <w:right w:val="none" w:sz="0" w:space="0" w:color="auto"/>
      </w:divBdr>
    </w:div>
    <w:div w:id="1459488145">
      <w:bodyDiv w:val="1"/>
      <w:marLeft w:val="0"/>
      <w:marRight w:val="0"/>
      <w:marTop w:val="0"/>
      <w:marBottom w:val="0"/>
      <w:divBdr>
        <w:top w:val="none" w:sz="0" w:space="0" w:color="auto"/>
        <w:left w:val="none" w:sz="0" w:space="0" w:color="auto"/>
        <w:bottom w:val="none" w:sz="0" w:space="0" w:color="auto"/>
        <w:right w:val="none" w:sz="0" w:space="0" w:color="auto"/>
      </w:divBdr>
    </w:div>
    <w:div w:id="1542355182">
      <w:bodyDiv w:val="1"/>
      <w:marLeft w:val="0"/>
      <w:marRight w:val="0"/>
      <w:marTop w:val="0"/>
      <w:marBottom w:val="0"/>
      <w:divBdr>
        <w:top w:val="none" w:sz="0" w:space="0" w:color="auto"/>
        <w:left w:val="none" w:sz="0" w:space="0" w:color="auto"/>
        <w:bottom w:val="none" w:sz="0" w:space="0" w:color="auto"/>
        <w:right w:val="none" w:sz="0" w:space="0" w:color="auto"/>
      </w:divBdr>
    </w:div>
    <w:div w:id="1653481179">
      <w:bodyDiv w:val="1"/>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885942726">
      <w:bodyDiv w:val="1"/>
      <w:marLeft w:val="0"/>
      <w:marRight w:val="0"/>
      <w:marTop w:val="0"/>
      <w:marBottom w:val="0"/>
      <w:divBdr>
        <w:top w:val="none" w:sz="0" w:space="0" w:color="auto"/>
        <w:left w:val="none" w:sz="0" w:space="0" w:color="auto"/>
        <w:bottom w:val="none" w:sz="0" w:space="0" w:color="auto"/>
        <w:right w:val="none" w:sz="0" w:space="0" w:color="auto"/>
      </w:divBdr>
    </w:div>
    <w:div w:id="1940064477">
      <w:bodyDiv w:val="1"/>
      <w:marLeft w:val="0"/>
      <w:marRight w:val="0"/>
      <w:marTop w:val="0"/>
      <w:marBottom w:val="0"/>
      <w:divBdr>
        <w:top w:val="none" w:sz="0" w:space="0" w:color="auto"/>
        <w:left w:val="none" w:sz="0" w:space="0" w:color="auto"/>
        <w:bottom w:val="none" w:sz="0" w:space="0" w:color="auto"/>
        <w:right w:val="none" w:sz="0" w:space="0" w:color="auto"/>
      </w:divBdr>
    </w:div>
    <w:div w:id="19588300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 w:id="2026440544">
      <w:bodyDiv w:val="1"/>
      <w:marLeft w:val="0"/>
      <w:marRight w:val="0"/>
      <w:marTop w:val="0"/>
      <w:marBottom w:val="0"/>
      <w:divBdr>
        <w:top w:val="none" w:sz="0" w:space="0" w:color="auto"/>
        <w:left w:val="none" w:sz="0" w:space="0" w:color="auto"/>
        <w:bottom w:val="none" w:sz="0" w:space="0" w:color="auto"/>
        <w:right w:val="none" w:sz="0" w:space="0" w:color="auto"/>
      </w:divBdr>
    </w:div>
    <w:div w:id="20577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8091937204751611E-2"/>
          <c:y val="0.11838383668997585"/>
          <c:w val="0.93888888888889255"/>
          <c:h val="0.55425373250267995"/>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'Обпеспечение град.деят. 2018'!$B$8:$D$8</c:f>
              <c:strCache>
                <c:ptCount val="3"/>
                <c:pt idx="0">
                  <c:v>2021 год (исполнено)</c:v>
                </c:pt>
                <c:pt idx="1">
                  <c:v>2022 год (плановые назначения)</c:v>
                </c:pt>
                <c:pt idx="2">
                  <c:v>2022 (исполнено)</c:v>
                </c:pt>
              </c:strCache>
            </c:strRef>
          </c:cat>
          <c:val>
            <c:numRef>
              <c:f>'Обпеспечение град.деят. 2018'!$B$9:$D$9</c:f>
              <c:numCache>
                <c:formatCode>#\ ##0.0_ ;[Red]\-#\ ##0.0\ </c:formatCode>
                <c:ptCount val="3"/>
                <c:pt idx="0">
                  <c:v>154554.29999999999</c:v>
                </c:pt>
                <c:pt idx="1">
                  <c:v>163873.60000000001</c:v>
                </c:pt>
                <c:pt idx="2">
                  <c:v>161635.5</c:v>
                </c:pt>
              </c:numCache>
            </c:numRef>
          </c:val>
        </c:ser>
        <c:dLbls>
          <c:showLegendKey val="0"/>
          <c:showVal val="0"/>
          <c:showCatName val="0"/>
          <c:showSerName val="0"/>
          <c:showPercent val="0"/>
          <c:showBubbleSize val="0"/>
        </c:dLbls>
        <c:gapWidth val="219"/>
        <c:overlap val="-27"/>
        <c:axId val="152966272"/>
        <c:axId val="152995712"/>
      </c:barChart>
      <c:catAx>
        <c:axId val="15296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2995712"/>
        <c:crosses val="autoZero"/>
        <c:auto val="1"/>
        <c:lblAlgn val="ctr"/>
        <c:lblOffset val="100"/>
        <c:noMultiLvlLbl val="0"/>
      </c:catAx>
      <c:valAx>
        <c:axId val="152995712"/>
        <c:scaling>
          <c:orientation val="minMax"/>
        </c:scaling>
        <c:delete val="1"/>
        <c:axPos val="l"/>
        <c:numFmt formatCode="#\ ##0.0_ ;[Red]\-#\ ##0.0\ " sourceLinked="1"/>
        <c:majorTickMark val="none"/>
        <c:minorTickMark val="none"/>
        <c:tickLblPos val="none"/>
        <c:crossAx val="1529662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1444334682392756"/>
          <c:y val="0"/>
          <c:w val="0.48555665317607238"/>
          <c:h val="0.87667103504629706"/>
        </c:manualLayout>
      </c:layout>
      <c:barChart>
        <c:barDir val="bar"/>
        <c:grouping val="clustered"/>
        <c:varyColors val="0"/>
        <c:ser>
          <c:idx val="0"/>
          <c:order val="0"/>
          <c:tx>
            <c:strRef>
              <c:f>'Обпеспечение град.деят. 2021'!$B$1</c:f>
              <c:strCache>
                <c:ptCount val="1"/>
                <c:pt idx="0">
                  <c:v>2021 год (исполнено)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'Обпеспечение град.деят. 2021'!$A$2:$A$6</c:f>
              <c:strCache>
                <c:ptCount val="3"/>
                <c:pt idx="0">
                  <c:v>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c:v>
                </c:pt>
                <c:pt idx="1">
                  <c:v>Обеспечение деятельности Департамента градостроительства и архитектуры Администрации города Ханты-Мансийска и подведомственного ему учреждения</c:v>
                </c:pt>
                <c:pt idx="2">
                  <c:v>Проведение экспертиз зданий и сооружений</c:v>
                </c:pt>
              </c:strCache>
            </c:strRef>
          </c:cat>
          <c:val>
            <c:numRef>
              <c:f>'Обпеспечение град.деят. 2021'!$B$2:$B$6</c:f>
              <c:numCache>
                <c:formatCode>#\ ##0.0;[Red]\-#\ ##0.0;0.0</c:formatCode>
                <c:ptCount val="3"/>
                <c:pt idx="0">
                  <c:v>1200</c:v>
                </c:pt>
                <c:pt idx="1">
                  <c:v>152754.29999999999</c:v>
                </c:pt>
                <c:pt idx="2">
                  <c:v>600</c:v>
                </c:pt>
              </c:numCache>
            </c:numRef>
          </c:val>
        </c:ser>
        <c:ser>
          <c:idx val="1"/>
          <c:order val="1"/>
          <c:tx>
            <c:strRef>
              <c:f>'Обпеспечение град.деят. 2021'!$C$1</c:f>
              <c:strCache>
                <c:ptCount val="1"/>
                <c:pt idx="0">
                  <c:v>2022 год (плановые назначения)</c:v>
                </c:pt>
              </c:strCache>
            </c:strRef>
          </c:tx>
          <c:spPr>
            <a:solidFill>
              <a:schemeClr val="accent2"/>
            </a:solidFill>
            <a:ln>
              <a:noFill/>
            </a:ln>
            <a:effectLst/>
          </c:spPr>
          <c:invertIfNegative val="0"/>
          <c:dLbls>
            <c:dLbl>
              <c:idx val="0"/>
              <c:tx>
                <c:rich>
                  <a:bodyPr/>
                  <a:lstStyle/>
                  <a:p>
                    <a:fld id="{456B1E99-5064-4964-A8A0-09C738B94D62}"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1"/>
              <c:tx>
                <c:rich>
                  <a:bodyPr/>
                  <a:lstStyle/>
                  <a:p>
                    <a:fld id="{F9E1D5DB-D2E2-4F1E-A58C-EAA8644F9440}" type="VALUE">
                      <a:rPr lang="en-US" baseline="0"/>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1"/>
                </c:ext>
              </c:extLst>
            </c:dLbl>
            <c:dLbl>
              <c:idx val="2"/>
              <c:tx>
                <c:rich>
                  <a:bodyPr/>
                  <a:lstStyle/>
                  <a:p>
                    <a:fld id="{1F19F829-8A85-4E5D-B32F-49E0A0F0F83C}"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'Обпеспечение град.деят. 2021'!$A$2:$A$6</c:f>
              <c:strCache>
                <c:ptCount val="3"/>
                <c:pt idx="0">
                  <c:v>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c:v>
                </c:pt>
                <c:pt idx="1">
                  <c:v>Обеспечение деятельности Департамента градостроительства и архитектуры Администрации города Ханты-Мансийска и подведомственного ему учреждения</c:v>
                </c:pt>
                <c:pt idx="2">
                  <c:v>Проведение экспертиз зданий и сооружений</c:v>
                </c:pt>
              </c:strCache>
            </c:strRef>
          </c:cat>
          <c:val>
            <c:numRef>
              <c:f>'Обпеспечение град.деят. 2021'!$C$2:$C$6</c:f>
              <c:numCache>
                <c:formatCode>#\ ##0.0;[Red]\-#\ ##0.0;0.0</c:formatCode>
                <c:ptCount val="3"/>
                <c:pt idx="0">
                  <c:v>1101.5</c:v>
                </c:pt>
                <c:pt idx="1">
                  <c:v>162122.1</c:v>
                </c:pt>
                <c:pt idx="2">
                  <c:v>650</c:v>
                </c:pt>
              </c:numCache>
            </c:numRef>
          </c:val>
          <c:extLst>
            <c:ext xmlns:c15="http://schemas.microsoft.com/office/drawing/2012/chart" uri="{02D57815-91ED-43cb-92C2-25804820EDAC}">
              <c15:datalabelsRange>
                <c15:f>'Обпеспечение град.деят. 2021'!$C$2:$C$6</c15:f>
                <c15:dlblRangeCache>
                  <c:ptCount val="3"/>
                  <c:pt idx="0">
                    <c:v>1 101,5</c:v>
                  </c:pt>
                  <c:pt idx="1">
                    <c:v>162 122,1</c:v>
                  </c:pt>
                  <c:pt idx="2">
                    <c:v>650,0</c:v>
                  </c:pt>
                </c15:dlblRangeCache>
              </c15:datalabelsRange>
            </c:ext>
          </c:extLst>
        </c:ser>
        <c:ser>
          <c:idx val="2"/>
          <c:order val="2"/>
          <c:tx>
            <c:strRef>
              <c:f>'Обпеспечение град.деят. 2021'!$D$1</c:f>
              <c:strCache>
                <c:ptCount val="1"/>
                <c:pt idx="0">
                  <c:v>2022 (исполнено)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'Обпеспечение град.деят. 2021'!$A$2:$A$6</c:f>
              <c:strCache>
                <c:ptCount val="3"/>
                <c:pt idx="0">
                  <c:v>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c:v>
                </c:pt>
                <c:pt idx="1">
                  <c:v>Обеспечение деятельности Департамента градостроительства и архитектуры Администрации города Ханты-Мансийска и подведомственного ему учреждения</c:v>
                </c:pt>
                <c:pt idx="2">
                  <c:v>Проведение экспертиз зданий и сооружений</c:v>
                </c:pt>
              </c:strCache>
            </c:strRef>
          </c:cat>
          <c:val>
            <c:numRef>
              <c:f>'Обпеспечение град.деят. 2021'!$D$2:$D$6</c:f>
              <c:numCache>
                <c:formatCode>#\ ##0.0;[Red]\-#\ ##0.0;0.0</c:formatCode>
                <c:ptCount val="3"/>
                <c:pt idx="0">
                  <c:v>496.5</c:v>
                </c:pt>
                <c:pt idx="1">
                  <c:v>160489</c:v>
                </c:pt>
                <c:pt idx="2">
                  <c:v>650</c:v>
                </c:pt>
              </c:numCache>
            </c:numRef>
          </c:val>
        </c:ser>
        <c:dLbls>
          <c:showLegendKey val="0"/>
          <c:showVal val="0"/>
          <c:showCatName val="0"/>
          <c:showSerName val="0"/>
          <c:showPercent val="0"/>
          <c:showBubbleSize val="0"/>
        </c:dLbls>
        <c:gapWidth val="182"/>
        <c:axId val="157513216"/>
        <c:axId val="157545984"/>
      </c:barChart>
      <c:catAx>
        <c:axId val="157513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7545984"/>
        <c:crosses val="autoZero"/>
        <c:auto val="1"/>
        <c:lblAlgn val="ctr"/>
        <c:lblOffset val="100"/>
        <c:noMultiLvlLbl val="0"/>
      </c:catAx>
      <c:valAx>
        <c:axId val="157545984"/>
        <c:scaling>
          <c:orientation val="minMax"/>
        </c:scaling>
        <c:delete val="1"/>
        <c:axPos val="b"/>
        <c:numFmt formatCode="#\ ##0.0;[Red]\-#\ ##0.0;0.0" sourceLinked="1"/>
        <c:majorTickMark val="none"/>
        <c:minorTickMark val="none"/>
        <c:tickLblPos val="none"/>
        <c:crossAx val="15751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B87676-D38B-4BB5-94EC-2AB52092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1289</Words>
  <Characters>7350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2018 год</dc:subject>
  <dc:creator>snisarenko</dc:creator>
  <cp:lastModifiedBy>Серебренникова Елена Геннадьевна</cp:lastModifiedBy>
  <cp:revision>2</cp:revision>
  <cp:lastPrinted>2023-03-31T07:21:00Z</cp:lastPrinted>
  <dcterms:created xsi:type="dcterms:W3CDTF">2023-04-10T12:12:00Z</dcterms:created>
  <dcterms:modified xsi:type="dcterms:W3CDTF">2023-04-10T12:12:00Z</dcterms:modified>
</cp:coreProperties>
</file>