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EE" w:rsidRPr="006C24A1" w:rsidRDefault="004649EE" w:rsidP="004649EE">
      <w:pPr>
        <w:keepNext/>
        <w:keepLines/>
        <w:spacing w:after="0" w:line="240" w:lineRule="auto"/>
        <w:ind w:right="424"/>
        <w:jc w:val="center"/>
        <w:outlineLvl w:val="0"/>
        <w:rPr>
          <w:rFonts w:eastAsiaTheme="majorEastAsia"/>
          <w:b/>
          <w:bCs/>
          <w:color w:val="C45911" w:themeColor="accent2" w:themeShade="BF"/>
          <w:sz w:val="32"/>
          <w:szCs w:val="32"/>
        </w:rPr>
      </w:pPr>
      <w:bookmarkStart w:id="0" w:name="_Toc192253443"/>
      <w:bookmarkStart w:id="1" w:name="_GoBack"/>
      <w:bookmarkEnd w:id="1"/>
      <w:r w:rsidRPr="004649EE">
        <w:rPr>
          <w:rFonts w:eastAsiaTheme="majorEastAsia"/>
          <w:b/>
          <w:bCs/>
          <w:color w:val="C45911" w:themeColor="accent2" w:themeShade="BF"/>
          <w:sz w:val="32"/>
          <w:szCs w:val="32"/>
        </w:rPr>
        <w:t>Муниципальная</w:t>
      </w:r>
      <w:r w:rsidRPr="006C24A1">
        <w:rPr>
          <w:rFonts w:eastAsiaTheme="majorEastAsia"/>
          <w:b/>
          <w:bCs/>
          <w:color w:val="C45911" w:themeColor="accent2" w:themeShade="BF"/>
          <w:sz w:val="32"/>
          <w:szCs w:val="32"/>
        </w:rPr>
        <w:t xml:space="preserve"> программа </w:t>
      </w:r>
      <w:bookmarkStart w:id="2" w:name="_Toc131164290"/>
      <w:r w:rsidRPr="006C24A1">
        <w:rPr>
          <w:rFonts w:eastAsiaTheme="majorEastAsia"/>
          <w:b/>
          <w:bCs/>
          <w:color w:val="C45911" w:themeColor="accent2" w:themeShade="BF"/>
          <w:sz w:val="32"/>
          <w:szCs w:val="32"/>
        </w:rPr>
        <w:t>«Развитие отдельных секторов экономики города</w:t>
      </w:r>
      <w:bookmarkEnd w:id="2"/>
      <w:r w:rsidRPr="006C24A1">
        <w:rPr>
          <w:rFonts w:eastAsiaTheme="majorEastAsia"/>
          <w:b/>
          <w:bCs/>
          <w:color w:val="C45911" w:themeColor="accent2" w:themeShade="BF"/>
          <w:sz w:val="32"/>
          <w:szCs w:val="32"/>
        </w:rPr>
        <w:t xml:space="preserve"> </w:t>
      </w:r>
      <w:bookmarkStart w:id="3" w:name="_Toc131164291"/>
      <w:r w:rsidRPr="006C24A1">
        <w:rPr>
          <w:rFonts w:eastAsiaTheme="majorEastAsia"/>
          <w:b/>
          <w:bCs/>
          <w:color w:val="C45911" w:themeColor="accent2" w:themeShade="BF"/>
          <w:sz w:val="32"/>
          <w:szCs w:val="32"/>
        </w:rPr>
        <w:t>Ханты-Мансийска»</w:t>
      </w:r>
      <w:bookmarkEnd w:id="0"/>
      <w:bookmarkEnd w:id="3"/>
    </w:p>
    <w:p w:rsidR="004649EE" w:rsidRPr="006C24A1" w:rsidRDefault="004649EE" w:rsidP="004649EE">
      <w:pPr>
        <w:spacing w:after="0"/>
        <w:ind w:right="424" w:firstLine="709"/>
        <w:jc w:val="both"/>
        <w:rPr>
          <w:color w:val="000000"/>
          <w:sz w:val="28"/>
          <w:szCs w:val="28"/>
        </w:rPr>
      </w:pPr>
    </w:p>
    <w:p w:rsidR="004649EE" w:rsidRPr="006C24A1" w:rsidRDefault="004649EE" w:rsidP="004649EE">
      <w:pPr>
        <w:spacing w:after="0"/>
        <w:ind w:right="-1" w:firstLine="709"/>
        <w:jc w:val="both"/>
        <w:rPr>
          <w:sz w:val="28"/>
          <w:szCs w:val="28"/>
        </w:rPr>
      </w:pPr>
      <w:r w:rsidRPr="006C24A1">
        <w:rPr>
          <w:sz w:val="28"/>
          <w:szCs w:val="28"/>
        </w:rPr>
        <w:t xml:space="preserve">Муниципальная программа утверждена постановлением Администрации города Ханты-Мансийска от 30.12.2015 № 1514 «О муниципальной программе «Развитие отдельных секторов экономики города Ханты-Мансийска». </w:t>
      </w:r>
    </w:p>
    <w:p w:rsidR="004649EE" w:rsidRPr="00DE1E1D" w:rsidRDefault="004649EE" w:rsidP="004649EE">
      <w:pPr>
        <w:autoSpaceDE w:val="0"/>
        <w:autoSpaceDN w:val="0"/>
        <w:adjustRightInd w:val="0"/>
        <w:spacing w:after="0"/>
        <w:ind w:right="-2" w:firstLine="708"/>
        <w:jc w:val="both"/>
        <w:rPr>
          <w:sz w:val="28"/>
          <w:szCs w:val="28"/>
        </w:rPr>
      </w:pPr>
      <w:r w:rsidRPr="00DE1E1D">
        <w:rPr>
          <w:sz w:val="28"/>
          <w:szCs w:val="28"/>
        </w:rPr>
        <w:t xml:space="preserve">Общий объем финансирования на 2024 год составляет </w:t>
      </w:r>
      <w:r>
        <w:rPr>
          <w:sz w:val="28"/>
          <w:szCs w:val="28"/>
        </w:rPr>
        <w:t>69 751,5</w:t>
      </w:r>
      <w:r w:rsidRPr="00DE1E1D">
        <w:rPr>
          <w:sz w:val="28"/>
          <w:szCs w:val="28"/>
        </w:rPr>
        <w:t xml:space="preserve"> тыс. рублей. </w:t>
      </w:r>
    </w:p>
    <w:p w:rsidR="004649EE" w:rsidRPr="00DE1E1D" w:rsidRDefault="004649EE" w:rsidP="004649EE">
      <w:pPr>
        <w:autoSpaceDE w:val="0"/>
        <w:autoSpaceDN w:val="0"/>
        <w:adjustRightInd w:val="0"/>
        <w:spacing w:after="0"/>
        <w:ind w:right="-2" w:firstLine="708"/>
        <w:jc w:val="both"/>
        <w:rPr>
          <w:sz w:val="28"/>
          <w:szCs w:val="28"/>
        </w:rPr>
      </w:pPr>
      <w:r w:rsidRPr="00DE1E1D">
        <w:rPr>
          <w:sz w:val="28"/>
          <w:szCs w:val="28"/>
        </w:rPr>
        <w:t xml:space="preserve">Исполнение муниципальной программы на отчетную дату составляет </w:t>
      </w:r>
      <w:r>
        <w:rPr>
          <w:sz w:val="28"/>
          <w:szCs w:val="28"/>
        </w:rPr>
        <w:t>68 245,9</w:t>
      </w:r>
      <w:r w:rsidRPr="00DE1E1D">
        <w:rPr>
          <w:sz w:val="28"/>
          <w:szCs w:val="28"/>
        </w:rPr>
        <w:t xml:space="preserve"> тыс. рублей, в том числе средства окружного бюджета – </w:t>
      </w:r>
      <w:r>
        <w:rPr>
          <w:sz w:val="28"/>
          <w:szCs w:val="28"/>
        </w:rPr>
        <w:t>20 895,9</w:t>
      </w:r>
      <w:r w:rsidRPr="00DE1E1D">
        <w:rPr>
          <w:sz w:val="28"/>
          <w:szCs w:val="28"/>
        </w:rPr>
        <w:t xml:space="preserve"> тыс. рублей, средства бюджета города Ханты-Мансийска – </w:t>
      </w:r>
      <w:r>
        <w:rPr>
          <w:sz w:val="28"/>
          <w:szCs w:val="28"/>
        </w:rPr>
        <w:t>47 350,0</w:t>
      </w:r>
      <w:r w:rsidRPr="00DE1E1D">
        <w:rPr>
          <w:sz w:val="28"/>
          <w:szCs w:val="28"/>
        </w:rPr>
        <w:t xml:space="preserve"> тыс. рублей. </w:t>
      </w:r>
    </w:p>
    <w:p w:rsidR="004649EE" w:rsidRPr="006C24A1" w:rsidRDefault="004649EE" w:rsidP="004649EE">
      <w:pPr>
        <w:autoSpaceDE w:val="0"/>
        <w:autoSpaceDN w:val="0"/>
        <w:adjustRightInd w:val="0"/>
        <w:spacing w:after="0"/>
        <w:ind w:right="-2" w:firstLine="708"/>
        <w:jc w:val="both"/>
        <w:rPr>
          <w:sz w:val="28"/>
          <w:szCs w:val="28"/>
        </w:rPr>
      </w:pPr>
      <w:r w:rsidRPr="00DE1E1D">
        <w:rPr>
          <w:sz w:val="28"/>
          <w:szCs w:val="28"/>
        </w:rPr>
        <w:t>Исполнение расходов бюджета города по муниципальной программе «Развитие отдельных секторов экономики города Ханты-Мансийска» осуществляли следующие ответственные исполнители:</w:t>
      </w:r>
    </w:p>
    <w:p w:rsidR="004649EE" w:rsidRPr="006C24A1" w:rsidRDefault="004649EE" w:rsidP="004649EE">
      <w:pPr>
        <w:tabs>
          <w:tab w:val="left" w:pos="459"/>
        </w:tabs>
        <w:suppressAutoHyphens/>
        <w:spacing w:after="0" w:line="360" w:lineRule="auto"/>
        <w:ind w:right="-1"/>
        <w:rPr>
          <w:sz w:val="24"/>
          <w:szCs w:val="24"/>
        </w:rPr>
      </w:pPr>
      <w:r w:rsidRPr="006C24A1">
        <w:rPr>
          <w:sz w:val="24"/>
          <w:szCs w:val="24"/>
        </w:rPr>
        <w:t xml:space="preserve"> (тыс. рублей)</w:t>
      </w: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163"/>
        <w:gridCol w:w="1417"/>
        <w:gridCol w:w="1418"/>
        <w:gridCol w:w="1275"/>
      </w:tblGrid>
      <w:tr w:rsidR="004649EE" w:rsidRPr="006C24A1" w:rsidTr="00323A02">
        <w:trPr>
          <w:trHeight w:val="300"/>
        </w:trPr>
        <w:tc>
          <w:tcPr>
            <w:tcW w:w="568" w:type="dxa"/>
            <w:vMerge w:val="restart"/>
            <w:shd w:val="clear" w:color="auto" w:fill="auto"/>
          </w:tcPr>
          <w:p w:rsidR="004649EE" w:rsidRPr="006C24A1" w:rsidRDefault="004649EE" w:rsidP="00323A02">
            <w:pPr>
              <w:tabs>
                <w:tab w:val="left" w:pos="459"/>
              </w:tabs>
              <w:spacing w:after="0" w:line="240" w:lineRule="auto"/>
              <w:ind w:left="-108" w:right="51" w:firstLine="108"/>
              <w:jc w:val="center"/>
              <w:rPr>
                <w:bCs/>
                <w:sz w:val="20"/>
                <w:szCs w:val="20"/>
              </w:rPr>
            </w:pPr>
            <w:r w:rsidRPr="006C24A1">
              <w:rPr>
                <w:bCs/>
                <w:sz w:val="20"/>
                <w:szCs w:val="20"/>
              </w:rPr>
              <w:t>№ п/п</w:t>
            </w:r>
          </w:p>
        </w:tc>
        <w:tc>
          <w:tcPr>
            <w:tcW w:w="3827" w:type="dxa"/>
            <w:vMerge w:val="restart"/>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Наименование основного исполнителя, соисполнителя муниципальной программы</w:t>
            </w:r>
          </w:p>
        </w:tc>
        <w:tc>
          <w:tcPr>
            <w:tcW w:w="1163" w:type="dxa"/>
            <w:vMerge w:val="restart"/>
            <w:shd w:val="clear" w:color="auto" w:fill="auto"/>
            <w:noWrap/>
            <w:hideMark/>
          </w:tcPr>
          <w:p w:rsidR="004649EE" w:rsidRPr="006C24A1" w:rsidRDefault="004649EE" w:rsidP="00323A02">
            <w:pPr>
              <w:spacing w:after="0" w:line="240" w:lineRule="auto"/>
              <w:jc w:val="center"/>
              <w:rPr>
                <w:bCs/>
                <w:sz w:val="20"/>
                <w:szCs w:val="20"/>
              </w:rPr>
            </w:pPr>
            <w:r w:rsidRPr="006C24A1">
              <w:rPr>
                <w:bCs/>
                <w:sz w:val="20"/>
                <w:szCs w:val="20"/>
              </w:rPr>
              <w:t>202</w:t>
            </w:r>
            <w:r>
              <w:rPr>
                <w:bCs/>
                <w:sz w:val="20"/>
                <w:szCs w:val="20"/>
              </w:rPr>
              <w:t>3</w:t>
            </w:r>
            <w:r w:rsidRPr="006C24A1">
              <w:rPr>
                <w:bCs/>
                <w:sz w:val="20"/>
                <w:szCs w:val="20"/>
              </w:rPr>
              <w:t xml:space="preserve"> год</w:t>
            </w:r>
          </w:p>
          <w:p w:rsidR="004649EE" w:rsidRPr="006C24A1" w:rsidRDefault="004649EE" w:rsidP="00323A02">
            <w:pPr>
              <w:spacing w:after="0" w:line="240" w:lineRule="auto"/>
              <w:jc w:val="center"/>
              <w:rPr>
                <w:bCs/>
                <w:sz w:val="20"/>
                <w:szCs w:val="20"/>
              </w:rPr>
            </w:pPr>
            <w:r w:rsidRPr="006C24A1">
              <w:rPr>
                <w:bCs/>
                <w:sz w:val="20"/>
                <w:szCs w:val="20"/>
              </w:rPr>
              <w:t xml:space="preserve"> (отчет)</w:t>
            </w:r>
          </w:p>
        </w:tc>
        <w:tc>
          <w:tcPr>
            <w:tcW w:w="4110" w:type="dxa"/>
            <w:gridSpan w:val="3"/>
            <w:shd w:val="clear" w:color="auto" w:fill="auto"/>
            <w:noWrap/>
            <w:hideMark/>
          </w:tcPr>
          <w:p w:rsidR="004649EE" w:rsidRPr="006C24A1" w:rsidRDefault="004649EE" w:rsidP="00323A02">
            <w:pPr>
              <w:spacing w:after="0" w:line="240" w:lineRule="auto"/>
              <w:ind w:right="424"/>
              <w:jc w:val="center"/>
              <w:rPr>
                <w:b/>
                <w:sz w:val="20"/>
                <w:szCs w:val="20"/>
              </w:rPr>
            </w:pPr>
            <w:r w:rsidRPr="006C24A1">
              <w:rPr>
                <w:bCs/>
                <w:sz w:val="20"/>
                <w:szCs w:val="20"/>
              </w:rPr>
              <w:t>202</w:t>
            </w:r>
            <w:r>
              <w:rPr>
                <w:bCs/>
                <w:sz w:val="20"/>
                <w:szCs w:val="20"/>
              </w:rPr>
              <w:t>4</w:t>
            </w:r>
            <w:r w:rsidRPr="006C24A1">
              <w:rPr>
                <w:bCs/>
                <w:sz w:val="20"/>
                <w:szCs w:val="20"/>
              </w:rPr>
              <w:t xml:space="preserve"> год </w:t>
            </w:r>
          </w:p>
        </w:tc>
      </w:tr>
      <w:tr w:rsidR="004649EE" w:rsidRPr="006C24A1" w:rsidTr="00323A02">
        <w:trPr>
          <w:trHeight w:val="583"/>
        </w:trPr>
        <w:tc>
          <w:tcPr>
            <w:tcW w:w="568" w:type="dxa"/>
            <w:vMerge/>
            <w:shd w:val="clear" w:color="auto" w:fill="auto"/>
          </w:tcPr>
          <w:p w:rsidR="004649EE" w:rsidRPr="006C24A1" w:rsidRDefault="004649EE" w:rsidP="00323A02">
            <w:pPr>
              <w:spacing w:after="0" w:line="240" w:lineRule="auto"/>
              <w:ind w:left="-108" w:right="51" w:firstLine="108"/>
              <w:rPr>
                <w:bCs/>
                <w:sz w:val="20"/>
                <w:szCs w:val="20"/>
              </w:rPr>
            </w:pPr>
          </w:p>
        </w:tc>
        <w:tc>
          <w:tcPr>
            <w:tcW w:w="3827" w:type="dxa"/>
            <w:vMerge/>
            <w:shd w:val="clear" w:color="auto" w:fill="auto"/>
            <w:hideMark/>
          </w:tcPr>
          <w:p w:rsidR="004649EE" w:rsidRPr="006C24A1" w:rsidRDefault="004649EE" w:rsidP="00323A02">
            <w:pPr>
              <w:spacing w:after="0" w:line="240" w:lineRule="auto"/>
              <w:ind w:right="424"/>
              <w:rPr>
                <w:sz w:val="20"/>
                <w:szCs w:val="20"/>
              </w:rPr>
            </w:pPr>
          </w:p>
        </w:tc>
        <w:tc>
          <w:tcPr>
            <w:tcW w:w="1163" w:type="dxa"/>
            <w:vMerge/>
            <w:shd w:val="clear" w:color="auto" w:fill="auto"/>
            <w:hideMark/>
          </w:tcPr>
          <w:p w:rsidR="004649EE" w:rsidRPr="006C24A1" w:rsidRDefault="004649EE" w:rsidP="00323A02">
            <w:pPr>
              <w:spacing w:after="0" w:line="240" w:lineRule="auto"/>
              <w:rPr>
                <w:sz w:val="20"/>
                <w:szCs w:val="20"/>
              </w:rPr>
            </w:pPr>
          </w:p>
        </w:tc>
        <w:tc>
          <w:tcPr>
            <w:tcW w:w="1417" w:type="dxa"/>
            <w:shd w:val="clear" w:color="auto" w:fill="auto"/>
            <w:hideMark/>
          </w:tcPr>
          <w:p w:rsidR="004649EE" w:rsidRPr="006C24A1" w:rsidRDefault="004649EE" w:rsidP="00323A02">
            <w:pPr>
              <w:spacing w:after="0" w:line="240" w:lineRule="auto"/>
              <w:jc w:val="center"/>
              <w:rPr>
                <w:sz w:val="20"/>
                <w:szCs w:val="20"/>
              </w:rPr>
            </w:pPr>
            <w:r w:rsidRPr="006C24A1">
              <w:rPr>
                <w:sz w:val="20"/>
                <w:szCs w:val="20"/>
              </w:rPr>
              <w:t>Уточненный план</w:t>
            </w:r>
          </w:p>
        </w:tc>
        <w:tc>
          <w:tcPr>
            <w:tcW w:w="1418" w:type="dxa"/>
            <w:shd w:val="clear" w:color="auto" w:fill="auto"/>
            <w:hideMark/>
          </w:tcPr>
          <w:p w:rsidR="004649EE" w:rsidRPr="006C24A1" w:rsidRDefault="004649EE" w:rsidP="00323A02">
            <w:pPr>
              <w:spacing w:after="0" w:line="240" w:lineRule="auto"/>
              <w:jc w:val="center"/>
              <w:rPr>
                <w:sz w:val="20"/>
                <w:szCs w:val="20"/>
              </w:rPr>
            </w:pPr>
            <w:r w:rsidRPr="006C24A1">
              <w:rPr>
                <w:sz w:val="20"/>
                <w:szCs w:val="20"/>
              </w:rPr>
              <w:t>Исполнение</w:t>
            </w:r>
          </w:p>
        </w:tc>
        <w:tc>
          <w:tcPr>
            <w:tcW w:w="1275" w:type="dxa"/>
            <w:shd w:val="clear" w:color="auto" w:fill="auto"/>
            <w:hideMark/>
          </w:tcPr>
          <w:p w:rsidR="004649EE" w:rsidRPr="006C24A1" w:rsidRDefault="004649EE" w:rsidP="00323A02">
            <w:pPr>
              <w:spacing w:after="0" w:line="240" w:lineRule="auto"/>
              <w:jc w:val="center"/>
              <w:rPr>
                <w:sz w:val="20"/>
                <w:szCs w:val="20"/>
              </w:rPr>
            </w:pPr>
            <w:r w:rsidRPr="006C24A1">
              <w:rPr>
                <w:sz w:val="20"/>
                <w:szCs w:val="20"/>
              </w:rPr>
              <w:t xml:space="preserve">% исполнения </w:t>
            </w:r>
          </w:p>
        </w:tc>
      </w:tr>
      <w:tr w:rsidR="004649EE" w:rsidRPr="006C24A1" w:rsidTr="00323A02">
        <w:trPr>
          <w:trHeight w:val="300"/>
        </w:trPr>
        <w:tc>
          <w:tcPr>
            <w:tcW w:w="568" w:type="dxa"/>
            <w:shd w:val="clear" w:color="auto" w:fill="auto"/>
          </w:tcPr>
          <w:p w:rsidR="004649EE" w:rsidRPr="006C24A1" w:rsidRDefault="004649EE" w:rsidP="00323A02">
            <w:pPr>
              <w:spacing w:after="0" w:line="240" w:lineRule="auto"/>
              <w:ind w:left="-108" w:right="51" w:firstLine="108"/>
              <w:jc w:val="center"/>
              <w:rPr>
                <w:sz w:val="20"/>
                <w:szCs w:val="20"/>
              </w:rPr>
            </w:pPr>
            <w:r w:rsidRPr="006C24A1">
              <w:rPr>
                <w:sz w:val="20"/>
                <w:szCs w:val="20"/>
              </w:rPr>
              <w:t>1</w:t>
            </w:r>
          </w:p>
        </w:tc>
        <w:tc>
          <w:tcPr>
            <w:tcW w:w="3827" w:type="dxa"/>
            <w:shd w:val="clear" w:color="auto" w:fill="auto"/>
            <w:hideMark/>
          </w:tcPr>
          <w:p w:rsidR="004649EE" w:rsidRPr="006C24A1" w:rsidRDefault="004649EE" w:rsidP="00323A02">
            <w:pPr>
              <w:spacing w:after="0" w:line="240" w:lineRule="auto"/>
              <w:ind w:right="424"/>
              <w:jc w:val="center"/>
              <w:rPr>
                <w:bCs/>
                <w:sz w:val="20"/>
                <w:szCs w:val="20"/>
              </w:rPr>
            </w:pPr>
            <w:r w:rsidRPr="006C24A1">
              <w:rPr>
                <w:bCs/>
                <w:sz w:val="20"/>
                <w:szCs w:val="20"/>
              </w:rPr>
              <w:t>2</w:t>
            </w:r>
          </w:p>
        </w:tc>
        <w:tc>
          <w:tcPr>
            <w:tcW w:w="1163" w:type="dxa"/>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3</w:t>
            </w:r>
          </w:p>
        </w:tc>
        <w:tc>
          <w:tcPr>
            <w:tcW w:w="1417" w:type="dxa"/>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4</w:t>
            </w:r>
          </w:p>
        </w:tc>
        <w:tc>
          <w:tcPr>
            <w:tcW w:w="1418" w:type="dxa"/>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5</w:t>
            </w:r>
          </w:p>
        </w:tc>
        <w:tc>
          <w:tcPr>
            <w:tcW w:w="1275" w:type="dxa"/>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6</w:t>
            </w:r>
          </w:p>
        </w:tc>
      </w:tr>
      <w:tr w:rsidR="004649EE" w:rsidRPr="006C24A1" w:rsidTr="00323A02">
        <w:trPr>
          <w:trHeight w:val="300"/>
        </w:trPr>
        <w:tc>
          <w:tcPr>
            <w:tcW w:w="568" w:type="dxa"/>
            <w:shd w:val="clear" w:color="auto" w:fill="auto"/>
          </w:tcPr>
          <w:p w:rsidR="004649EE" w:rsidRPr="006C24A1" w:rsidRDefault="004649EE" w:rsidP="00323A02">
            <w:pPr>
              <w:spacing w:after="0" w:line="240" w:lineRule="auto"/>
              <w:ind w:left="-108" w:right="51" w:firstLine="108"/>
              <w:rPr>
                <w:bCs/>
                <w:sz w:val="20"/>
                <w:szCs w:val="20"/>
              </w:rPr>
            </w:pPr>
          </w:p>
        </w:tc>
        <w:tc>
          <w:tcPr>
            <w:tcW w:w="3827" w:type="dxa"/>
            <w:shd w:val="clear" w:color="auto" w:fill="auto"/>
            <w:hideMark/>
          </w:tcPr>
          <w:p w:rsidR="004649EE" w:rsidRPr="006C24A1" w:rsidRDefault="004649EE" w:rsidP="00323A02">
            <w:pPr>
              <w:spacing w:after="0" w:line="240" w:lineRule="auto"/>
              <w:ind w:right="424"/>
              <w:jc w:val="left"/>
              <w:rPr>
                <w:sz w:val="20"/>
                <w:szCs w:val="20"/>
              </w:rPr>
            </w:pPr>
            <w:r w:rsidRPr="006C24A1">
              <w:rPr>
                <w:sz w:val="20"/>
                <w:szCs w:val="20"/>
              </w:rPr>
              <w:t>Всего по муниципальной программе, в том числе:</w:t>
            </w:r>
          </w:p>
        </w:tc>
        <w:tc>
          <w:tcPr>
            <w:tcW w:w="1163"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sidRPr="006C24A1">
              <w:rPr>
                <w:sz w:val="20"/>
                <w:szCs w:val="20"/>
              </w:rPr>
              <w:t>133 833,3</w:t>
            </w:r>
          </w:p>
        </w:tc>
        <w:tc>
          <w:tcPr>
            <w:tcW w:w="1417"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69 751,5</w:t>
            </w:r>
          </w:p>
        </w:tc>
        <w:tc>
          <w:tcPr>
            <w:tcW w:w="1418"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68 245,9</w:t>
            </w:r>
          </w:p>
        </w:tc>
        <w:tc>
          <w:tcPr>
            <w:tcW w:w="1275"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Pr>
                <w:sz w:val="20"/>
                <w:szCs w:val="20"/>
              </w:rPr>
              <w:t>97,8</w:t>
            </w:r>
            <w:r w:rsidRPr="006C24A1">
              <w:rPr>
                <w:sz w:val="20"/>
                <w:szCs w:val="20"/>
              </w:rPr>
              <w:t>%</w:t>
            </w:r>
          </w:p>
        </w:tc>
      </w:tr>
      <w:tr w:rsidR="004649EE" w:rsidRPr="006C24A1" w:rsidTr="00323A02">
        <w:trPr>
          <w:trHeight w:val="300"/>
        </w:trPr>
        <w:tc>
          <w:tcPr>
            <w:tcW w:w="568" w:type="dxa"/>
            <w:shd w:val="clear" w:color="auto" w:fill="auto"/>
          </w:tcPr>
          <w:p w:rsidR="004649EE" w:rsidRPr="006C24A1" w:rsidRDefault="004649EE" w:rsidP="00323A02">
            <w:pPr>
              <w:spacing w:after="0" w:line="240" w:lineRule="auto"/>
              <w:ind w:left="-108" w:right="51" w:firstLine="108"/>
              <w:jc w:val="center"/>
              <w:rPr>
                <w:bCs/>
                <w:sz w:val="20"/>
                <w:szCs w:val="20"/>
              </w:rPr>
            </w:pPr>
            <w:r w:rsidRPr="006C24A1">
              <w:rPr>
                <w:bCs/>
                <w:sz w:val="20"/>
                <w:szCs w:val="20"/>
              </w:rPr>
              <w:t>1</w:t>
            </w:r>
          </w:p>
        </w:tc>
        <w:tc>
          <w:tcPr>
            <w:tcW w:w="3827" w:type="dxa"/>
            <w:shd w:val="clear" w:color="auto" w:fill="auto"/>
            <w:hideMark/>
          </w:tcPr>
          <w:p w:rsidR="004649EE" w:rsidRPr="006C24A1" w:rsidRDefault="004649EE" w:rsidP="00323A02">
            <w:pPr>
              <w:spacing w:after="0" w:line="240" w:lineRule="auto"/>
              <w:ind w:right="424"/>
              <w:jc w:val="left"/>
              <w:rPr>
                <w:bCs/>
                <w:sz w:val="20"/>
                <w:szCs w:val="20"/>
              </w:rPr>
            </w:pPr>
            <w:r w:rsidRPr="006C24A1">
              <w:rPr>
                <w:bCs/>
                <w:sz w:val="20"/>
                <w:szCs w:val="20"/>
              </w:rPr>
              <w:t xml:space="preserve">Администрация города </w:t>
            </w:r>
          </w:p>
          <w:p w:rsidR="004649EE" w:rsidRPr="006C24A1" w:rsidRDefault="004649EE" w:rsidP="00323A02">
            <w:pPr>
              <w:spacing w:after="0" w:line="240" w:lineRule="auto"/>
              <w:ind w:right="424"/>
              <w:jc w:val="left"/>
              <w:rPr>
                <w:bCs/>
                <w:sz w:val="20"/>
                <w:szCs w:val="20"/>
              </w:rPr>
            </w:pPr>
            <w:r w:rsidRPr="006C24A1">
              <w:rPr>
                <w:bCs/>
                <w:sz w:val="20"/>
                <w:szCs w:val="20"/>
              </w:rPr>
              <w:t>Ханты-Мансийска</w:t>
            </w:r>
          </w:p>
        </w:tc>
        <w:tc>
          <w:tcPr>
            <w:tcW w:w="1163"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sidRPr="006C24A1">
              <w:rPr>
                <w:sz w:val="20"/>
                <w:szCs w:val="20"/>
              </w:rPr>
              <w:t>116 773,0</w:t>
            </w:r>
          </w:p>
        </w:tc>
        <w:tc>
          <w:tcPr>
            <w:tcW w:w="1417"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47 809,1</w:t>
            </w:r>
          </w:p>
        </w:tc>
        <w:tc>
          <w:tcPr>
            <w:tcW w:w="1418"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46 511,5</w:t>
            </w:r>
          </w:p>
        </w:tc>
        <w:tc>
          <w:tcPr>
            <w:tcW w:w="1275"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Pr>
                <w:sz w:val="20"/>
                <w:szCs w:val="20"/>
              </w:rPr>
              <w:t>97,3</w:t>
            </w:r>
            <w:r w:rsidRPr="006C24A1">
              <w:rPr>
                <w:sz w:val="20"/>
                <w:szCs w:val="20"/>
              </w:rPr>
              <w:t>%</w:t>
            </w:r>
          </w:p>
        </w:tc>
      </w:tr>
      <w:tr w:rsidR="004649EE" w:rsidRPr="006C24A1" w:rsidTr="00323A02">
        <w:trPr>
          <w:trHeight w:val="300"/>
        </w:trPr>
        <w:tc>
          <w:tcPr>
            <w:tcW w:w="568" w:type="dxa"/>
            <w:shd w:val="clear" w:color="auto" w:fill="auto"/>
          </w:tcPr>
          <w:p w:rsidR="004649EE" w:rsidRPr="006C24A1" w:rsidRDefault="004649EE" w:rsidP="00323A02">
            <w:pPr>
              <w:spacing w:after="0" w:line="240" w:lineRule="auto"/>
              <w:ind w:left="-108" w:right="51" w:firstLine="108"/>
              <w:jc w:val="center"/>
              <w:rPr>
                <w:bCs/>
                <w:sz w:val="20"/>
                <w:szCs w:val="20"/>
              </w:rPr>
            </w:pPr>
            <w:r w:rsidRPr="006C24A1">
              <w:rPr>
                <w:bCs/>
                <w:sz w:val="20"/>
                <w:szCs w:val="20"/>
              </w:rPr>
              <w:t>2</w:t>
            </w:r>
          </w:p>
        </w:tc>
        <w:tc>
          <w:tcPr>
            <w:tcW w:w="3827" w:type="dxa"/>
            <w:shd w:val="clear" w:color="auto" w:fill="auto"/>
            <w:hideMark/>
          </w:tcPr>
          <w:p w:rsidR="004649EE" w:rsidRPr="006C24A1" w:rsidRDefault="004649EE" w:rsidP="00323A02">
            <w:pPr>
              <w:spacing w:after="0" w:line="240" w:lineRule="auto"/>
              <w:ind w:right="424"/>
              <w:jc w:val="left"/>
              <w:rPr>
                <w:bCs/>
                <w:sz w:val="20"/>
                <w:szCs w:val="20"/>
              </w:rPr>
            </w:pPr>
            <w:r w:rsidRPr="006C24A1">
              <w:rPr>
                <w:bCs/>
                <w:sz w:val="20"/>
                <w:szCs w:val="20"/>
              </w:rPr>
              <w:t>МКУ «Управление логистики»</w:t>
            </w:r>
          </w:p>
        </w:tc>
        <w:tc>
          <w:tcPr>
            <w:tcW w:w="1163"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sidRPr="006C24A1">
              <w:rPr>
                <w:sz w:val="20"/>
                <w:szCs w:val="20"/>
              </w:rPr>
              <w:t>5 647,4</w:t>
            </w:r>
          </w:p>
        </w:tc>
        <w:tc>
          <w:tcPr>
            <w:tcW w:w="1417"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3 635,9</w:t>
            </w:r>
          </w:p>
        </w:tc>
        <w:tc>
          <w:tcPr>
            <w:tcW w:w="1418"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3 635,9</w:t>
            </w:r>
          </w:p>
        </w:tc>
        <w:tc>
          <w:tcPr>
            <w:tcW w:w="1275"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sidRPr="006C24A1">
              <w:rPr>
                <w:sz w:val="20"/>
                <w:szCs w:val="20"/>
              </w:rPr>
              <w:t>100%</w:t>
            </w:r>
          </w:p>
        </w:tc>
      </w:tr>
      <w:tr w:rsidR="004649EE" w:rsidRPr="006C24A1" w:rsidTr="00323A02">
        <w:trPr>
          <w:trHeight w:val="390"/>
        </w:trPr>
        <w:tc>
          <w:tcPr>
            <w:tcW w:w="568" w:type="dxa"/>
            <w:shd w:val="clear" w:color="auto" w:fill="auto"/>
          </w:tcPr>
          <w:p w:rsidR="004649EE" w:rsidRPr="006C24A1" w:rsidRDefault="004649EE" w:rsidP="00323A02">
            <w:pPr>
              <w:spacing w:after="0" w:line="240" w:lineRule="auto"/>
              <w:ind w:right="51"/>
              <w:jc w:val="center"/>
              <w:rPr>
                <w:sz w:val="20"/>
                <w:szCs w:val="20"/>
              </w:rPr>
            </w:pPr>
            <w:r>
              <w:rPr>
                <w:sz w:val="20"/>
                <w:szCs w:val="20"/>
              </w:rPr>
              <w:t>3</w:t>
            </w:r>
          </w:p>
        </w:tc>
        <w:tc>
          <w:tcPr>
            <w:tcW w:w="3827" w:type="dxa"/>
            <w:shd w:val="clear" w:color="auto" w:fill="auto"/>
          </w:tcPr>
          <w:p w:rsidR="004649EE" w:rsidRPr="006C24A1" w:rsidRDefault="004649EE" w:rsidP="00323A02">
            <w:pPr>
              <w:spacing w:after="0" w:line="240" w:lineRule="auto"/>
              <w:ind w:right="424"/>
              <w:jc w:val="left"/>
              <w:rPr>
                <w:bCs/>
                <w:sz w:val="20"/>
                <w:szCs w:val="20"/>
              </w:rPr>
            </w:pPr>
            <w:r w:rsidRPr="006C24A1">
              <w:rPr>
                <w:bCs/>
                <w:sz w:val="20"/>
                <w:szCs w:val="20"/>
              </w:rPr>
              <w:t xml:space="preserve">Департамент образования Администрации города </w:t>
            </w:r>
          </w:p>
          <w:p w:rsidR="004649EE" w:rsidRPr="006C24A1" w:rsidRDefault="004649EE" w:rsidP="00323A02">
            <w:pPr>
              <w:spacing w:after="0" w:line="240" w:lineRule="auto"/>
              <w:ind w:right="424"/>
              <w:jc w:val="left"/>
              <w:rPr>
                <w:bCs/>
                <w:sz w:val="20"/>
                <w:szCs w:val="20"/>
              </w:rPr>
            </w:pPr>
            <w:r w:rsidRPr="006C24A1">
              <w:rPr>
                <w:bCs/>
                <w:sz w:val="20"/>
                <w:szCs w:val="20"/>
              </w:rPr>
              <w:t>Ханты-Мансийска</w:t>
            </w:r>
          </w:p>
        </w:tc>
        <w:tc>
          <w:tcPr>
            <w:tcW w:w="1163" w:type="dxa"/>
            <w:shd w:val="clear" w:color="auto" w:fill="auto"/>
          </w:tcPr>
          <w:p w:rsidR="004649EE" w:rsidRPr="006C24A1" w:rsidRDefault="004649EE" w:rsidP="00323A02">
            <w:pPr>
              <w:tabs>
                <w:tab w:val="left" w:pos="1168"/>
              </w:tabs>
              <w:spacing w:after="0" w:line="240" w:lineRule="auto"/>
              <w:ind w:right="33"/>
              <w:jc w:val="center"/>
              <w:rPr>
                <w:bCs/>
                <w:sz w:val="20"/>
                <w:szCs w:val="20"/>
              </w:rPr>
            </w:pPr>
            <w:r w:rsidRPr="006C24A1">
              <w:rPr>
                <w:bCs/>
                <w:sz w:val="20"/>
                <w:szCs w:val="20"/>
              </w:rPr>
              <w:t>11 412,9</w:t>
            </w:r>
          </w:p>
        </w:tc>
        <w:tc>
          <w:tcPr>
            <w:tcW w:w="1417" w:type="dxa"/>
            <w:shd w:val="clear" w:color="auto" w:fill="auto"/>
          </w:tcPr>
          <w:p w:rsidR="004649EE" w:rsidRPr="006C24A1" w:rsidRDefault="004649EE" w:rsidP="00323A02">
            <w:pPr>
              <w:tabs>
                <w:tab w:val="left" w:pos="1168"/>
              </w:tabs>
              <w:spacing w:after="0" w:line="240" w:lineRule="auto"/>
              <w:ind w:right="33"/>
              <w:jc w:val="center"/>
              <w:rPr>
                <w:bCs/>
                <w:sz w:val="20"/>
                <w:szCs w:val="20"/>
              </w:rPr>
            </w:pPr>
            <w:r>
              <w:rPr>
                <w:bCs/>
                <w:sz w:val="20"/>
                <w:szCs w:val="20"/>
              </w:rPr>
              <w:t>18 306,5</w:t>
            </w:r>
          </w:p>
        </w:tc>
        <w:tc>
          <w:tcPr>
            <w:tcW w:w="1418" w:type="dxa"/>
            <w:shd w:val="clear" w:color="auto" w:fill="auto"/>
          </w:tcPr>
          <w:p w:rsidR="004649EE" w:rsidRPr="006C24A1" w:rsidRDefault="004649EE" w:rsidP="00323A02">
            <w:pPr>
              <w:tabs>
                <w:tab w:val="left" w:pos="1168"/>
              </w:tabs>
              <w:spacing w:after="0" w:line="240" w:lineRule="auto"/>
              <w:ind w:right="33"/>
              <w:jc w:val="center"/>
              <w:rPr>
                <w:bCs/>
                <w:sz w:val="20"/>
                <w:szCs w:val="20"/>
              </w:rPr>
            </w:pPr>
            <w:r>
              <w:rPr>
                <w:bCs/>
                <w:sz w:val="20"/>
                <w:szCs w:val="20"/>
              </w:rPr>
              <w:t>18 098,5</w:t>
            </w:r>
          </w:p>
        </w:tc>
        <w:tc>
          <w:tcPr>
            <w:tcW w:w="1275" w:type="dxa"/>
            <w:shd w:val="clear" w:color="auto" w:fill="auto"/>
          </w:tcPr>
          <w:p w:rsidR="004649EE" w:rsidRPr="006C24A1" w:rsidRDefault="004649EE" w:rsidP="00323A02">
            <w:pPr>
              <w:tabs>
                <w:tab w:val="left" w:pos="1168"/>
              </w:tabs>
              <w:spacing w:after="0" w:line="240" w:lineRule="auto"/>
              <w:ind w:right="33"/>
              <w:jc w:val="center"/>
              <w:rPr>
                <w:bCs/>
                <w:sz w:val="20"/>
                <w:szCs w:val="20"/>
              </w:rPr>
            </w:pPr>
            <w:r>
              <w:rPr>
                <w:bCs/>
                <w:sz w:val="20"/>
                <w:szCs w:val="20"/>
              </w:rPr>
              <w:t>98,9</w:t>
            </w:r>
            <w:r w:rsidRPr="006C24A1">
              <w:rPr>
                <w:bCs/>
                <w:sz w:val="20"/>
                <w:szCs w:val="20"/>
              </w:rPr>
              <w:t>%</w:t>
            </w:r>
          </w:p>
        </w:tc>
      </w:tr>
    </w:tbl>
    <w:p w:rsidR="004649EE" w:rsidRDefault="004649EE" w:rsidP="004649EE">
      <w:pPr>
        <w:autoSpaceDE w:val="0"/>
        <w:autoSpaceDN w:val="0"/>
        <w:adjustRightInd w:val="0"/>
        <w:spacing w:after="0"/>
        <w:ind w:right="424" w:firstLine="708"/>
        <w:jc w:val="both"/>
        <w:rPr>
          <w:sz w:val="28"/>
          <w:szCs w:val="28"/>
        </w:rPr>
      </w:pPr>
    </w:p>
    <w:p w:rsidR="004649EE" w:rsidRPr="006C24A1" w:rsidRDefault="004649EE" w:rsidP="004649EE">
      <w:pPr>
        <w:autoSpaceDE w:val="0"/>
        <w:autoSpaceDN w:val="0"/>
        <w:adjustRightInd w:val="0"/>
        <w:spacing w:after="0"/>
        <w:ind w:right="424" w:firstLine="708"/>
        <w:jc w:val="both"/>
        <w:rPr>
          <w:sz w:val="28"/>
          <w:szCs w:val="28"/>
          <w:highlight w:val="yellow"/>
        </w:rPr>
      </w:pPr>
      <w:r w:rsidRPr="00627729">
        <w:rPr>
          <w:sz w:val="28"/>
          <w:szCs w:val="28"/>
        </w:rPr>
        <w:t>Исполнение расходов бюджета города по муниципальной программе «Развитие отдельных секторов экономики города Ханты-Мансийска» по источникам финансирования и основным мероприятиям:</w:t>
      </w:r>
    </w:p>
    <w:p w:rsidR="004649EE" w:rsidRPr="006C24A1" w:rsidRDefault="004649EE" w:rsidP="004649EE">
      <w:pPr>
        <w:tabs>
          <w:tab w:val="left" w:pos="459"/>
        </w:tabs>
        <w:suppressAutoHyphens/>
        <w:spacing w:after="0" w:line="360" w:lineRule="auto"/>
        <w:ind w:right="-2"/>
        <w:rPr>
          <w:sz w:val="24"/>
          <w:szCs w:val="24"/>
        </w:rPr>
      </w:pPr>
      <w:r w:rsidRPr="006C24A1">
        <w:rPr>
          <w:sz w:val="24"/>
          <w:szCs w:val="24"/>
        </w:rPr>
        <w:t>(тыс. рублей)</w:t>
      </w: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304"/>
        <w:gridCol w:w="1441"/>
        <w:gridCol w:w="1417"/>
        <w:gridCol w:w="1276"/>
      </w:tblGrid>
      <w:tr w:rsidR="004649EE" w:rsidRPr="006C24A1" w:rsidTr="00323A02">
        <w:trPr>
          <w:trHeight w:val="300"/>
          <w:tblHeader/>
        </w:trPr>
        <w:tc>
          <w:tcPr>
            <w:tcW w:w="3828" w:type="dxa"/>
            <w:vMerge w:val="restart"/>
            <w:shd w:val="clear" w:color="auto" w:fill="auto"/>
            <w:hideMark/>
          </w:tcPr>
          <w:p w:rsidR="004649EE" w:rsidRPr="006C24A1" w:rsidRDefault="004649EE" w:rsidP="00323A02">
            <w:pPr>
              <w:spacing w:after="0" w:line="240" w:lineRule="auto"/>
              <w:ind w:right="58"/>
              <w:jc w:val="center"/>
              <w:rPr>
                <w:bCs/>
                <w:sz w:val="20"/>
                <w:szCs w:val="20"/>
              </w:rPr>
            </w:pPr>
            <w:r w:rsidRPr="006C24A1">
              <w:rPr>
                <w:bCs/>
                <w:sz w:val="20"/>
                <w:szCs w:val="20"/>
              </w:rPr>
              <w:t>Наименование муниципальной программы, подпрограммы муниципальной программы, мероприятия муниципальной программы</w:t>
            </w:r>
          </w:p>
        </w:tc>
        <w:tc>
          <w:tcPr>
            <w:tcW w:w="1304" w:type="dxa"/>
            <w:vMerge w:val="restart"/>
            <w:shd w:val="clear" w:color="auto" w:fill="auto"/>
          </w:tcPr>
          <w:p w:rsidR="004649EE" w:rsidRPr="006C24A1" w:rsidRDefault="004649EE" w:rsidP="00323A02">
            <w:pPr>
              <w:spacing w:after="0" w:line="240" w:lineRule="auto"/>
              <w:ind w:right="58"/>
              <w:jc w:val="center"/>
              <w:rPr>
                <w:bCs/>
                <w:sz w:val="20"/>
                <w:szCs w:val="20"/>
              </w:rPr>
            </w:pPr>
            <w:r w:rsidRPr="006C24A1">
              <w:rPr>
                <w:bCs/>
                <w:sz w:val="20"/>
                <w:szCs w:val="20"/>
              </w:rPr>
              <w:t>202</w:t>
            </w:r>
            <w:r>
              <w:rPr>
                <w:bCs/>
                <w:sz w:val="20"/>
                <w:szCs w:val="20"/>
              </w:rPr>
              <w:t>3</w:t>
            </w:r>
            <w:r w:rsidRPr="006C24A1">
              <w:rPr>
                <w:bCs/>
                <w:sz w:val="20"/>
                <w:szCs w:val="20"/>
              </w:rPr>
              <w:t xml:space="preserve"> год</w:t>
            </w:r>
          </w:p>
          <w:p w:rsidR="004649EE" w:rsidRPr="006C24A1" w:rsidRDefault="004649EE" w:rsidP="00323A02">
            <w:pPr>
              <w:spacing w:after="0" w:line="240" w:lineRule="auto"/>
              <w:ind w:right="58"/>
              <w:jc w:val="center"/>
              <w:rPr>
                <w:bCs/>
                <w:sz w:val="20"/>
                <w:szCs w:val="20"/>
              </w:rPr>
            </w:pPr>
            <w:r w:rsidRPr="006C24A1">
              <w:rPr>
                <w:bCs/>
                <w:sz w:val="20"/>
                <w:szCs w:val="20"/>
              </w:rPr>
              <w:t xml:space="preserve"> (отчет)</w:t>
            </w:r>
          </w:p>
        </w:tc>
        <w:tc>
          <w:tcPr>
            <w:tcW w:w="4134" w:type="dxa"/>
            <w:gridSpan w:val="3"/>
            <w:shd w:val="clear" w:color="auto" w:fill="auto"/>
            <w:noWrap/>
            <w:hideMark/>
          </w:tcPr>
          <w:p w:rsidR="004649EE" w:rsidRPr="006C24A1" w:rsidRDefault="004649EE" w:rsidP="00323A02">
            <w:pPr>
              <w:spacing w:after="0" w:line="240" w:lineRule="auto"/>
              <w:ind w:right="58"/>
              <w:jc w:val="center"/>
              <w:rPr>
                <w:b/>
                <w:sz w:val="20"/>
                <w:szCs w:val="20"/>
              </w:rPr>
            </w:pPr>
            <w:r w:rsidRPr="006C24A1">
              <w:rPr>
                <w:bCs/>
                <w:sz w:val="20"/>
                <w:szCs w:val="20"/>
              </w:rPr>
              <w:t>202</w:t>
            </w:r>
            <w:r>
              <w:rPr>
                <w:bCs/>
                <w:sz w:val="20"/>
                <w:szCs w:val="20"/>
              </w:rPr>
              <w:t>4</w:t>
            </w:r>
            <w:r w:rsidRPr="006C24A1">
              <w:rPr>
                <w:bCs/>
                <w:sz w:val="20"/>
                <w:szCs w:val="20"/>
              </w:rPr>
              <w:t xml:space="preserve"> год </w:t>
            </w:r>
          </w:p>
        </w:tc>
      </w:tr>
      <w:tr w:rsidR="004649EE" w:rsidRPr="006C24A1" w:rsidTr="00323A02">
        <w:trPr>
          <w:trHeight w:val="501"/>
          <w:tblHeader/>
        </w:trPr>
        <w:tc>
          <w:tcPr>
            <w:tcW w:w="3828" w:type="dxa"/>
            <w:vMerge/>
            <w:shd w:val="clear" w:color="auto" w:fill="auto"/>
            <w:hideMark/>
          </w:tcPr>
          <w:p w:rsidR="004649EE" w:rsidRPr="006C24A1" w:rsidRDefault="004649EE" w:rsidP="00323A02">
            <w:pPr>
              <w:spacing w:after="0" w:line="240" w:lineRule="auto"/>
              <w:ind w:right="58"/>
              <w:rPr>
                <w:bCs/>
                <w:sz w:val="20"/>
                <w:szCs w:val="20"/>
              </w:rPr>
            </w:pPr>
          </w:p>
        </w:tc>
        <w:tc>
          <w:tcPr>
            <w:tcW w:w="1304" w:type="dxa"/>
            <w:vMerge/>
            <w:shd w:val="clear" w:color="auto" w:fill="auto"/>
          </w:tcPr>
          <w:p w:rsidR="004649EE" w:rsidRPr="006C24A1" w:rsidRDefault="004649EE" w:rsidP="00323A02">
            <w:pPr>
              <w:spacing w:after="0" w:line="240" w:lineRule="auto"/>
              <w:ind w:right="58"/>
              <w:jc w:val="center"/>
              <w:rPr>
                <w:bCs/>
                <w:sz w:val="20"/>
                <w:szCs w:val="20"/>
              </w:rPr>
            </w:pPr>
          </w:p>
        </w:tc>
        <w:tc>
          <w:tcPr>
            <w:tcW w:w="1441" w:type="dxa"/>
            <w:shd w:val="clear" w:color="auto" w:fill="auto"/>
            <w:hideMark/>
          </w:tcPr>
          <w:p w:rsidR="004649EE" w:rsidRPr="006C24A1" w:rsidRDefault="004649EE" w:rsidP="00323A02">
            <w:pPr>
              <w:spacing w:after="0" w:line="240" w:lineRule="auto"/>
              <w:ind w:right="58"/>
              <w:jc w:val="center"/>
              <w:rPr>
                <w:bCs/>
                <w:sz w:val="20"/>
                <w:szCs w:val="20"/>
              </w:rPr>
            </w:pPr>
            <w:r w:rsidRPr="006C24A1">
              <w:rPr>
                <w:bCs/>
                <w:sz w:val="20"/>
                <w:szCs w:val="20"/>
              </w:rPr>
              <w:t>Уточненный план</w:t>
            </w:r>
          </w:p>
        </w:tc>
        <w:tc>
          <w:tcPr>
            <w:tcW w:w="1417" w:type="dxa"/>
            <w:shd w:val="clear" w:color="auto" w:fill="auto"/>
            <w:hideMark/>
          </w:tcPr>
          <w:p w:rsidR="004649EE" w:rsidRPr="006C24A1" w:rsidRDefault="004649EE" w:rsidP="00323A02">
            <w:pPr>
              <w:spacing w:after="0" w:line="240" w:lineRule="auto"/>
              <w:ind w:right="58"/>
              <w:jc w:val="center"/>
              <w:rPr>
                <w:bCs/>
                <w:sz w:val="20"/>
                <w:szCs w:val="20"/>
              </w:rPr>
            </w:pPr>
            <w:r w:rsidRPr="006C24A1">
              <w:rPr>
                <w:bCs/>
                <w:sz w:val="20"/>
                <w:szCs w:val="20"/>
              </w:rPr>
              <w:t>Исполнение</w:t>
            </w:r>
          </w:p>
        </w:tc>
        <w:tc>
          <w:tcPr>
            <w:tcW w:w="1276" w:type="dxa"/>
            <w:shd w:val="clear" w:color="auto" w:fill="auto"/>
            <w:hideMark/>
          </w:tcPr>
          <w:p w:rsidR="004649EE" w:rsidRPr="006C24A1" w:rsidRDefault="004649EE" w:rsidP="00323A02">
            <w:pPr>
              <w:spacing w:after="0" w:line="240" w:lineRule="auto"/>
              <w:jc w:val="center"/>
              <w:rPr>
                <w:bCs/>
                <w:sz w:val="20"/>
                <w:szCs w:val="20"/>
              </w:rPr>
            </w:pPr>
            <w:r w:rsidRPr="006C24A1">
              <w:rPr>
                <w:bCs/>
                <w:sz w:val="20"/>
                <w:szCs w:val="20"/>
              </w:rPr>
              <w:t>Исполнение</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sz w:val="20"/>
                <w:szCs w:val="20"/>
              </w:rPr>
            </w:pPr>
            <w:r w:rsidRPr="006C24A1">
              <w:rPr>
                <w:sz w:val="20"/>
                <w:szCs w:val="20"/>
              </w:rPr>
              <w:t xml:space="preserve">Всего по муниципальной программе, </w:t>
            </w:r>
            <w:r w:rsidRPr="006C24A1">
              <w:rPr>
                <w:bCs/>
                <w:sz w:val="20"/>
                <w:szCs w:val="20"/>
              </w:rPr>
              <w:t>всего, в том числе:</w:t>
            </w:r>
          </w:p>
        </w:tc>
        <w:tc>
          <w:tcPr>
            <w:tcW w:w="1304" w:type="dxa"/>
            <w:shd w:val="clear" w:color="auto" w:fill="auto"/>
          </w:tcPr>
          <w:p w:rsidR="004649EE" w:rsidRPr="006C24A1" w:rsidRDefault="004649EE" w:rsidP="00323A02">
            <w:pPr>
              <w:tabs>
                <w:tab w:val="left" w:pos="1168"/>
              </w:tabs>
              <w:spacing w:after="0" w:line="240" w:lineRule="auto"/>
              <w:ind w:right="33"/>
              <w:jc w:val="center"/>
              <w:rPr>
                <w:sz w:val="20"/>
                <w:szCs w:val="20"/>
              </w:rPr>
            </w:pPr>
            <w:r w:rsidRPr="006C24A1">
              <w:rPr>
                <w:sz w:val="20"/>
                <w:szCs w:val="20"/>
              </w:rPr>
              <w:t>133 833,3</w:t>
            </w:r>
          </w:p>
        </w:tc>
        <w:tc>
          <w:tcPr>
            <w:tcW w:w="1441"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69 751,5</w:t>
            </w:r>
          </w:p>
        </w:tc>
        <w:tc>
          <w:tcPr>
            <w:tcW w:w="1417" w:type="dxa"/>
            <w:shd w:val="clear" w:color="auto" w:fill="auto"/>
          </w:tcPr>
          <w:p w:rsidR="004649EE" w:rsidRPr="006C24A1" w:rsidRDefault="004649EE" w:rsidP="00323A02">
            <w:pPr>
              <w:tabs>
                <w:tab w:val="left" w:pos="1168"/>
              </w:tabs>
              <w:spacing w:after="0" w:line="240" w:lineRule="auto"/>
              <w:ind w:right="33"/>
              <w:jc w:val="center"/>
              <w:rPr>
                <w:sz w:val="20"/>
                <w:szCs w:val="20"/>
              </w:rPr>
            </w:pPr>
            <w:r>
              <w:rPr>
                <w:sz w:val="20"/>
                <w:szCs w:val="20"/>
              </w:rPr>
              <w:t>68 245,9</w:t>
            </w:r>
          </w:p>
        </w:tc>
        <w:tc>
          <w:tcPr>
            <w:tcW w:w="1276" w:type="dxa"/>
            <w:shd w:val="clear" w:color="auto" w:fill="auto"/>
            <w:hideMark/>
          </w:tcPr>
          <w:p w:rsidR="004649EE" w:rsidRPr="006C24A1" w:rsidRDefault="004649EE" w:rsidP="00323A02">
            <w:pPr>
              <w:tabs>
                <w:tab w:val="left" w:pos="1168"/>
              </w:tabs>
              <w:spacing w:after="0" w:line="240" w:lineRule="auto"/>
              <w:ind w:right="33"/>
              <w:jc w:val="center"/>
              <w:rPr>
                <w:sz w:val="20"/>
                <w:szCs w:val="20"/>
              </w:rPr>
            </w:pPr>
            <w:r>
              <w:rPr>
                <w:sz w:val="20"/>
                <w:szCs w:val="20"/>
              </w:rPr>
              <w:t>97,8</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15 431,2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21 023,6</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20 895,9</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sidRPr="006C24A1">
              <w:rPr>
                <w:sz w:val="20"/>
                <w:szCs w:val="20"/>
              </w:rPr>
              <w:t>99,</w:t>
            </w:r>
            <w:r>
              <w:rPr>
                <w:sz w:val="20"/>
                <w:szCs w:val="20"/>
              </w:rPr>
              <w:t>4</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118 402,1</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48 727,9</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47 350,0</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Pr>
                <w:sz w:val="20"/>
                <w:szCs w:val="20"/>
              </w:rPr>
              <w:t>97,2</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 xml:space="preserve">Подпрограмма </w:t>
            </w:r>
            <w:r w:rsidRPr="006C24A1">
              <w:rPr>
                <w:bCs/>
                <w:sz w:val="20"/>
                <w:szCs w:val="20"/>
                <w:lang w:val="en-US"/>
              </w:rPr>
              <w:t>I</w:t>
            </w:r>
            <w:r w:rsidRPr="006C24A1">
              <w:rPr>
                <w:bCs/>
                <w:sz w:val="20"/>
                <w:szCs w:val="20"/>
              </w:rPr>
              <w:t xml:space="preserve"> «Развитие субъектов малого и среднего предпринимательства на территории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13 910,2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18 458,0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18 317,9</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Pr>
                <w:sz w:val="20"/>
                <w:szCs w:val="20"/>
              </w:rPr>
              <w:t>99,2</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4 198,0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6 370,7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6 244,6</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Pr>
                <w:sz w:val="20"/>
                <w:szCs w:val="20"/>
              </w:rPr>
              <w:t>98,0</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lastRenderedPageBreak/>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9 712,2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12 087,3</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12 073,3</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Pr>
                <w:sz w:val="20"/>
                <w:szCs w:val="20"/>
              </w:rPr>
              <w:t>99,9</w:t>
            </w:r>
            <w:r w:rsidRPr="006C24A1">
              <w:rPr>
                <w:sz w:val="20"/>
                <w:szCs w:val="20"/>
              </w:rPr>
              <w:t>%</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«Создание условий для развития субъектов малого и среднего предпринимательства»,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2 000,0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2 000,0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2 000,0</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hideMark/>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2 000,0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2 000,0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2 000,0</w:t>
            </w:r>
          </w:p>
        </w:tc>
        <w:tc>
          <w:tcPr>
            <w:tcW w:w="1276" w:type="dxa"/>
            <w:shd w:val="clear" w:color="auto" w:fill="auto"/>
            <w:hideMark/>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
                <w:bCs/>
                <w:sz w:val="20"/>
                <w:szCs w:val="20"/>
              </w:rPr>
            </w:pPr>
            <w:r w:rsidRPr="006C24A1">
              <w:rPr>
                <w:bCs/>
                <w:sz w:val="20"/>
                <w:szCs w:val="20"/>
              </w:rPr>
              <w:t>Основное мероприятие «Финансовая поддержка субъектов малого и среднего предпринимательства»,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6 335,0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9 379,5</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9 379,5</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6 335,0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9 379,5</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9 379,5</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
                <w:bCs/>
                <w:sz w:val="20"/>
                <w:szCs w:val="20"/>
              </w:rPr>
            </w:pPr>
            <w:r w:rsidRPr="006C24A1">
              <w:rPr>
                <w:bCs/>
                <w:sz w:val="20"/>
                <w:szCs w:val="20"/>
              </w:rPr>
              <w:t>Региональный проект «Создание условий для легкого старта и комфортного ведения бизнеса»,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1 116,0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535,3</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395,2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73,8</w:t>
            </w:r>
            <w:r w:rsidRPr="006C24A1">
              <w:rPr>
                <w:sz w:val="20"/>
                <w:szCs w:val="20"/>
              </w:rPr>
              <w:t>%</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430,6</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481,8</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355,7</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73,8</w:t>
            </w:r>
            <w:r w:rsidRPr="006C24A1">
              <w:rPr>
                <w:sz w:val="20"/>
                <w:szCs w:val="20"/>
              </w:rPr>
              <w:t>%</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685,4</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53,5</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39,5</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73,8</w:t>
            </w:r>
            <w:r w:rsidRPr="006C24A1">
              <w:rPr>
                <w:sz w:val="20"/>
                <w:szCs w:val="20"/>
              </w:rPr>
              <w:t>%</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
                <w:bCs/>
                <w:sz w:val="20"/>
                <w:szCs w:val="20"/>
              </w:rPr>
            </w:pPr>
            <w:r w:rsidRPr="006C24A1">
              <w:rPr>
                <w:bCs/>
                <w:sz w:val="20"/>
                <w:szCs w:val="20"/>
              </w:rPr>
              <w:t>Региональный проект «Акселерация субъектов малого и среднего предпринимательства»,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4 459,2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6 543,2</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6 543,2</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3 767,4</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5 888,9</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5 888,9</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29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691,8</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654,3</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654,3</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Подпрограмма </w:t>
            </w:r>
            <w:r w:rsidRPr="006C24A1">
              <w:rPr>
                <w:bCs/>
                <w:sz w:val="20"/>
                <w:szCs w:val="20"/>
                <w:lang w:val="en-US"/>
              </w:rPr>
              <w:t>II</w:t>
            </w:r>
            <w:r w:rsidRPr="006C24A1">
              <w:rPr>
                <w:bCs/>
                <w:sz w:val="20"/>
                <w:szCs w:val="20"/>
              </w:rPr>
              <w:t xml:space="preserve"> «Развитие сельскохозяйственного и обрабатывающего производства, обеспечение продовольственной безопасности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39 685,0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12 556,7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11 399,2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90,8</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30,0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30,0</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10</w:t>
            </w: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39 685,0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12 526,7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11 369,2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90,8</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107162">
              <w:rPr>
                <w:bCs/>
                <w:sz w:val="20"/>
                <w:szCs w:val="20"/>
              </w:rPr>
              <w:t>Основное мероприятие «Развитие животноводства»,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41" w:type="dxa"/>
            <w:shd w:val="clear" w:color="auto" w:fill="auto"/>
          </w:tcPr>
          <w:p w:rsidR="004649EE" w:rsidRDefault="004649EE" w:rsidP="00323A02">
            <w:pPr>
              <w:spacing w:after="0" w:line="240" w:lineRule="auto"/>
              <w:ind w:right="58"/>
              <w:jc w:val="center"/>
              <w:rPr>
                <w:sz w:val="20"/>
                <w:szCs w:val="20"/>
              </w:rPr>
            </w:pPr>
            <w:r>
              <w:rPr>
                <w:sz w:val="20"/>
                <w:szCs w:val="20"/>
              </w:rPr>
              <w:t>30,0</w:t>
            </w:r>
          </w:p>
        </w:tc>
        <w:tc>
          <w:tcPr>
            <w:tcW w:w="1417" w:type="dxa"/>
            <w:shd w:val="clear" w:color="auto" w:fill="auto"/>
          </w:tcPr>
          <w:p w:rsidR="004649EE" w:rsidRDefault="004649EE" w:rsidP="00323A02">
            <w:pPr>
              <w:spacing w:after="0" w:line="240" w:lineRule="auto"/>
              <w:ind w:right="58"/>
              <w:jc w:val="center"/>
              <w:rPr>
                <w:sz w:val="20"/>
                <w:szCs w:val="20"/>
              </w:rPr>
            </w:pPr>
            <w:r>
              <w:rPr>
                <w:sz w:val="20"/>
                <w:szCs w:val="20"/>
              </w:rPr>
              <w:t>30,0</w:t>
            </w:r>
          </w:p>
        </w:tc>
        <w:tc>
          <w:tcPr>
            <w:tcW w:w="1276" w:type="dxa"/>
            <w:shd w:val="clear" w:color="auto" w:fill="auto"/>
          </w:tcPr>
          <w:p w:rsidR="004649EE" w:rsidRDefault="004649EE" w:rsidP="00323A02">
            <w:pPr>
              <w:spacing w:after="0" w:line="240" w:lineRule="auto"/>
              <w:ind w:right="58"/>
              <w:jc w:val="center"/>
              <w:rPr>
                <w:sz w:val="20"/>
                <w:szCs w:val="20"/>
              </w:rPr>
            </w:pPr>
            <w:r>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107162">
              <w:rPr>
                <w:bCs/>
                <w:sz w:val="20"/>
                <w:szCs w:val="20"/>
              </w:rPr>
              <w:t>- бюджет автономного округа</w:t>
            </w:r>
          </w:p>
        </w:tc>
        <w:tc>
          <w:tcPr>
            <w:tcW w:w="1304"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41" w:type="dxa"/>
            <w:shd w:val="clear" w:color="auto" w:fill="auto"/>
          </w:tcPr>
          <w:p w:rsidR="004649EE" w:rsidRDefault="004649EE" w:rsidP="00323A02">
            <w:pPr>
              <w:spacing w:after="0" w:line="240" w:lineRule="auto"/>
              <w:ind w:right="58"/>
              <w:jc w:val="center"/>
              <w:rPr>
                <w:sz w:val="20"/>
                <w:szCs w:val="20"/>
              </w:rPr>
            </w:pPr>
            <w:r>
              <w:rPr>
                <w:sz w:val="20"/>
                <w:szCs w:val="20"/>
              </w:rPr>
              <w:t>30,0</w:t>
            </w:r>
          </w:p>
        </w:tc>
        <w:tc>
          <w:tcPr>
            <w:tcW w:w="1417" w:type="dxa"/>
            <w:shd w:val="clear" w:color="auto" w:fill="auto"/>
          </w:tcPr>
          <w:p w:rsidR="004649EE" w:rsidRDefault="004649EE" w:rsidP="00323A02">
            <w:pPr>
              <w:spacing w:after="0" w:line="240" w:lineRule="auto"/>
              <w:ind w:right="58"/>
              <w:jc w:val="center"/>
              <w:rPr>
                <w:sz w:val="20"/>
                <w:szCs w:val="20"/>
              </w:rPr>
            </w:pPr>
            <w:r>
              <w:rPr>
                <w:sz w:val="20"/>
                <w:szCs w:val="20"/>
              </w:rPr>
              <w:t>30,0</w:t>
            </w:r>
          </w:p>
        </w:tc>
        <w:tc>
          <w:tcPr>
            <w:tcW w:w="1276" w:type="dxa"/>
            <w:shd w:val="clear" w:color="auto" w:fill="auto"/>
          </w:tcPr>
          <w:p w:rsidR="004649EE" w:rsidRDefault="004649EE" w:rsidP="00323A02">
            <w:pPr>
              <w:spacing w:after="0" w:line="240" w:lineRule="auto"/>
              <w:ind w:right="58"/>
              <w:jc w:val="center"/>
              <w:rPr>
                <w:sz w:val="20"/>
                <w:szCs w:val="20"/>
              </w:rPr>
            </w:pPr>
            <w:r>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«Развитие рыбохозяйственного комплекса»,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11 194,5</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11 194,5</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609"/>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«Создание условий для реализации сельскохозяйственной продукции на территории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748,2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2 750,0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2 750,0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748,2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2 750,0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2 750,0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1448"/>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27 742,3</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9 776,7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8 619,2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88,2</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27 742,3</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9 776,7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8 619,2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88,2</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Подпрограмма </w:t>
            </w:r>
            <w:r w:rsidRPr="006C24A1">
              <w:rPr>
                <w:bCs/>
                <w:sz w:val="20"/>
                <w:szCs w:val="20"/>
                <w:lang w:val="en-US"/>
              </w:rPr>
              <w:t>III</w:t>
            </w:r>
            <w:r w:rsidRPr="006C24A1">
              <w:rPr>
                <w:bCs/>
                <w:sz w:val="20"/>
                <w:szCs w:val="20"/>
              </w:rPr>
              <w:t xml:space="preserve"> «Развитие инвестиционной деятельности в городе Ханты-Мансийске»,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3 700,0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lastRenderedPageBreak/>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3 700,0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«Информационное обеспечение инвестиционной деятельности на территории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«Корректировка (уточнение) документов стратегического развития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3 100,0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3 100,0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Подпрограмма </w:t>
            </w:r>
            <w:r w:rsidRPr="006C24A1">
              <w:rPr>
                <w:bCs/>
                <w:sz w:val="20"/>
                <w:szCs w:val="20"/>
                <w:lang w:val="en-US"/>
              </w:rPr>
              <w:t>IV</w:t>
            </w:r>
            <w:r w:rsidRPr="006C24A1">
              <w:rPr>
                <w:bCs/>
                <w:sz w:val="20"/>
                <w:szCs w:val="20"/>
              </w:rPr>
              <w:t xml:space="preserve"> «Улучшение условий и охраны труда в городе Ханты-Мансийске»,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16 311,1</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24 593,6</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24 385,6</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99,</w:t>
            </w:r>
            <w:r>
              <w:rPr>
                <w:sz w:val="20"/>
                <w:szCs w:val="20"/>
              </w:rPr>
              <w:t>2</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11 233,2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14 622,9</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14 621,3</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5 077,9</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9 970,7</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9 764,3</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97,9</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«Организация и проведение обучающих мероприятий по вопросам трудовых отношений»,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1 021,5</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845,9</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845,9</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386,0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123,5</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123,5</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635,5</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722,4</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722,4</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90,0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90,0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«Организация и проведение смотров-конкурсов в области охраны труда»,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87,7</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40,0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87,7</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40,0</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40,0</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3 699,0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5 401,2</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5 401,2</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3 659,2</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4 977,8</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4 977,8</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39,8</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423,4</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423,4</w:t>
            </w:r>
          </w:p>
        </w:tc>
        <w:tc>
          <w:tcPr>
            <w:tcW w:w="1276"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«Содействие трудоустройству граждан», всего, в том числе:</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11 412,9</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18 306,5</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18 098,5</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98,9</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 бюджет автономного округа </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7 100,3</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9 481,6</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9 480,0</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ind w:right="58"/>
              <w:jc w:val="center"/>
              <w:rPr>
                <w:sz w:val="20"/>
                <w:szCs w:val="20"/>
              </w:rPr>
            </w:pPr>
            <w:r w:rsidRPr="006C24A1">
              <w:rPr>
                <w:sz w:val="20"/>
                <w:szCs w:val="20"/>
              </w:rPr>
              <w:t>4 312,6</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8 824,9</w:t>
            </w:r>
          </w:p>
        </w:tc>
        <w:tc>
          <w:tcPr>
            <w:tcW w:w="1417" w:type="dxa"/>
            <w:shd w:val="clear" w:color="auto" w:fill="auto"/>
          </w:tcPr>
          <w:p w:rsidR="004649EE" w:rsidRPr="006C24A1" w:rsidRDefault="004649EE" w:rsidP="00323A02">
            <w:pPr>
              <w:spacing w:after="0" w:line="240" w:lineRule="auto"/>
              <w:ind w:right="58"/>
              <w:jc w:val="center"/>
              <w:rPr>
                <w:sz w:val="20"/>
                <w:szCs w:val="20"/>
              </w:rPr>
            </w:pPr>
            <w:r>
              <w:rPr>
                <w:sz w:val="20"/>
                <w:szCs w:val="20"/>
              </w:rPr>
              <w:t>8 618,5</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97,7</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Подпрограмма </w:t>
            </w:r>
            <w:r w:rsidRPr="006C24A1">
              <w:rPr>
                <w:bCs/>
                <w:sz w:val="20"/>
                <w:szCs w:val="20"/>
                <w:lang w:val="en-US"/>
              </w:rPr>
              <w:t>V</w:t>
            </w:r>
            <w:r w:rsidRPr="006C24A1">
              <w:rPr>
                <w:bCs/>
                <w:sz w:val="20"/>
                <w:szCs w:val="20"/>
              </w:rPr>
              <w:t xml:space="preserve"> «Развитие внутреннего и въездного туризма в городе Ханты-Мансийске», всего, в том числе:</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60 227,0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14 143,2</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14 143,2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60 227,0</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14 143,2</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14 143,2</w:t>
            </w:r>
          </w:p>
        </w:tc>
        <w:tc>
          <w:tcPr>
            <w:tcW w:w="1276" w:type="dxa"/>
            <w:shd w:val="clear" w:color="auto" w:fill="auto"/>
          </w:tcPr>
          <w:p w:rsidR="004649EE" w:rsidRPr="006C24A1" w:rsidRDefault="004649EE" w:rsidP="00323A02">
            <w:pPr>
              <w:spacing w:after="0" w:line="240" w:lineRule="auto"/>
              <w:ind w:right="58"/>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Основное мероприятие «Создание условий для устойчивого развития внутреннего и въездного туризма, проведение мероприятий, направленных </w:t>
            </w:r>
            <w:r w:rsidRPr="006C24A1">
              <w:rPr>
                <w:bCs/>
                <w:sz w:val="20"/>
                <w:szCs w:val="20"/>
              </w:rPr>
              <w:lastRenderedPageBreak/>
              <w:t>на расширение спектра туристских услуг и их изучение, продвижение на территории Российской Федерации», всего, в том числе:</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lastRenderedPageBreak/>
              <w:t>5 584,3</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5 895,2</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5 895,2</w:t>
            </w:r>
          </w:p>
        </w:tc>
        <w:tc>
          <w:tcPr>
            <w:tcW w:w="1276" w:type="dxa"/>
            <w:shd w:val="clear" w:color="auto" w:fill="auto"/>
          </w:tcPr>
          <w:p w:rsidR="004649EE" w:rsidRPr="006C24A1" w:rsidRDefault="004649EE" w:rsidP="00323A02">
            <w:pPr>
              <w:spacing w:after="0" w:line="240" w:lineRule="auto"/>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5 584,3</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5 895,2</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5 895,2</w:t>
            </w:r>
          </w:p>
        </w:tc>
        <w:tc>
          <w:tcPr>
            <w:tcW w:w="1276" w:type="dxa"/>
            <w:shd w:val="clear" w:color="auto" w:fill="auto"/>
          </w:tcPr>
          <w:p w:rsidR="004649EE" w:rsidRPr="006C24A1" w:rsidRDefault="004649EE" w:rsidP="00323A02">
            <w:pPr>
              <w:spacing w:after="0" w:line="240" w:lineRule="auto"/>
              <w:jc w:val="center"/>
              <w:rPr>
                <w:sz w:val="20"/>
                <w:szCs w:val="20"/>
              </w:rPr>
            </w:pPr>
            <w:r>
              <w:rPr>
                <w:sz w:val="20"/>
                <w:szCs w:val="20"/>
              </w:rPr>
              <w:t>100</w:t>
            </w:r>
            <w:r w:rsidRPr="006C24A1">
              <w:rPr>
                <w:sz w:val="20"/>
                <w:szCs w:val="20"/>
              </w:rPr>
              <w:t>%</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 xml:space="preserve">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 всего, в том </w:t>
            </w:r>
          </w:p>
          <w:p w:rsidR="004649EE" w:rsidRPr="006C24A1" w:rsidRDefault="004649EE" w:rsidP="00323A02">
            <w:pPr>
              <w:spacing w:after="0" w:line="240" w:lineRule="auto"/>
              <w:ind w:right="58"/>
              <w:jc w:val="left"/>
              <w:rPr>
                <w:bCs/>
                <w:sz w:val="20"/>
                <w:szCs w:val="20"/>
              </w:rPr>
            </w:pPr>
            <w:r w:rsidRPr="006C24A1">
              <w:rPr>
                <w:bCs/>
                <w:sz w:val="20"/>
                <w:szCs w:val="20"/>
              </w:rPr>
              <w:t>числе:</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16 429,1</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8 248,0</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8 248,0</w:t>
            </w:r>
          </w:p>
        </w:tc>
        <w:tc>
          <w:tcPr>
            <w:tcW w:w="1276" w:type="dxa"/>
            <w:shd w:val="clear" w:color="auto" w:fill="auto"/>
          </w:tcPr>
          <w:p w:rsidR="004649EE" w:rsidRPr="006C24A1" w:rsidRDefault="004649EE" w:rsidP="00323A02">
            <w:pPr>
              <w:spacing w:after="0" w:line="240" w:lineRule="auto"/>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16 429,1</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8 248,0</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8 248,0</w:t>
            </w:r>
          </w:p>
        </w:tc>
        <w:tc>
          <w:tcPr>
            <w:tcW w:w="1276" w:type="dxa"/>
            <w:shd w:val="clear" w:color="auto" w:fill="auto"/>
          </w:tcPr>
          <w:p w:rsidR="004649EE" w:rsidRPr="006C24A1" w:rsidRDefault="004649EE" w:rsidP="00323A02">
            <w:pPr>
              <w:spacing w:after="0" w:line="240" w:lineRule="auto"/>
              <w:jc w:val="center"/>
              <w:rPr>
                <w:sz w:val="20"/>
                <w:szCs w:val="20"/>
              </w:rPr>
            </w:pPr>
            <w:r w:rsidRPr="006C24A1">
              <w:rPr>
                <w:sz w:val="20"/>
                <w:szCs w:val="20"/>
              </w:rPr>
              <w:t>100%</w:t>
            </w:r>
          </w:p>
        </w:tc>
      </w:tr>
      <w:tr w:rsidR="004649EE" w:rsidRPr="006C24A1" w:rsidTr="00323A02">
        <w:trPr>
          <w:trHeight w:val="300"/>
        </w:trPr>
        <w:tc>
          <w:tcPr>
            <w:tcW w:w="3828" w:type="dxa"/>
            <w:shd w:val="clear" w:color="auto" w:fill="auto"/>
          </w:tcPr>
          <w:p w:rsidR="004649EE" w:rsidRPr="006C24A1" w:rsidRDefault="004649EE" w:rsidP="00323A02">
            <w:pPr>
              <w:spacing w:after="0" w:line="240" w:lineRule="auto"/>
              <w:ind w:right="58"/>
              <w:jc w:val="left"/>
              <w:rPr>
                <w:bCs/>
                <w:sz w:val="20"/>
                <w:szCs w:val="20"/>
              </w:rPr>
            </w:pPr>
            <w:r w:rsidRPr="006C24A1">
              <w:rPr>
                <w:bCs/>
                <w:sz w:val="20"/>
                <w:szCs w:val="20"/>
              </w:rPr>
              <w:t>Основное мероприятие «Обеспечение деятельности МБУ «Центр молодежных проектов», всего, в том числе:</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38 213,6</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jc w:val="center"/>
              <w:rPr>
                <w:sz w:val="20"/>
                <w:szCs w:val="20"/>
              </w:rPr>
            </w:pPr>
            <w:r>
              <w:rPr>
                <w:sz w:val="20"/>
                <w:szCs w:val="20"/>
              </w:rPr>
              <w:t>0</w:t>
            </w:r>
            <w:r w:rsidRPr="006C24A1">
              <w:rPr>
                <w:sz w:val="20"/>
                <w:szCs w:val="20"/>
              </w:rPr>
              <w:t>%</w:t>
            </w:r>
          </w:p>
        </w:tc>
      </w:tr>
      <w:tr w:rsidR="004649EE" w:rsidRPr="006C24A1" w:rsidTr="00323A02">
        <w:trPr>
          <w:trHeight w:val="74"/>
        </w:trPr>
        <w:tc>
          <w:tcPr>
            <w:tcW w:w="3828" w:type="dxa"/>
            <w:shd w:val="clear" w:color="auto" w:fill="auto"/>
          </w:tcPr>
          <w:p w:rsidR="004649EE" w:rsidRPr="006C24A1" w:rsidRDefault="004649EE" w:rsidP="00323A02">
            <w:pPr>
              <w:spacing w:after="0" w:line="240" w:lineRule="auto"/>
              <w:jc w:val="left"/>
              <w:rPr>
                <w:bCs/>
                <w:sz w:val="20"/>
                <w:szCs w:val="20"/>
              </w:rPr>
            </w:pPr>
            <w:r w:rsidRPr="006C24A1">
              <w:rPr>
                <w:bCs/>
                <w:sz w:val="20"/>
                <w:szCs w:val="20"/>
              </w:rPr>
              <w:t>- бюджет города</w:t>
            </w:r>
          </w:p>
        </w:tc>
        <w:tc>
          <w:tcPr>
            <w:tcW w:w="1304" w:type="dxa"/>
            <w:shd w:val="clear" w:color="auto" w:fill="auto"/>
          </w:tcPr>
          <w:p w:rsidR="004649EE" w:rsidRPr="006C24A1" w:rsidRDefault="004649EE" w:rsidP="00323A02">
            <w:pPr>
              <w:spacing w:after="0" w:line="240" w:lineRule="auto"/>
              <w:jc w:val="center"/>
              <w:rPr>
                <w:sz w:val="20"/>
                <w:szCs w:val="20"/>
              </w:rPr>
            </w:pPr>
            <w:r w:rsidRPr="006C24A1">
              <w:rPr>
                <w:sz w:val="20"/>
                <w:szCs w:val="20"/>
              </w:rPr>
              <w:t>38 213,6</w:t>
            </w:r>
          </w:p>
        </w:tc>
        <w:tc>
          <w:tcPr>
            <w:tcW w:w="1441" w:type="dxa"/>
            <w:shd w:val="clear" w:color="auto" w:fill="auto"/>
          </w:tcPr>
          <w:p w:rsidR="004649EE" w:rsidRPr="006C24A1" w:rsidRDefault="004649EE" w:rsidP="00323A02">
            <w:pPr>
              <w:spacing w:after="0" w:line="240" w:lineRule="auto"/>
              <w:ind w:right="58"/>
              <w:jc w:val="center"/>
              <w:rPr>
                <w:sz w:val="20"/>
                <w:szCs w:val="20"/>
              </w:rPr>
            </w:pPr>
            <w:r>
              <w:rPr>
                <w:sz w:val="20"/>
                <w:szCs w:val="20"/>
              </w:rPr>
              <w:t>0,0</w:t>
            </w:r>
          </w:p>
        </w:tc>
        <w:tc>
          <w:tcPr>
            <w:tcW w:w="1417" w:type="dxa"/>
            <w:shd w:val="clear" w:color="auto" w:fill="auto"/>
          </w:tcPr>
          <w:p w:rsidR="004649EE" w:rsidRPr="006C24A1" w:rsidRDefault="004649EE" w:rsidP="00323A02">
            <w:pPr>
              <w:spacing w:after="0" w:line="240" w:lineRule="auto"/>
              <w:jc w:val="center"/>
              <w:rPr>
                <w:sz w:val="20"/>
                <w:szCs w:val="20"/>
              </w:rPr>
            </w:pPr>
            <w:r>
              <w:rPr>
                <w:sz w:val="20"/>
                <w:szCs w:val="20"/>
              </w:rPr>
              <w:t>0,0</w:t>
            </w:r>
          </w:p>
        </w:tc>
        <w:tc>
          <w:tcPr>
            <w:tcW w:w="1276" w:type="dxa"/>
            <w:shd w:val="clear" w:color="auto" w:fill="auto"/>
          </w:tcPr>
          <w:p w:rsidR="004649EE" w:rsidRPr="006C24A1" w:rsidRDefault="004649EE" w:rsidP="00323A02">
            <w:pPr>
              <w:spacing w:after="0" w:line="240" w:lineRule="auto"/>
              <w:jc w:val="center"/>
              <w:rPr>
                <w:sz w:val="20"/>
                <w:szCs w:val="20"/>
              </w:rPr>
            </w:pPr>
            <w:r>
              <w:rPr>
                <w:sz w:val="20"/>
                <w:szCs w:val="20"/>
              </w:rPr>
              <w:t>0</w:t>
            </w:r>
            <w:r w:rsidRPr="006C24A1">
              <w:rPr>
                <w:sz w:val="20"/>
                <w:szCs w:val="20"/>
              </w:rPr>
              <w:t>%</w:t>
            </w:r>
          </w:p>
        </w:tc>
      </w:tr>
    </w:tbl>
    <w:p w:rsidR="004649EE" w:rsidRDefault="004649EE" w:rsidP="004649EE">
      <w:pPr>
        <w:autoSpaceDE w:val="0"/>
        <w:autoSpaceDN w:val="0"/>
        <w:adjustRightInd w:val="0"/>
        <w:spacing w:after="0"/>
        <w:ind w:right="-1"/>
        <w:jc w:val="both"/>
        <w:rPr>
          <w:sz w:val="28"/>
          <w:szCs w:val="28"/>
        </w:rPr>
      </w:pPr>
      <w:r>
        <w:rPr>
          <w:sz w:val="28"/>
          <w:szCs w:val="28"/>
        </w:rPr>
        <w:t xml:space="preserve"> </w:t>
      </w:r>
      <w:r>
        <w:rPr>
          <w:sz w:val="28"/>
          <w:szCs w:val="28"/>
        </w:rPr>
        <w:tab/>
      </w:r>
    </w:p>
    <w:p w:rsidR="004649EE" w:rsidRPr="006C24A1" w:rsidRDefault="004649EE" w:rsidP="004649EE">
      <w:pPr>
        <w:widowControl w:val="0"/>
        <w:autoSpaceDE w:val="0"/>
        <w:autoSpaceDN w:val="0"/>
        <w:adjustRightInd w:val="0"/>
        <w:spacing w:after="0"/>
        <w:ind w:right="-1" w:firstLine="708"/>
        <w:contextualSpacing/>
        <w:jc w:val="both"/>
        <w:rPr>
          <w:bCs/>
          <w:iCs/>
          <w:sz w:val="28"/>
          <w:szCs w:val="28"/>
        </w:rPr>
      </w:pPr>
      <w:r w:rsidRPr="006C24A1">
        <w:rPr>
          <w:sz w:val="28"/>
          <w:szCs w:val="28"/>
        </w:rPr>
        <w:t xml:space="preserve">Подпрограмма </w:t>
      </w:r>
      <w:r w:rsidRPr="006C24A1">
        <w:rPr>
          <w:sz w:val="28"/>
          <w:szCs w:val="28"/>
          <w:lang w:val="en-US"/>
        </w:rPr>
        <w:t>I</w:t>
      </w:r>
      <w:r w:rsidRPr="006C24A1">
        <w:rPr>
          <w:bCs/>
          <w:iCs/>
          <w:sz w:val="28"/>
          <w:szCs w:val="28"/>
        </w:rPr>
        <w:t xml:space="preserve"> «Развитие субъектов малого и среднего предпринимательства на территории города </w:t>
      </w:r>
      <w:r w:rsidRPr="006C24A1">
        <w:rPr>
          <w:sz w:val="28"/>
          <w:szCs w:val="28"/>
        </w:rPr>
        <w:t>Ханты-Мансийска».</w:t>
      </w:r>
    </w:p>
    <w:p w:rsidR="004649EE" w:rsidRDefault="004649EE" w:rsidP="004649EE">
      <w:pPr>
        <w:tabs>
          <w:tab w:val="left" w:pos="993"/>
        </w:tabs>
        <w:spacing w:after="0"/>
        <w:ind w:right="-1" w:firstLine="851"/>
        <w:jc w:val="both"/>
        <w:rPr>
          <w:sz w:val="28"/>
          <w:szCs w:val="28"/>
        </w:rPr>
      </w:pPr>
      <w:r w:rsidRPr="003B5712">
        <w:rPr>
          <w:sz w:val="28"/>
          <w:szCs w:val="28"/>
        </w:rPr>
        <w:t xml:space="preserve">В рамках подпрограммы реализуются мероприятия, </w:t>
      </w:r>
      <w:r>
        <w:rPr>
          <w:sz w:val="28"/>
          <w:szCs w:val="28"/>
        </w:rPr>
        <w:t xml:space="preserve">входящие в состав </w:t>
      </w:r>
      <w:r w:rsidRPr="003B5712">
        <w:rPr>
          <w:sz w:val="28"/>
          <w:szCs w:val="28"/>
        </w:rPr>
        <w:t>национального проекта «Малое и среднее предпринимательство и поддержка индивидуальной предпринимательской инициативы»</w:t>
      </w:r>
      <w:r>
        <w:rPr>
          <w:sz w:val="28"/>
          <w:szCs w:val="28"/>
        </w:rPr>
        <w:t>:</w:t>
      </w:r>
    </w:p>
    <w:p w:rsidR="004649EE" w:rsidRDefault="004649EE" w:rsidP="004649EE">
      <w:pPr>
        <w:tabs>
          <w:tab w:val="left" w:pos="993"/>
        </w:tabs>
        <w:spacing w:after="0"/>
        <w:ind w:right="-1" w:firstLine="851"/>
        <w:jc w:val="both"/>
        <w:rPr>
          <w:sz w:val="28"/>
          <w:szCs w:val="28"/>
        </w:rPr>
      </w:pPr>
      <w:r>
        <w:rPr>
          <w:sz w:val="28"/>
          <w:szCs w:val="28"/>
        </w:rPr>
        <w:t>Р</w:t>
      </w:r>
      <w:r w:rsidRPr="003D3EC4">
        <w:rPr>
          <w:sz w:val="28"/>
          <w:szCs w:val="28"/>
        </w:rPr>
        <w:t>егиональны</w:t>
      </w:r>
      <w:r>
        <w:rPr>
          <w:sz w:val="28"/>
          <w:szCs w:val="28"/>
        </w:rPr>
        <w:t>й</w:t>
      </w:r>
      <w:r w:rsidRPr="003D3EC4">
        <w:rPr>
          <w:sz w:val="28"/>
          <w:szCs w:val="28"/>
        </w:rPr>
        <w:t xml:space="preserve"> проект «Создание условий для легкого старта и комфортного ведения бизнеса»</w:t>
      </w:r>
      <w:r>
        <w:rPr>
          <w:sz w:val="28"/>
          <w:szCs w:val="28"/>
        </w:rPr>
        <w:t xml:space="preserve"> </w:t>
      </w:r>
    </w:p>
    <w:p w:rsidR="004649EE" w:rsidRDefault="004649EE" w:rsidP="004649EE">
      <w:pPr>
        <w:tabs>
          <w:tab w:val="left" w:pos="993"/>
        </w:tabs>
        <w:spacing w:after="0"/>
        <w:ind w:right="-1" w:firstLine="851"/>
        <w:jc w:val="both"/>
        <w:rPr>
          <w:sz w:val="28"/>
          <w:szCs w:val="28"/>
        </w:rPr>
      </w:pPr>
      <w:r w:rsidRPr="00C73368">
        <w:rPr>
          <w:sz w:val="28"/>
          <w:szCs w:val="28"/>
        </w:rPr>
        <w:t>- 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при плане 535,3 тыс. рублей, исполнение в сумме 395,2 тыс. рублей, что составляет 73,8%, в том числе средства бюджета автономного округа 355,7 тыс. рублей, средства бюджета города Ханты-Мансийска 39,5 тыс. рублей, в связи с отклонением заявок участников отбора по причине несоответствия требований Порядка предоставления субсидий.</w:t>
      </w:r>
    </w:p>
    <w:p w:rsidR="004649EE" w:rsidRDefault="004649EE" w:rsidP="004649EE">
      <w:pPr>
        <w:tabs>
          <w:tab w:val="left" w:pos="993"/>
        </w:tabs>
        <w:spacing w:after="0"/>
        <w:ind w:right="-1" w:firstLine="851"/>
        <w:jc w:val="both"/>
        <w:rPr>
          <w:sz w:val="28"/>
          <w:szCs w:val="28"/>
        </w:rPr>
      </w:pPr>
      <w:r>
        <w:rPr>
          <w:sz w:val="28"/>
          <w:szCs w:val="28"/>
        </w:rPr>
        <w:t xml:space="preserve">Региональный проект </w:t>
      </w:r>
      <w:r w:rsidRPr="003D3EC4">
        <w:rPr>
          <w:sz w:val="28"/>
          <w:szCs w:val="28"/>
        </w:rPr>
        <w:t xml:space="preserve">«Акселерация субъектов малого и среднего предпринимательства» </w:t>
      </w:r>
    </w:p>
    <w:p w:rsidR="004649EE" w:rsidRPr="0052398C" w:rsidRDefault="004649EE" w:rsidP="004649EE">
      <w:pPr>
        <w:tabs>
          <w:tab w:val="left" w:pos="993"/>
        </w:tabs>
        <w:spacing w:after="0"/>
        <w:ind w:right="-1" w:firstLine="851"/>
        <w:jc w:val="both"/>
        <w:rPr>
          <w:sz w:val="28"/>
          <w:szCs w:val="28"/>
        </w:rPr>
      </w:pPr>
      <w:r>
        <w:rPr>
          <w:sz w:val="28"/>
          <w:szCs w:val="28"/>
        </w:rPr>
        <w:t xml:space="preserve">- </w:t>
      </w:r>
      <w:r w:rsidRPr="007817D6">
        <w:rPr>
          <w:sz w:val="28"/>
          <w:szCs w:val="28"/>
        </w:rPr>
        <w:t xml:space="preserve">финансовая поддержка в форме субсидий субъектам малого </w:t>
      </w:r>
      <w:r>
        <w:rPr>
          <w:sz w:val="28"/>
          <w:szCs w:val="28"/>
        </w:rPr>
        <w:t>и среднего предпринимательства в сумме 6 543,2</w:t>
      </w:r>
      <w:r w:rsidRPr="003D3EC4">
        <w:rPr>
          <w:sz w:val="28"/>
          <w:szCs w:val="28"/>
        </w:rPr>
        <w:t xml:space="preserve"> тыс. рублей, в том числе средства бюджета автономного округа </w:t>
      </w:r>
      <w:r>
        <w:rPr>
          <w:sz w:val="28"/>
          <w:szCs w:val="28"/>
        </w:rPr>
        <w:t>5 888,9</w:t>
      </w:r>
      <w:r w:rsidRPr="003D3EC4">
        <w:rPr>
          <w:sz w:val="28"/>
          <w:szCs w:val="28"/>
        </w:rPr>
        <w:t xml:space="preserve"> тыс. рублей, средства бюджета города</w:t>
      </w:r>
      <w:r>
        <w:rPr>
          <w:sz w:val="28"/>
          <w:szCs w:val="28"/>
        </w:rPr>
        <w:t xml:space="preserve"> Ха</w:t>
      </w:r>
      <w:r w:rsidRPr="0052398C">
        <w:rPr>
          <w:sz w:val="28"/>
          <w:szCs w:val="28"/>
        </w:rPr>
        <w:t>нты-Мансийска 654,3 тыс. рублей.</w:t>
      </w:r>
    </w:p>
    <w:p w:rsidR="004649EE" w:rsidRDefault="004649EE" w:rsidP="004649EE">
      <w:pPr>
        <w:tabs>
          <w:tab w:val="left" w:pos="993"/>
        </w:tabs>
        <w:spacing w:after="0"/>
        <w:ind w:right="-1" w:firstLine="851"/>
        <w:jc w:val="both"/>
        <w:rPr>
          <w:sz w:val="28"/>
          <w:szCs w:val="28"/>
        </w:rPr>
      </w:pPr>
      <w:r w:rsidRPr="00D25517">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4649EE" w:rsidRPr="0052398C" w:rsidRDefault="004649EE" w:rsidP="004649EE">
      <w:pPr>
        <w:tabs>
          <w:tab w:val="left" w:pos="993"/>
        </w:tabs>
        <w:spacing w:after="0"/>
        <w:ind w:right="-1" w:firstLine="851"/>
        <w:jc w:val="both"/>
        <w:rPr>
          <w:bCs/>
          <w:sz w:val="28"/>
          <w:szCs w:val="28"/>
        </w:rPr>
      </w:pPr>
      <w:r w:rsidRPr="0052398C">
        <w:rPr>
          <w:sz w:val="28"/>
          <w:szCs w:val="28"/>
        </w:rPr>
        <w:t>1. Основное мероприятие «Создание условий для развития субъектов малого и среднего предпринимательства»</w:t>
      </w:r>
      <w:r w:rsidRPr="0052398C">
        <w:rPr>
          <w:bCs/>
          <w:sz w:val="28"/>
          <w:szCs w:val="28"/>
        </w:rPr>
        <w:t xml:space="preserve"> </w:t>
      </w:r>
    </w:p>
    <w:p w:rsidR="004649EE" w:rsidRPr="0052398C" w:rsidRDefault="004649EE" w:rsidP="004649EE">
      <w:pPr>
        <w:tabs>
          <w:tab w:val="left" w:pos="993"/>
        </w:tabs>
        <w:spacing w:after="0"/>
        <w:ind w:right="-1" w:firstLine="851"/>
        <w:jc w:val="both"/>
        <w:rPr>
          <w:sz w:val="28"/>
          <w:szCs w:val="28"/>
        </w:rPr>
      </w:pPr>
      <w:r w:rsidRPr="0052398C">
        <w:rPr>
          <w:sz w:val="28"/>
          <w:szCs w:val="28"/>
        </w:rPr>
        <w:lastRenderedPageBreak/>
        <w:t>- организация и проведение Форума креативных практик в сумме 2 000,0 тыс. рублей.</w:t>
      </w:r>
    </w:p>
    <w:p w:rsidR="004649EE" w:rsidRDefault="004649EE" w:rsidP="004649EE">
      <w:pPr>
        <w:tabs>
          <w:tab w:val="left" w:pos="851"/>
          <w:tab w:val="left" w:pos="1134"/>
        </w:tabs>
        <w:spacing w:after="0"/>
        <w:ind w:right="-1" w:firstLine="851"/>
        <w:jc w:val="both"/>
        <w:rPr>
          <w:sz w:val="28"/>
          <w:szCs w:val="28"/>
        </w:rPr>
      </w:pPr>
      <w:r>
        <w:rPr>
          <w:sz w:val="28"/>
          <w:szCs w:val="28"/>
        </w:rPr>
        <w:t xml:space="preserve">2. Основное мероприятие </w:t>
      </w:r>
      <w:r w:rsidRPr="006C24A1">
        <w:rPr>
          <w:sz w:val="28"/>
          <w:szCs w:val="28"/>
        </w:rPr>
        <w:t>«Финансовая поддержка субъектов малого и среднего предпринимательства»</w:t>
      </w:r>
      <w:r w:rsidRPr="006C24A1">
        <w:rPr>
          <w:bCs/>
          <w:sz w:val="28"/>
          <w:szCs w:val="28"/>
        </w:rPr>
        <w:t xml:space="preserve"> </w:t>
      </w:r>
    </w:p>
    <w:p w:rsidR="004649EE" w:rsidRPr="006C24A1" w:rsidRDefault="004649EE" w:rsidP="004649EE">
      <w:pPr>
        <w:tabs>
          <w:tab w:val="left" w:pos="851"/>
        </w:tabs>
        <w:spacing w:after="0"/>
        <w:ind w:right="-1" w:firstLine="851"/>
        <w:jc w:val="both"/>
        <w:rPr>
          <w:sz w:val="28"/>
          <w:szCs w:val="28"/>
        </w:rPr>
      </w:pPr>
      <w:r>
        <w:rPr>
          <w:sz w:val="28"/>
          <w:szCs w:val="28"/>
        </w:rPr>
        <w:t xml:space="preserve">- </w:t>
      </w:r>
      <w:r w:rsidRPr="00EF773D">
        <w:rPr>
          <w:sz w:val="28"/>
          <w:szCs w:val="28"/>
        </w:rPr>
        <w:t>финансовая поддержка в форме субсидий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w:t>
      </w:r>
      <w:r>
        <w:rPr>
          <w:sz w:val="28"/>
          <w:szCs w:val="28"/>
        </w:rPr>
        <w:t xml:space="preserve"> в сумме 9 379,5 тыс. рублей;</w:t>
      </w:r>
    </w:p>
    <w:p w:rsidR="004649EE" w:rsidRPr="006C24A1" w:rsidRDefault="004649EE" w:rsidP="004649EE">
      <w:pPr>
        <w:spacing w:after="0"/>
        <w:ind w:right="-1" w:firstLine="708"/>
        <w:contextualSpacing/>
        <w:jc w:val="both"/>
        <w:rPr>
          <w:sz w:val="28"/>
          <w:szCs w:val="28"/>
        </w:rPr>
      </w:pPr>
      <w:r w:rsidRPr="006C24A1">
        <w:rPr>
          <w:sz w:val="28"/>
          <w:szCs w:val="28"/>
        </w:rPr>
        <w:t xml:space="preserve">Подпрограмма </w:t>
      </w:r>
      <w:r w:rsidRPr="006C24A1">
        <w:rPr>
          <w:sz w:val="28"/>
          <w:szCs w:val="28"/>
          <w:lang w:val="en-US"/>
        </w:rPr>
        <w:t>II</w:t>
      </w:r>
      <w:r w:rsidRPr="006C24A1">
        <w:rPr>
          <w:sz w:val="28"/>
          <w:szCs w:val="28"/>
        </w:rPr>
        <w:t xml:space="preserve"> </w:t>
      </w:r>
      <w:r w:rsidRPr="006C24A1">
        <w:rPr>
          <w:bCs/>
          <w:sz w:val="28"/>
          <w:szCs w:val="28"/>
        </w:rPr>
        <w:t>«Развитие сельскохозяйственного и обрабатывающего производства, обеспечение продовольственной безопасности города Ханты-Мансийска»</w:t>
      </w:r>
      <w:r w:rsidRPr="006C24A1">
        <w:rPr>
          <w:sz w:val="28"/>
          <w:szCs w:val="28"/>
        </w:rPr>
        <w:t>.</w:t>
      </w:r>
    </w:p>
    <w:p w:rsidR="004649EE" w:rsidRPr="00E57364" w:rsidRDefault="004649EE" w:rsidP="004649EE">
      <w:pPr>
        <w:pStyle w:val="af"/>
        <w:numPr>
          <w:ilvl w:val="0"/>
          <w:numId w:val="9"/>
        </w:numPr>
        <w:tabs>
          <w:tab w:val="left" w:pos="0"/>
          <w:tab w:val="left" w:pos="284"/>
          <w:tab w:val="left" w:pos="851"/>
        </w:tabs>
        <w:spacing w:after="0"/>
        <w:ind w:right="-1"/>
        <w:jc w:val="both"/>
        <w:rPr>
          <w:sz w:val="28"/>
          <w:szCs w:val="28"/>
        </w:rPr>
      </w:pPr>
      <w:r w:rsidRPr="00E57364">
        <w:rPr>
          <w:sz w:val="28"/>
          <w:szCs w:val="28"/>
        </w:rPr>
        <w:t xml:space="preserve">Основное мероприятие «Развитие животноводства» </w:t>
      </w:r>
    </w:p>
    <w:p w:rsidR="004649EE" w:rsidRPr="00E57364" w:rsidRDefault="004649EE" w:rsidP="004649EE">
      <w:pPr>
        <w:tabs>
          <w:tab w:val="left" w:pos="0"/>
          <w:tab w:val="left" w:pos="284"/>
          <w:tab w:val="left" w:pos="851"/>
        </w:tabs>
        <w:spacing w:after="0"/>
        <w:ind w:right="-1"/>
        <w:jc w:val="both"/>
        <w:rPr>
          <w:sz w:val="28"/>
          <w:szCs w:val="28"/>
        </w:rPr>
      </w:pPr>
      <w:r>
        <w:rPr>
          <w:sz w:val="28"/>
          <w:szCs w:val="28"/>
        </w:rPr>
        <w:tab/>
      </w:r>
      <w:r>
        <w:rPr>
          <w:sz w:val="28"/>
          <w:szCs w:val="28"/>
        </w:rPr>
        <w:tab/>
        <w:t xml:space="preserve">- </w:t>
      </w:r>
      <w:r w:rsidRPr="00E57364">
        <w:rPr>
          <w:sz w:val="28"/>
          <w:szCs w:val="28"/>
        </w:rPr>
        <w:t>субсидии сельхозтоваропроизводителям на поддержку животноводства</w:t>
      </w:r>
      <w:r>
        <w:rPr>
          <w:sz w:val="28"/>
          <w:szCs w:val="28"/>
        </w:rPr>
        <w:t xml:space="preserve"> в сумме 30,0 тыс. рублей – средства бюджета автономного округа.</w:t>
      </w:r>
    </w:p>
    <w:p w:rsidR="004649EE" w:rsidRDefault="004649EE" w:rsidP="004649EE">
      <w:pPr>
        <w:tabs>
          <w:tab w:val="left" w:pos="851"/>
        </w:tabs>
        <w:spacing w:after="0"/>
        <w:ind w:right="-1" w:firstLine="851"/>
        <w:jc w:val="both"/>
        <w:rPr>
          <w:sz w:val="28"/>
          <w:szCs w:val="28"/>
        </w:rPr>
      </w:pPr>
      <w:r>
        <w:rPr>
          <w:sz w:val="28"/>
          <w:szCs w:val="28"/>
        </w:rPr>
        <w:t>2. О</w:t>
      </w:r>
      <w:r w:rsidRPr="006C24A1">
        <w:rPr>
          <w:sz w:val="28"/>
          <w:szCs w:val="28"/>
        </w:rPr>
        <w:t>сновно</w:t>
      </w:r>
      <w:r>
        <w:rPr>
          <w:sz w:val="28"/>
          <w:szCs w:val="28"/>
        </w:rPr>
        <w:t>е</w:t>
      </w:r>
      <w:r w:rsidRPr="006C24A1">
        <w:rPr>
          <w:sz w:val="28"/>
          <w:szCs w:val="28"/>
        </w:rPr>
        <w:t xml:space="preserve"> мероприяти</w:t>
      </w:r>
      <w:r>
        <w:rPr>
          <w:sz w:val="28"/>
          <w:szCs w:val="28"/>
        </w:rPr>
        <w:t>е</w:t>
      </w:r>
      <w:r w:rsidRPr="006C24A1">
        <w:rPr>
          <w:sz w:val="28"/>
          <w:szCs w:val="28"/>
        </w:rPr>
        <w:t xml:space="preserve"> «Создание условий для реализации сельскохозяйственной продукции на территории города Ханты-Мансийска»</w:t>
      </w:r>
    </w:p>
    <w:p w:rsidR="004649EE" w:rsidRDefault="004649EE" w:rsidP="004649EE">
      <w:pPr>
        <w:tabs>
          <w:tab w:val="left" w:pos="851"/>
        </w:tabs>
        <w:spacing w:after="0"/>
        <w:ind w:right="-1" w:firstLine="851"/>
        <w:jc w:val="both"/>
        <w:rPr>
          <w:sz w:val="28"/>
          <w:szCs w:val="28"/>
        </w:rPr>
      </w:pPr>
      <w:r>
        <w:rPr>
          <w:sz w:val="28"/>
          <w:szCs w:val="28"/>
        </w:rPr>
        <w:t>- о</w:t>
      </w:r>
      <w:r w:rsidRPr="002B6EE2">
        <w:rPr>
          <w:sz w:val="28"/>
          <w:szCs w:val="28"/>
        </w:rPr>
        <w:t>казание услуг по организации и проведению конкурс</w:t>
      </w:r>
      <w:r>
        <w:rPr>
          <w:sz w:val="28"/>
          <w:szCs w:val="28"/>
        </w:rPr>
        <w:t>ов, городских ярмарок, форумов в сумме 2 750,0 тыс. рублей;</w:t>
      </w:r>
    </w:p>
    <w:p w:rsidR="004649EE" w:rsidRPr="003958BC" w:rsidRDefault="004649EE" w:rsidP="004649EE">
      <w:pPr>
        <w:spacing w:after="0"/>
        <w:ind w:right="-1" w:firstLine="851"/>
        <w:jc w:val="both"/>
        <w:rPr>
          <w:sz w:val="28"/>
          <w:szCs w:val="28"/>
        </w:rPr>
      </w:pPr>
      <w:r>
        <w:rPr>
          <w:sz w:val="28"/>
          <w:szCs w:val="28"/>
        </w:rPr>
        <w:t>3.</w:t>
      </w:r>
      <w:r w:rsidRPr="001317EB">
        <w:rPr>
          <w:sz w:val="28"/>
          <w:szCs w:val="28"/>
        </w:rPr>
        <w:t xml:space="preserve"> </w:t>
      </w:r>
      <w:r>
        <w:rPr>
          <w:sz w:val="28"/>
          <w:szCs w:val="28"/>
        </w:rPr>
        <w:t>О</w:t>
      </w:r>
      <w:r w:rsidRPr="001317EB">
        <w:rPr>
          <w:sz w:val="28"/>
          <w:szCs w:val="28"/>
        </w:rPr>
        <w:t>сновно</w:t>
      </w:r>
      <w:r>
        <w:rPr>
          <w:sz w:val="28"/>
          <w:szCs w:val="28"/>
        </w:rPr>
        <w:t>е</w:t>
      </w:r>
      <w:r w:rsidRPr="001317EB">
        <w:rPr>
          <w:sz w:val="28"/>
          <w:szCs w:val="28"/>
        </w:rPr>
        <w:t xml:space="preserve"> мероприяти</w:t>
      </w:r>
      <w:r>
        <w:rPr>
          <w:sz w:val="28"/>
          <w:szCs w:val="28"/>
        </w:rPr>
        <w:t>е</w:t>
      </w:r>
      <w:r w:rsidRPr="001317EB">
        <w:rPr>
          <w:sz w:val="28"/>
          <w:szCs w:val="28"/>
        </w:rPr>
        <w:t xml:space="preserve"> «Создание условий для обеспечения продовольственной безопасности и развития обрабатывающего производства на </w:t>
      </w:r>
      <w:r w:rsidRPr="003958BC">
        <w:rPr>
          <w:sz w:val="28"/>
          <w:szCs w:val="28"/>
        </w:rPr>
        <w:t>территории города Ханты-Мансийска»</w:t>
      </w:r>
    </w:p>
    <w:p w:rsidR="004649EE" w:rsidRPr="003958BC" w:rsidRDefault="004649EE" w:rsidP="004649EE">
      <w:pPr>
        <w:spacing w:after="0"/>
        <w:ind w:right="-1" w:firstLine="851"/>
        <w:jc w:val="both"/>
        <w:rPr>
          <w:sz w:val="28"/>
          <w:szCs w:val="28"/>
        </w:rPr>
      </w:pPr>
      <w:r w:rsidRPr="003958BC">
        <w:rPr>
          <w:sz w:val="28"/>
          <w:szCs w:val="28"/>
        </w:rPr>
        <w:t xml:space="preserve">- субсидии на возмещение затрат организаций, осуществляющих деятельность в сфере агропромышленного комплекса и обрабатывающего производства </w:t>
      </w:r>
      <w:r>
        <w:rPr>
          <w:sz w:val="28"/>
          <w:szCs w:val="28"/>
        </w:rPr>
        <w:t xml:space="preserve">при плане 9 776,7 тыс. рублей исполнение в сумме 8 619,2 тыс. рублей, что составило 88,2%, в связи </w:t>
      </w:r>
      <w:r w:rsidRPr="00451CC3">
        <w:rPr>
          <w:sz w:val="28"/>
          <w:szCs w:val="28"/>
        </w:rPr>
        <w:t>с отклонением заявки от участника отбора для предоставления субсидии по причине несоответствия требованиям, установленным п</w:t>
      </w:r>
      <w:r>
        <w:rPr>
          <w:sz w:val="28"/>
          <w:szCs w:val="28"/>
        </w:rPr>
        <w:t>орядком предоставления субсидии.</w:t>
      </w:r>
    </w:p>
    <w:p w:rsidR="004649EE" w:rsidRPr="00D356C3" w:rsidRDefault="004649EE" w:rsidP="004649EE">
      <w:pPr>
        <w:shd w:val="clear" w:color="auto" w:fill="FFFFFF"/>
        <w:spacing w:after="0"/>
        <w:ind w:right="-1" w:firstLine="851"/>
        <w:jc w:val="both"/>
        <w:rPr>
          <w:sz w:val="28"/>
          <w:szCs w:val="28"/>
        </w:rPr>
      </w:pPr>
      <w:r w:rsidRPr="00D356C3">
        <w:rPr>
          <w:sz w:val="28"/>
          <w:szCs w:val="28"/>
        </w:rPr>
        <w:t xml:space="preserve">Подпрограмма </w:t>
      </w:r>
      <w:r w:rsidRPr="00D356C3">
        <w:rPr>
          <w:sz w:val="28"/>
          <w:szCs w:val="28"/>
          <w:lang w:val="en-US"/>
        </w:rPr>
        <w:t>IV</w:t>
      </w:r>
      <w:r w:rsidRPr="00D356C3">
        <w:rPr>
          <w:sz w:val="28"/>
          <w:szCs w:val="28"/>
        </w:rPr>
        <w:t xml:space="preserve"> «Улучшение условий и охраны труда в городе Ханты-Мансийске».</w:t>
      </w:r>
    </w:p>
    <w:p w:rsidR="004649EE" w:rsidRPr="00187F59" w:rsidRDefault="004649EE" w:rsidP="004649EE">
      <w:pPr>
        <w:spacing w:after="0"/>
        <w:ind w:right="-1" w:firstLine="851"/>
        <w:jc w:val="both"/>
        <w:rPr>
          <w:sz w:val="28"/>
          <w:szCs w:val="28"/>
        </w:rPr>
      </w:pPr>
      <w:r>
        <w:rPr>
          <w:sz w:val="28"/>
          <w:szCs w:val="28"/>
        </w:rPr>
        <w:t>1</w:t>
      </w:r>
      <w:r w:rsidRPr="00187F59">
        <w:rPr>
          <w:sz w:val="28"/>
          <w:szCs w:val="28"/>
        </w:rPr>
        <w:t xml:space="preserve">. Основное мероприятие «Организация и проведение обучающих мероприятий по вопросам трудовых отношений» </w:t>
      </w:r>
    </w:p>
    <w:p w:rsidR="004649EE" w:rsidRPr="00914BA6" w:rsidRDefault="004649EE" w:rsidP="004649EE">
      <w:pPr>
        <w:spacing w:after="0"/>
        <w:ind w:firstLine="851"/>
        <w:jc w:val="both"/>
        <w:rPr>
          <w:sz w:val="28"/>
          <w:szCs w:val="28"/>
          <w:highlight w:val="yellow"/>
        </w:rPr>
      </w:pPr>
      <w:r w:rsidRPr="00187F59">
        <w:rPr>
          <w:sz w:val="28"/>
          <w:szCs w:val="28"/>
        </w:rPr>
        <w:t>- организация и проведение ежегодного форума «Безопасность и охрана</w:t>
      </w:r>
      <w:r>
        <w:rPr>
          <w:sz w:val="28"/>
          <w:szCs w:val="28"/>
        </w:rPr>
        <w:t xml:space="preserve"> труда» в сумме 845,9 тыс. рублей, в том числе средства автономного округа 123,5 тыс. рублей, средства города Ханты-Мансийска 722,4 тыс. рублей.</w:t>
      </w:r>
      <w:r w:rsidRPr="00187F59">
        <w:rPr>
          <w:sz w:val="28"/>
          <w:szCs w:val="28"/>
        </w:rPr>
        <w:t xml:space="preserve"> </w:t>
      </w:r>
    </w:p>
    <w:p w:rsidR="004649EE" w:rsidRPr="001913A9" w:rsidRDefault="004649EE" w:rsidP="004649EE">
      <w:pPr>
        <w:spacing w:after="0"/>
        <w:ind w:right="-1" w:firstLine="851"/>
        <w:jc w:val="both"/>
        <w:rPr>
          <w:sz w:val="28"/>
          <w:szCs w:val="28"/>
        </w:rPr>
      </w:pPr>
      <w:r>
        <w:rPr>
          <w:sz w:val="28"/>
          <w:szCs w:val="28"/>
        </w:rPr>
        <w:t>2</w:t>
      </w:r>
      <w:r w:rsidRPr="001913A9">
        <w:rPr>
          <w:sz w:val="28"/>
          <w:szCs w:val="28"/>
        </w:rPr>
        <w:t xml:space="preserve">. Основное мероприятие «Организация и проведение смотров-конкурсов в области охраны труда» </w:t>
      </w:r>
    </w:p>
    <w:p w:rsidR="004649EE" w:rsidRPr="001913A9" w:rsidRDefault="004649EE" w:rsidP="004649EE">
      <w:pPr>
        <w:spacing w:after="0"/>
        <w:ind w:right="-1" w:firstLine="851"/>
        <w:jc w:val="both"/>
        <w:rPr>
          <w:sz w:val="28"/>
          <w:szCs w:val="28"/>
        </w:rPr>
      </w:pPr>
      <w:r w:rsidRPr="001913A9">
        <w:rPr>
          <w:sz w:val="28"/>
          <w:szCs w:val="28"/>
        </w:rPr>
        <w:lastRenderedPageBreak/>
        <w:t xml:space="preserve">- организация и проведение ежегодного смотра-конкурса «На лучшую организацию работы в области охраны труда в организациях города Ханты-Мансийска», конкурса среди работников организаций города Ханты-Мансийска «Оказание первой помощи пострадавшим на производстве» и конкурса детского рисунка среди обучающихся школ и воспитанников детских садов города Ханты-Мансийска «Безопасный труд глазами детей» в сумме 40,0 тыс. рублей – средства бюджета автономного округа. </w:t>
      </w:r>
    </w:p>
    <w:p w:rsidR="004649EE" w:rsidRPr="00914BA6" w:rsidRDefault="004649EE" w:rsidP="004649EE">
      <w:pPr>
        <w:spacing w:after="0"/>
        <w:ind w:right="-1" w:firstLine="851"/>
        <w:jc w:val="both"/>
        <w:rPr>
          <w:sz w:val="28"/>
          <w:szCs w:val="28"/>
          <w:highlight w:val="yellow"/>
        </w:rPr>
      </w:pPr>
      <w:r>
        <w:rPr>
          <w:sz w:val="28"/>
          <w:szCs w:val="28"/>
        </w:rPr>
        <w:t>3</w:t>
      </w:r>
      <w:r w:rsidRPr="00DC5D6E">
        <w:rPr>
          <w:sz w:val="28"/>
          <w:szCs w:val="28"/>
        </w:rPr>
        <w:t>. Основное мероприят</w:t>
      </w:r>
      <w:r>
        <w:rPr>
          <w:sz w:val="28"/>
          <w:szCs w:val="28"/>
        </w:rPr>
        <w:t>и</w:t>
      </w:r>
      <w:r w:rsidRPr="00DC5D6E">
        <w:rPr>
          <w:sz w:val="28"/>
          <w:szCs w:val="28"/>
        </w:rPr>
        <w:t xml:space="preserve">е «Обеспечение деятельности отдела охраны труда управления экономического развития и инвестиций Администрации города Ханты-Мансийска» </w:t>
      </w:r>
    </w:p>
    <w:p w:rsidR="004649EE" w:rsidRDefault="004649EE" w:rsidP="004649EE">
      <w:pPr>
        <w:spacing w:after="0"/>
        <w:ind w:firstLine="851"/>
        <w:jc w:val="both"/>
        <w:rPr>
          <w:sz w:val="28"/>
          <w:szCs w:val="28"/>
          <w:highlight w:val="yellow"/>
        </w:rPr>
      </w:pPr>
      <w:r>
        <w:rPr>
          <w:sz w:val="28"/>
          <w:szCs w:val="28"/>
        </w:rPr>
        <w:t>- о</w:t>
      </w:r>
      <w:r w:rsidRPr="00DC5D6E">
        <w:rPr>
          <w:sz w:val="28"/>
          <w:szCs w:val="28"/>
        </w:rPr>
        <w:t>существл</w:t>
      </w:r>
      <w:r>
        <w:rPr>
          <w:sz w:val="28"/>
          <w:szCs w:val="28"/>
        </w:rPr>
        <w:t>ение исполнения</w:t>
      </w:r>
      <w:r w:rsidRPr="00DC5D6E">
        <w:rPr>
          <w:sz w:val="28"/>
          <w:szCs w:val="28"/>
        </w:rPr>
        <w:t xml:space="preserve"> переданн</w:t>
      </w:r>
      <w:r>
        <w:rPr>
          <w:sz w:val="28"/>
          <w:szCs w:val="28"/>
        </w:rPr>
        <w:t>ых</w:t>
      </w:r>
      <w:r w:rsidRPr="00DC5D6E">
        <w:rPr>
          <w:sz w:val="28"/>
          <w:szCs w:val="28"/>
        </w:rPr>
        <w:t xml:space="preserve"> отдельн</w:t>
      </w:r>
      <w:r>
        <w:rPr>
          <w:sz w:val="28"/>
          <w:szCs w:val="28"/>
        </w:rPr>
        <w:t>ых</w:t>
      </w:r>
      <w:r w:rsidRPr="00DC5D6E">
        <w:rPr>
          <w:sz w:val="28"/>
          <w:szCs w:val="28"/>
        </w:rPr>
        <w:t xml:space="preserve"> государственн</w:t>
      </w:r>
      <w:r>
        <w:rPr>
          <w:sz w:val="28"/>
          <w:szCs w:val="28"/>
        </w:rPr>
        <w:t>ых</w:t>
      </w:r>
      <w:r w:rsidRPr="00DC5D6E">
        <w:rPr>
          <w:sz w:val="28"/>
          <w:szCs w:val="28"/>
        </w:rPr>
        <w:t xml:space="preserve"> полномочи</w:t>
      </w:r>
      <w:r>
        <w:rPr>
          <w:sz w:val="28"/>
          <w:szCs w:val="28"/>
        </w:rPr>
        <w:t xml:space="preserve">й </w:t>
      </w:r>
      <w:r w:rsidRPr="0077726C">
        <w:rPr>
          <w:sz w:val="28"/>
          <w:szCs w:val="28"/>
        </w:rPr>
        <w:t xml:space="preserve">по организации сбора и обработки информации о состоянии условий и охраны труда </w:t>
      </w:r>
      <w:r>
        <w:rPr>
          <w:sz w:val="28"/>
          <w:szCs w:val="28"/>
        </w:rPr>
        <w:t>в сумме 5 401,2 тыс. рублей, в том числе средства бюджета автономного округа 4 977,8 тыс. рублей, средства бюджета города Ханты-Мансийска 423,4 тыс. рублей.</w:t>
      </w:r>
    </w:p>
    <w:p w:rsidR="004649EE" w:rsidRPr="002B6EE2" w:rsidRDefault="004649EE" w:rsidP="004649EE">
      <w:pPr>
        <w:spacing w:after="0"/>
        <w:ind w:right="-1" w:firstLine="851"/>
        <w:jc w:val="both"/>
        <w:rPr>
          <w:sz w:val="28"/>
          <w:szCs w:val="28"/>
        </w:rPr>
      </w:pPr>
      <w:r>
        <w:rPr>
          <w:sz w:val="28"/>
          <w:szCs w:val="28"/>
        </w:rPr>
        <w:t>4</w:t>
      </w:r>
      <w:r w:rsidRPr="002B6EE2">
        <w:rPr>
          <w:sz w:val="28"/>
          <w:szCs w:val="28"/>
        </w:rPr>
        <w:t xml:space="preserve">. Основное мероприятие «Содействие трудоустройству граждан» </w:t>
      </w:r>
    </w:p>
    <w:p w:rsidR="004649EE" w:rsidRPr="002B6EE2" w:rsidRDefault="004649EE" w:rsidP="004649EE">
      <w:pPr>
        <w:spacing w:after="0"/>
        <w:ind w:right="-1" w:firstLine="851"/>
        <w:jc w:val="both"/>
        <w:rPr>
          <w:sz w:val="28"/>
          <w:szCs w:val="28"/>
        </w:rPr>
      </w:pPr>
      <w:r w:rsidRPr="002B6EE2">
        <w:rPr>
          <w:sz w:val="28"/>
          <w:szCs w:val="28"/>
        </w:rPr>
        <w:t>- организация временного трудоустройства несовершеннолетних граждан в возрасте от 14 до 18 лет в свободное от учебы время в сумме 18 098,5 тыс. рублей, в том числе средства бюджета автономного округа 9 480,0 тыс. рублей, средства бюджета города Ханты-Мансийска 8 615,5 тыс. рублей.</w:t>
      </w:r>
    </w:p>
    <w:p w:rsidR="004649EE" w:rsidRPr="002B6EE2" w:rsidRDefault="004649EE" w:rsidP="004649EE">
      <w:pPr>
        <w:spacing w:after="0"/>
        <w:ind w:right="-1" w:firstLine="851"/>
        <w:contextualSpacing/>
        <w:jc w:val="both"/>
        <w:rPr>
          <w:sz w:val="28"/>
          <w:szCs w:val="28"/>
        </w:rPr>
      </w:pPr>
      <w:r w:rsidRPr="002B6EE2">
        <w:rPr>
          <w:sz w:val="28"/>
          <w:szCs w:val="28"/>
        </w:rPr>
        <w:t xml:space="preserve">Подпрограмма </w:t>
      </w:r>
      <w:r w:rsidRPr="002B6EE2">
        <w:rPr>
          <w:sz w:val="28"/>
          <w:szCs w:val="28"/>
          <w:lang w:val="en-US"/>
        </w:rPr>
        <w:t>V</w:t>
      </w:r>
      <w:r w:rsidRPr="002B6EE2">
        <w:rPr>
          <w:sz w:val="28"/>
          <w:szCs w:val="28"/>
        </w:rPr>
        <w:t xml:space="preserve"> «Развитие внутреннего и въездного туризма в городе Ханты-Мансийске». </w:t>
      </w:r>
    </w:p>
    <w:p w:rsidR="004649EE" w:rsidRPr="00F40E73" w:rsidRDefault="004649EE" w:rsidP="004649EE">
      <w:pPr>
        <w:shd w:val="clear" w:color="auto" w:fill="FFFFFF"/>
        <w:spacing w:after="0"/>
        <w:ind w:firstLine="851"/>
        <w:jc w:val="both"/>
        <w:rPr>
          <w:sz w:val="28"/>
          <w:szCs w:val="28"/>
        </w:rPr>
      </w:pPr>
      <w:r>
        <w:rPr>
          <w:sz w:val="28"/>
          <w:szCs w:val="28"/>
        </w:rPr>
        <w:t>1</w:t>
      </w:r>
      <w:r w:rsidRPr="002B6EE2">
        <w:rPr>
          <w:sz w:val="28"/>
          <w:szCs w:val="28"/>
        </w:rPr>
        <w:t>. Основное мероприятие «Создание условий для устойчивого развития внутреннего и въездного туризма, проведение мероприятий, нап</w:t>
      </w:r>
      <w:r w:rsidRPr="00F40E73">
        <w:rPr>
          <w:sz w:val="28"/>
          <w:szCs w:val="28"/>
        </w:rPr>
        <w:t xml:space="preserve">равленных на расширение спектра туристских услуг и их изучение, продвижение на территории Российской Федерации» </w:t>
      </w:r>
    </w:p>
    <w:p w:rsidR="004649EE" w:rsidRPr="00F40E73" w:rsidRDefault="004649EE" w:rsidP="004649EE">
      <w:pPr>
        <w:shd w:val="clear" w:color="auto" w:fill="FFFFFF"/>
        <w:spacing w:after="0"/>
        <w:ind w:firstLine="851"/>
        <w:jc w:val="both"/>
        <w:rPr>
          <w:sz w:val="28"/>
          <w:szCs w:val="28"/>
        </w:rPr>
      </w:pPr>
      <w:r w:rsidRPr="00F40E73">
        <w:rPr>
          <w:sz w:val="28"/>
          <w:szCs w:val="28"/>
        </w:rPr>
        <w:t xml:space="preserve">- </w:t>
      </w:r>
      <w:r w:rsidRPr="00EF679E">
        <w:rPr>
          <w:sz w:val="28"/>
          <w:szCs w:val="28"/>
        </w:rPr>
        <w:t>организация и проведение</w:t>
      </w:r>
      <w:r>
        <w:rPr>
          <w:sz w:val="28"/>
          <w:szCs w:val="28"/>
        </w:rPr>
        <w:t xml:space="preserve"> экскурсий, ярмарок, фестивалей для р</w:t>
      </w:r>
      <w:r w:rsidRPr="00354CB3">
        <w:rPr>
          <w:sz w:val="28"/>
          <w:szCs w:val="28"/>
        </w:rPr>
        <w:t>азвитие внутреннего и въездного туризма в городе Ханты-Мансийске</w:t>
      </w:r>
      <w:r>
        <w:rPr>
          <w:sz w:val="28"/>
          <w:szCs w:val="28"/>
        </w:rPr>
        <w:t xml:space="preserve"> в сумме 5 895,2 тыс. рублей. </w:t>
      </w:r>
    </w:p>
    <w:p w:rsidR="004649EE" w:rsidRPr="00F40E73" w:rsidRDefault="004649EE" w:rsidP="004649EE">
      <w:pPr>
        <w:shd w:val="clear" w:color="auto" w:fill="FFFFFF"/>
        <w:spacing w:after="0"/>
        <w:ind w:firstLine="851"/>
        <w:jc w:val="both"/>
        <w:rPr>
          <w:sz w:val="28"/>
          <w:szCs w:val="28"/>
        </w:rPr>
      </w:pPr>
      <w:r>
        <w:rPr>
          <w:sz w:val="28"/>
          <w:szCs w:val="28"/>
        </w:rPr>
        <w:t>2</w:t>
      </w:r>
      <w:r w:rsidRPr="00F40E73">
        <w:rPr>
          <w:sz w:val="28"/>
          <w:szCs w:val="28"/>
        </w:rPr>
        <w:t xml:space="preserve">. 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 </w:t>
      </w:r>
    </w:p>
    <w:p w:rsidR="004649EE" w:rsidRPr="00F40E73" w:rsidRDefault="004649EE" w:rsidP="004649EE">
      <w:pPr>
        <w:shd w:val="clear" w:color="auto" w:fill="FFFFFF"/>
        <w:spacing w:after="0"/>
        <w:ind w:firstLine="851"/>
        <w:jc w:val="both"/>
        <w:rPr>
          <w:sz w:val="28"/>
          <w:szCs w:val="28"/>
        </w:rPr>
      </w:pPr>
      <w:r w:rsidRPr="00F40E73">
        <w:rPr>
          <w:sz w:val="28"/>
          <w:szCs w:val="28"/>
        </w:rPr>
        <w:t xml:space="preserve">- организация и проведение культурно-туристического проекта «Ханты-Мансийск – Новогодняя столица» в сумме 7 </w:t>
      </w:r>
      <w:r>
        <w:rPr>
          <w:sz w:val="28"/>
          <w:szCs w:val="28"/>
        </w:rPr>
        <w:t>1</w:t>
      </w:r>
      <w:r w:rsidRPr="00F40E73">
        <w:rPr>
          <w:sz w:val="28"/>
          <w:szCs w:val="28"/>
        </w:rPr>
        <w:t>48,0 тыс. рублей</w:t>
      </w:r>
      <w:r>
        <w:rPr>
          <w:sz w:val="28"/>
          <w:szCs w:val="28"/>
        </w:rPr>
        <w:t>;</w:t>
      </w:r>
    </w:p>
    <w:p w:rsidR="004649EE" w:rsidRPr="00F40E73" w:rsidRDefault="004649EE" w:rsidP="004649EE">
      <w:pPr>
        <w:spacing w:after="0"/>
        <w:ind w:firstLine="851"/>
        <w:jc w:val="both"/>
        <w:rPr>
          <w:sz w:val="28"/>
          <w:szCs w:val="28"/>
        </w:rPr>
      </w:pPr>
      <w:r w:rsidRPr="00F40E73">
        <w:rPr>
          <w:sz w:val="28"/>
          <w:szCs w:val="28"/>
        </w:rPr>
        <w:t xml:space="preserve">- организации участия в Международном Муниципальном Форуме стран БРИКС в сумме </w:t>
      </w:r>
      <w:r>
        <w:rPr>
          <w:sz w:val="28"/>
          <w:szCs w:val="28"/>
        </w:rPr>
        <w:t>1 1</w:t>
      </w:r>
      <w:r w:rsidRPr="00F40E73">
        <w:rPr>
          <w:sz w:val="28"/>
          <w:szCs w:val="28"/>
        </w:rPr>
        <w:t>00,0 тыс. рублей.</w:t>
      </w:r>
      <w:r>
        <w:rPr>
          <w:sz w:val="28"/>
          <w:szCs w:val="28"/>
        </w:rPr>
        <w:t xml:space="preserve"> </w:t>
      </w:r>
    </w:p>
    <w:p w:rsidR="004649EE" w:rsidRDefault="004649EE" w:rsidP="004649EE"/>
    <w:sectPr w:rsidR="004649EE"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55" w:rsidRDefault="007B0655" w:rsidP="00FF5332">
      <w:pPr>
        <w:spacing w:after="0" w:line="240" w:lineRule="auto"/>
      </w:pPr>
      <w:r>
        <w:separator/>
      </w:r>
    </w:p>
  </w:endnote>
  <w:endnote w:type="continuationSeparator" w:id="0">
    <w:p w:rsidR="007B0655" w:rsidRDefault="007B0655"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55" w:rsidRDefault="007B0655" w:rsidP="00FF5332">
      <w:pPr>
        <w:spacing w:after="0" w:line="240" w:lineRule="auto"/>
      </w:pPr>
      <w:r>
        <w:separator/>
      </w:r>
    </w:p>
  </w:footnote>
  <w:footnote w:type="continuationSeparator" w:id="0">
    <w:p w:rsidR="007B0655" w:rsidRDefault="007B0655"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655"/>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0E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B4FCD9-4040-414F-A731-0324D3EA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2025-04-03T06:35:00Z</dcterms:created>
  <dcterms:modified xsi:type="dcterms:W3CDTF">2025-04-03T06:35:00Z</dcterms:modified>
</cp:coreProperties>
</file>