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AD" w:rsidRPr="005508AD" w:rsidRDefault="005508AD" w:rsidP="005508AD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5508A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«Развитие физической культуры и спорта в городе Ханты-Мансийске»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10.10.2013 № 1272 «О муниципальной программе «Развитие физической культуры и спорта в городе Ханты-Мансийске». 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Управление физической культуры, спорта и молодежной политики Администрации города Ханты-Мансийска.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являются: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муниципальной программы: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школьного спорта и массового спорта, спортивной инфраструктуры, пропаганда здорового образа жизни.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5508AD" w:rsidRPr="005508AD" w:rsidRDefault="005508AD" w:rsidP="005508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200 517,3 тыс. рублей.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55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200 461,8 тыс. рублей или 100</w:t>
      </w:r>
      <w:r w:rsidRPr="005508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объема финансирования. 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AD" w:rsidRPr="005508AD" w:rsidRDefault="005508AD" w:rsidP="005508A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3.3.1.</w:t>
      </w:r>
    </w:p>
    <w:p w:rsidR="005508AD" w:rsidRPr="005508AD" w:rsidRDefault="005508AD" w:rsidP="005508AD">
      <w:pPr>
        <w:tabs>
          <w:tab w:val="left" w:pos="0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ассигнований на реализацию муниципальной программы «Развитие физической культуры и спорта в городе Ханты-Мансийске», тыс. рублей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5508A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3CAA7C" wp14:editId="4E6C0F29">
            <wp:extent cx="5667375" cy="1657350"/>
            <wp:effectExtent l="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508AD" w:rsidRPr="005508AD" w:rsidRDefault="005508AD" w:rsidP="005508AD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5508AD" w:rsidRPr="005508AD" w:rsidRDefault="005508AD" w:rsidP="005508A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8AD" w:rsidRPr="005508AD" w:rsidRDefault="005508AD" w:rsidP="005508A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3.3.1.</w:t>
      </w:r>
    </w:p>
    <w:p w:rsidR="005508AD" w:rsidRPr="005508AD" w:rsidRDefault="005508AD" w:rsidP="005508AD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«Развитие физической культуры и спорта в городе Ханты-Мансийске»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(тыс. рублей)</w:t>
      </w:r>
    </w:p>
    <w:tbl>
      <w:tblPr>
        <w:tblW w:w="100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559"/>
        <w:gridCol w:w="1559"/>
        <w:gridCol w:w="1309"/>
      </w:tblGrid>
      <w:tr w:rsidR="005508AD" w:rsidRPr="005508AD" w:rsidTr="0013494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AD" w:rsidRPr="005508AD" w:rsidRDefault="005508AD" w:rsidP="005508A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AD" w:rsidRPr="005508AD" w:rsidRDefault="005508AD" w:rsidP="005508AD">
            <w:pPr>
              <w:spacing w:after="0" w:line="240" w:lineRule="auto"/>
              <w:ind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5508AD" w:rsidRPr="005508AD" w:rsidTr="0013494F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AD" w:rsidRPr="005508AD" w:rsidRDefault="005508AD" w:rsidP="005508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AD" w:rsidRPr="005508AD" w:rsidRDefault="005508AD" w:rsidP="005508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AD" w:rsidRPr="005508AD" w:rsidRDefault="005508AD" w:rsidP="005508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08AD" w:rsidRPr="005508AD" w:rsidTr="001349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AD" w:rsidRPr="005508AD" w:rsidRDefault="005508AD" w:rsidP="005508AD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200 318,5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88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200 517,3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200 461,8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13494F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197 970,4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191 446,8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13494F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13494F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13494F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08AD" w:rsidRP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508AD" w:rsidRP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P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P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P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P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AD" w:rsidRPr="005508AD" w:rsidRDefault="005508AD" w:rsidP="005508AD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Рисунок 3.3.2.</w:t>
      </w:r>
    </w:p>
    <w:p w:rsidR="005508AD" w:rsidRPr="005508AD" w:rsidRDefault="005508AD" w:rsidP="005508AD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муниципальной программы «Развитие физической культуры и спорта в городе Ханты-Мансийске», </w:t>
      </w:r>
    </w:p>
    <w:p w:rsidR="005508AD" w:rsidRPr="005508AD" w:rsidRDefault="005508AD" w:rsidP="005508AD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5508A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3C64FF36" wp14:editId="20F18603">
            <wp:extent cx="4829175" cy="2733675"/>
            <wp:effectExtent l="0" t="0" r="9525" b="9525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3.3.2.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«Развитие физической культуры и спорта в городе Ханты-Мансийске»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(тыс. рублей)</w:t>
      </w: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395"/>
        <w:gridCol w:w="1440"/>
        <w:gridCol w:w="1417"/>
        <w:gridCol w:w="1268"/>
      </w:tblGrid>
      <w:tr w:rsidR="005508AD" w:rsidRPr="005508AD" w:rsidTr="005508AD">
        <w:trPr>
          <w:trHeight w:val="30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5508AD" w:rsidRPr="005508AD" w:rsidTr="005508AD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AD" w:rsidRPr="005508AD" w:rsidRDefault="005508AD" w:rsidP="005508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AD" w:rsidRPr="005508AD" w:rsidRDefault="005508AD" w:rsidP="005508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200 318,5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200 517,3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200 461,8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left="-271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4 899,9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194 751,4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195 358,3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массовой физической культуры и спорта»,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19 240,1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4 899,9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22 101,2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14 136,6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4 946,0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материально-технической базы учреждений спорта и спортивных объектов»,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12 637,9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4 057,7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4 057,7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8 580,2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8 580,2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по организации и обеспечению отдыха и оздоровления детей, имеющих место жительства на территории города Ханты-Мансийска»,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tabs>
                <w:tab w:val="left" w:pos="100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«Спорт - норма жизни»,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«Обеспечение условий для выполнения функций и полномочий в сфере физической культуры и спорта»,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172 759,5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181 221,7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172 650,2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181 221,7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учреждений», всего,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172 759,5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181 221,7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508AD" w:rsidRPr="005508AD" w:rsidTr="005508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172 650,2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181 221,7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AD" w:rsidRPr="005508AD" w:rsidRDefault="005508AD" w:rsidP="005508A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508AD" w:rsidRPr="005508AD" w:rsidRDefault="005508AD" w:rsidP="005508AD">
      <w:pPr>
        <w:spacing w:after="0" w:line="276" w:lineRule="auto"/>
        <w:ind w:right="424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508AD">
        <w:rPr>
          <w:rFonts w:ascii="Times New Roman" w:hAnsi="Times New Roman" w:cs="Times New Roman"/>
          <w:highlight w:val="yellow"/>
        </w:rPr>
        <w:t xml:space="preserve">   </w:t>
      </w:r>
    </w:p>
    <w:p w:rsidR="005508AD" w:rsidRPr="005508AD" w:rsidRDefault="005508AD" w:rsidP="005508A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физической культуры и спорта в городе Ханты-Мансийске» включает в себя 2 подпрограммы.</w:t>
      </w:r>
    </w:p>
    <w:p w:rsidR="005508AD" w:rsidRPr="005508AD" w:rsidRDefault="005508AD" w:rsidP="005508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5508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массовой физической культуры и спорта</w:t>
      </w:r>
      <w:r w:rsidRPr="005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08AD" w:rsidRPr="005508AD" w:rsidRDefault="005508AD" w:rsidP="005508AD">
      <w:pPr>
        <w:pStyle w:val="a3"/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08AD">
        <w:rPr>
          <w:rFonts w:eastAsia="Times New Roman"/>
          <w:sz w:val="28"/>
          <w:szCs w:val="28"/>
          <w:lang w:eastAsia="ru-RU"/>
        </w:rPr>
        <w:t>Исполнение по данной подпрограмме составило 19 240,1 тыс. рублей при плане 19 256,7 тыс. рублей, что составляет 100%, в том числе: средства федерального бюджета - 203,6 тыс. рублей, средства автономного округа - 4 899,9 тыс. рублей, средства городского бюджета - 14 136,6 тыс. рублей.</w:t>
      </w:r>
    </w:p>
    <w:p w:rsidR="005508AD" w:rsidRPr="005508AD" w:rsidRDefault="005508AD" w:rsidP="005508A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t xml:space="preserve"> Данная подпрограмма состоит из четырех основных мероприятий и одного регионального проекта: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t>1.Основное мероприятие «Проведение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семинарах».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5 246,0 тыс. рублей при плане 5 262,6 тыс. рублей, что составляет 99,7%, в том числе: средства автономного округа - 300,0 тыс. рублей, средства городского бюджета - 4 946,0 тыс. рублей.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на: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межбюджетные трансферты на финансирование наказов избирателей депутатам Думы Ханты-Мансийского автономного округа - Югры - муниципальное бюджетное учреждение «Спортивный комплекс «Дружба» - оказание финансовой помощи на участие в спортивных соревнованиях по боксу (бюджет автономного округа) на сумму 300,0 тыс. рублей. Участие сборной команды города Ханты-Мансийска по боксу на Всероссийских соревнованиях класса «А» памяти Заслуженного мастера спорта СССР, 9-ти кратного чемпиона СССР Королева Н.Ф. и памяти боксеров-бойцов спецназа в городе Москве; Первенстве Уральского федерального округа по боксу среди юношей старшего возраста 15-16 лет в городе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тренировочные мероприятия в поселке городского типа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5508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турнире по боксу памяти лауреата 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Международной премии «Элита Национальной Экономики»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Плескача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 городе Когалыме;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основному мероприятию предусмотрены средства в сумме 4 946,0 тыс. рублей на 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категорий жителей города проведено 69 мероприятий. Наибольшее количество соревнований проведено по хоккею, плаванию и лыжным гонкам. Общее количество участников в 2020 году составило 14 448 человек.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городских и окружных мероприятиях спортсменам города присвоен 521 спортивно-массовый разряд, 162 спортивных разряда.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заслуживают 10 спортивных званий «Мастер спорта России» (2 плавание, 1 пауэрлифтинг, 2 биатлон, 1 каратэ, 2 лыжные гонки, 2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следж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-хоккей (спорт лиц с ПОДА) и 2 звания «Заслуженный мастер спорта России» по спорту глухих.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риска завоза и распространения в городе                   Ханты-Мансийске новой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с 30 марта по 17 августа проведение физкультурных и спортивных городских мероприятий было приостановлено на период эпидемиологического неблагополучия.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полезного досуга молодежи организовано и проведено 15 мероприятий в онлайн формате. Общее количество участников мероприятий и просмотров размещенного контента составило более 17 000 человек.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с наибольшим количеством участников стали: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по июль в социальной сети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эфире три раза в неделю проводились функциональные тренировки «Бодрое утро» от школы правильного спорта «I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Supersport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Ханты-Мансийск». Общее количество участников мероприятий 450 человек. 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ОнлайнЛето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проводилась «Утренняя зарядка с чемпионкой по боксу Любовью Юсуповой». Спортсменка демонстрировала технику выполнения общеукрепляющих упражнений, а также специальных упражнений по виду спорта бокс. Данная акция была направлена на организацию досуга несовершеннолетних в период самоизоляции. Общее количество участников мероприятий 500 человек.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 итогам 2019 года была организована и проведена Спортивная Элита - 2019. Ежегодно торжественная церемония чествования проходила в концертном зале КДЦ «Октябрь», но из-за пандемии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наградили в частном порядке. Все лауреаты (78 номинантов) были награждены дипломами и памятными подарками.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lastRenderedPageBreak/>
        <w:t>2.Основное мероприятие «Проведение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кортах».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530,0 тыс. рублей или 100% от плана на год.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3 постановления Администрации города Ханты-Мансийска от 20.03.2020 № 259 «О реализации на территории города Ханты-Мансийска мер по снижению рисков распространения новой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связи с введением режима повышенной готовности в Ханты-Мансийском автономном округе - Югре», отменено проведение отдыха, оздоровления и занятости детей, подростков и молодежи в период летних каникул 2020 года.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средства были направлены на уборку снега </w:t>
      </w:r>
      <w:r w:rsidRPr="00550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спортивных площадок по адресам: Пионерская,27; Шевченко,32; Осенняя,3; Мира,83; Ключевая,11; Чехова,26; Бориса Щербины,3.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t>3.Основное мероприятие «Развитие материально-технической базы учреждений спорта и спортивных объектов».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12 637,9 тыс. рублей или 100% от плана на год, в том числе: средства автономного округа - 4 057,7 тыс. рублей, средства городского бюджета - 8 580,2 тыс. рублей.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на: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межбюджетные трансферты на финансирование наказов избирателей депутатам Думы Ханты-Мансийского автономного округа - Югры - муниципальное бюджетное учреждение «Спортивная школа олимпийского резерва» - оказание финансовой помощи на приобретение спортивного инвентаря, спортивной экипировки, средств по уходу за лыжами (бюджет автономного округа) на сумму 649,5 тыс. рублей. Приобретены лыжи и палки, ботинки лыжные и крепления, мазь для лыж, лыжный тренажер, спортивное ограждение для лыжных трасс;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межбюджетные трансферты на финансирование наказов избирателей депутатам Думы Ханты-Мансийского автономного округа - Югры - муниципальное бюджетное учреждение «Спортивный комплекс «Дружба» - оказание финансовой помощи на приобретение спортивного оборудования и инвентаря (бюджет автономного округа) на сумму 1 200,0 тыс. рублей. Приобретены боксерские перчатки и шлемы, боксерки, бинты, тренерские подушки для бокса, спортивная экипировка;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межбюджетные трансферты на финансирование наказов избирателей депутатам Думы Ханты-Мансийского автономного округа - Югры - муниципальное бюджетное учреждение «Спортивный комплекс «Дружба» - оказание финансовой помощи на приобретение звукового оборудования, микрофонов, переносного пьедестала почета, фотометра для анализа воды в 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бассейне, спортивного оборудования и инвентаря - эспандеры, гимнастические мячи, скоростные лестницы, приобретение биотуалета, одежды для организаторов мероприятий, табличек, полиграфической продукции (бюджет автономного округа) на сумму 400,0 тыс. рублей;</w:t>
      </w:r>
    </w:p>
    <w:p w:rsidR="005508AD" w:rsidRPr="005508AD" w:rsidRDefault="005508AD" w:rsidP="005508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субсидия на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муниципальных округов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(бюджет автономного округа) на сумму 1 808,2 тыс. рублей и </w:t>
      </w:r>
      <w:proofErr w:type="spell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на сумму 95,2 тыс. рублей - приобретена вакс-кабина для сервисного обслуживания лыжного инвентаря, лыжи беговые </w:t>
      </w:r>
      <w:r w:rsidRPr="005508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Salomon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ботинки лыжные </w:t>
      </w:r>
      <w:r w:rsidRPr="005508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Salomon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хоккейные перчатки, стойки для грифов, штанги олимпийские, помост для тяжелой атлетики, тренажеры для отработки ударов, скамьи для пресса, спортивные гири, наборы гантелей, коньки, щитки, шлемы, шорты вратаря;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основному мероприятию на сумму 8 485,0 тыс. рублей направлены средства городского бюджета на разработку проектно-сметной документации на капитальный ремонт покрытия спортивных трасс и мостового сооружения в районе улицы Калинина,1 города Ханты-Мансийска на сумму 600,0 тыс. рублей и выполнение проектных работ по объекту «Молодежный спортивно-досуговый центр» на сумму 7 885,0 тыс. рублей.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t>4.Основное мероприятие «Проведение мероприятий по организации и обеспечению отдыха и оздоровления детей, имеющих место жительства на территории города Ханты-Мансийска».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111,8 тыс. рублей или 100% от плана на год, в том числе: средства автономного округа - 67,1 тыс. рублей, средства городского бюджета - 44,7 тыс. рублей.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t xml:space="preserve">Руководствуясь пунктом 3 постановления Администрации города Ханты-Мансийска от 20.03.2020 №259 «О реализации на территории города Ханты-Мансийска мер по снижению рисков распространения новой </w:t>
      </w:r>
      <w:proofErr w:type="spellStart"/>
      <w:r w:rsidRPr="005508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08AD">
        <w:rPr>
          <w:rFonts w:ascii="Times New Roman" w:hAnsi="Times New Roman" w:cs="Times New Roman"/>
          <w:sz w:val="28"/>
          <w:szCs w:val="28"/>
        </w:rPr>
        <w:t xml:space="preserve"> инфекции в связи с введением режима повышенной готовности в Ханты-Мансийском автономном округе - Югре», отменено проведение отдыха, оздоровления и занятости детей, подростков и молодежи в период весенних, летних и осенних каникул 2020 года.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направлены на проведение лагеря в период зимних каникул.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AD">
        <w:rPr>
          <w:rFonts w:ascii="Times New Roman" w:hAnsi="Times New Roman" w:cs="Times New Roman"/>
          <w:sz w:val="28"/>
          <w:szCs w:val="28"/>
        </w:rPr>
        <w:t xml:space="preserve">5. Региональный проект «Спорт - норма жизни».   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714,4 тыс. рублей или 100% от плана на год, в том числе: средства автономного округа - 475,1 тыс. рублей, средства федерального бюджета - 203,6 тыс. рублей, средства городского бюджета - 35,7 тыс. рублей.</w:t>
      </w:r>
    </w:p>
    <w:p w:rsidR="005508AD" w:rsidRPr="005508AD" w:rsidRDefault="005508AD" w:rsidP="005508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Региональный проект «Спорт - норма жизни», входит в состав национального проекта «Демография». Основная задача данного проекта -</w:t>
      </w:r>
      <w:r w:rsidRPr="005508AD">
        <w:rPr>
          <w:rFonts w:ascii="Times New Roman" w:eastAsia="Calibri" w:hAnsi="Times New Roman" w:cs="Times New Roman"/>
          <w:sz w:val="28"/>
          <w:szCs w:val="28"/>
        </w:rPr>
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инфраструктуры.</w:t>
      </w:r>
    </w:p>
    <w:p w:rsidR="005508AD" w:rsidRPr="005508AD" w:rsidRDefault="005508AD" w:rsidP="005508A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данного мероприятия предусмотрена государственная поддержка спортивных организаций, осуществляющих подготовку спортивного резерва для сборных команд Российской Федерации по трем направлениям: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городских спортивных соревнований по видам спорта и физкультурных мероприятий, обеспечение участия спортивных сборных команд города в региональных, всероссийских соревнованиях, тренировочных мероприятиях, семинарах;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материально-технической базы учреждений спорта;</w:t>
      </w:r>
    </w:p>
    <w:p w:rsidR="005508AD" w:rsidRPr="005508AD" w:rsidRDefault="005508AD" w:rsidP="005508A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массового спорта.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закупка спортивной экипировки, инвентаря и </w:t>
      </w:r>
      <w:proofErr w:type="gramStart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отделения лыжных гонок</w:t>
      </w:r>
      <w:proofErr w:type="gramEnd"/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сноуборда муниципального бюджетного учреждения «Спортивная школа олимпийского резерва». </w:t>
      </w:r>
    </w:p>
    <w:p w:rsidR="005508AD" w:rsidRPr="005508AD" w:rsidRDefault="005508AD" w:rsidP="005508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5508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выполнения функций и полномочий в сфере физической культуры и спорта</w:t>
      </w:r>
      <w:r w:rsidRPr="005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08AD" w:rsidRPr="005508AD" w:rsidRDefault="005508AD" w:rsidP="005508A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181 221,7 тыс. рублей или 100% от плана на год.</w:t>
      </w:r>
    </w:p>
    <w:p w:rsidR="005508AD" w:rsidRPr="005508AD" w:rsidRDefault="005508AD" w:rsidP="005508A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AD">
        <w:rPr>
          <w:rFonts w:ascii="Times New Roman" w:eastAsia="Calibri" w:hAnsi="Times New Roman" w:cs="Times New Roman"/>
          <w:sz w:val="28"/>
          <w:szCs w:val="28"/>
        </w:rPr>
        <w:t>Данная подпрограмма состоит из одного основного мероприятия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учреждений». </w:t>
      </w:r>
      <w:r w:rsidRPr="005508A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 сумму расходов составили:</w:t>
      </w:r>
      <w:r w:rsidRPr="005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работников заработной платы; обеспечение иных социальных выплат, гарантий и компенсаций, обусловленных трудовыми отношениями;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обязанностей.</w:t>
      </w:r>
    </w:p>
    <w:p w:rsidR="005508AD" w:rsidRPr="005508AD" w:rsidRDefault="005508AD" w:rsidP="005508A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Проводимая физкультурно-спортивная работа в коллективах физкультуры и общественных физкультурно-спортивных клубах, участие сборных команд и спортсменов в Региональных, Всероссийских и Международных соревнованиях регулярно освещается в средствах массовой информации и интернет ресурсах города Ханты-Мансийска. </w:t>
      </w:r>
    </w:p>
    <w:p w:rsidR="005508AD" w:rsidRPr="005508AD" w:rsidRDefault="005508AD" w:rsidP="005508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670" w:rsidRPr="005508AD" w:rsidRDefault="0013494F" w:rsidP="005508AD">
      <w:pPr>
        <w:rPr>
          <w:sz w:val="28"/>
          <w:szCs w:val="28"/>
        </w:rPr>
      </w:pPr>
    </w:p>
    <w:sectPr w:rsidR="00711670" w:rsidRPr="005508AD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D"/>
    <w:rsid w:val="0013494F"/>
    <w:rsid w:val="00440C2F"/>
    <w:rsid w:val="005508AD"/>
    <w:rsid w:val="00681F98"/>
    <w:rsid w:val="008038AD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059F-7B2C-41ED-A4E4-C19B95A8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8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'Физкультура 2020'!$B$4:$D$4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'Физкультура 2020'!$B$5:$D$5</c:f>
              <c:numCache>
                <c:formatCode>#,##0.0;[Red]\-#,##0.0;0.0</c:formatCode>
                <c:ptCount val="3"/>
                <c:pt idx="0">
                  <c:v>200318.5</c:v>
                </c:pt>
                <c:pt idx="1">
                  <c:v>200517.30000000002</c:v>
                </c:pt>
                <c:pt idx="2">
                  <c:v>200461.80000000002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716848"/>
        <c:axId val="141717240"/>
      </c:barChart>
      <c:catAx>
        <c:axId val="14171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17240"/>
        <c:crosses val="autoZero"/>
        <c:auto val="1"/>
        <c:lblAlgn val="ctr"/>
        <c:lblOffset val="100"/>
        <c:noMultiLvlLbl val="0"/>
      </c:catAx>
      <c:valAx>
        <c:axId val="141717240"/>
        <c:scaling>
          <c:orientation val="minMax"/>
        </c:scaling>
        <c:delete val="1"/>
        <c:axPos val="l"/>
        <c:numFmt formatCode="#,##0.0;[Red]\-#,##0.0;0.0" sourceLinked="1"/>
        <c:majorTickMark val="none"/>
        <c:minorTickMark val="none"/>
        <c:tickLblPos val="none"/>
        <c:crossAx val="14171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928937007874292"/>
          <c:y val="5.0925925925925923E-2"/>
          <c:w val="0.47182174103237273"/>
          <c:h val="0.666086322543019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'Физкультура 2020'!$A$2</c:f>
              <c:strCache>
                <c:ptCount val="1"/>
                <c:pt idx="0">
                  <c:v>Развитие массовой физической культуры и спорта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'Физкультура 2020'!$B$1:$D$1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'Физкультура 2020'!$B$2:$D$2</c:f>
              <c:numCache>
                <c:formatCode>#,##0.0;[Red]\-#,##0.0;0.0</c:formatCode>
                <c:ptCount val="3"/>
                <c:pt idx="0">
                  <c:v>27559</c:v>
                </c:pt>
                <c:pt idx="1">
                  <c:v>19256.7</c:v>
                </c:pt>
                <c:pt idx="2">
                  <c:v>19240.099999999999</c:v>
                </c:pt>
              </c:numCache>
            </c:numRef>
          </c:val>
        </c:ser>
        <c:ser>
          <c:idx val="1"/>
          <c:order val="1"/>
          <c:tx>
            <c:strRef>
              <c:f>'Физкультура 2020'!$A$3</c:f>
              <c:strCache>
                <c:ptCount val="1"/>
                <c:pt idx="0">
                  <c:v>Обеспечение условий для выполнения функций и полномочий в сфере физической культуры и спорта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'Физкультура 2020'!$B$1:$D$1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'Физкультура 2020'!$B$3:$D$3</c:f>
              <c:numCache>
                <c:formatCode>#,##0.0;[Red]\-#,##0.0;0.0</c:formatCode>
                <c:ptCount val="3"/>
                <c:pt idx="0">
                  <c:v>172759.5</c:v>
                </c:pt>
                <c:pt idx="1">
                  <c:v>181260.6</c:v>
                </c:pt>
                <c:pt idx="2">
                  <c:v>181221.7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1718024"/>
        <c:axId val="141718416"/>
      </c:barChart>
      <c:catAx>
        <c:axId val="14171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18416"/>
        <c:crosses val="autoZero"/>
        <c:auto val="1"/>
        <c:lblAlgn val="ctr"/>
        <c:lblOffset val="100"/>
        <c:noMultiLvlLbl val="0"/>
      </c:catAx>
      <c:valAx>
        <c:axId val="1417184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;[Red]\-#,##0.0;0.0" sourceLinked="1"/>
        <c:majorTickMark val="none"/>
        <c:minorTickMark val="none"/>
        <c:tickLblPos val="none"/>
        <c:crossAx val="141718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2825</Words>
  <Characters>16105</Characters>
  <Application>Microsoft Office Word</Application>
  <DocSecurity>0</DocSecurity>
  <Lines>134</Lines>
  <Paragraphs>37</Paragraphs>
  <ScaleCrop>false</ScaleCrop>
  <Company/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4</cp:revision>
  <dcterms:created xsi:type="dcterms:W3CDTF">2021-03-18T11:39:00Z</dcterms:created>
  <dcterms:modified xsi:type="dcterms:W3CDTF">2021-03-19T04:12:00Z</dcterms:modified>
</cp:coreProperties>
</file>