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2A" w:rsidRPr="00F1502A" w:rsidRDefault="00F1502A" w:rsidP="00F1502A">
      <w:pPr>
        <w:keepNext/>
        <w:keepLines/>
        <w:spacing w:after="0" w:line="240" w:lineRule="auto"/>
        <w:ind w:left="1222" w:right="424" w:hanging="360"/>
        <w:jc w:val="center"/>
        <w:outlineLvl w:val="0"/>
        <w:rPr>
          <w:rFonts w:ascii="Times New Roman" w:eastAsia="Times New Roman" w:hAnsi="Times New Roman" w:cs="Times New Roman"/>
          <w:b/>
          <w:bCs/>
          <w:color w:val="C45911" w:themeColor="accent2" w:themeShade="BF"/>
          <w:sz w:val="32"/>
          <w:szCs w:val="32"/>
          <w:lang w:eastAsia="ru-RU"/>
        </w:rPr>
      </w:pPr>
      <w:r w:rsidRPr="00F1502A">
        <w:rPr>
          <w:rFonts w:ascii="Times New Roman" w:eastAsia="Times New Roman" w:hAnsi="Times New Roman" w:cs="Times New Roman"/>
          <w:b/>
          <w:bCs/>
          <w:color w:val="C45911" w:themeColor="accent2" w:themeShade="BF"/>
          <w:sz w:val="32"/>
          <w:szCs w:val="32"/>
          <w:lang w:eastAsia="ru-RU"/>
        </w:rPr>
        <w:t>Муниципальная программа «</w:t>
      </w:r>
      <w:r w:rsidRPr="00F1502A">
        <w:rPr>
          <w:rFonts w:ascii="Times New Roman" w:eastAsia="Times New Roman" w:hAnsi="Times New Roman" w:cs="Times New Roman"/>
          <w:b/>
          <w:bCs/>
          <w:color w:val="C45911" w:themeColor="accent2" w:themeShade="BF"/>
          <w:sz w:val="32"/>
          <w:szCs w:val="32"/>
          <w:lang w:bidi="en-US"/>
        </w:rPr>
        <w:t>Развитие образования в городе Ханты-Мансийске</w:t>
      </w:r>
      <w:r w:rsidRPr="00F1502A">
        <w:rPr>
          <w:rFonts w:ascii="Times New Roman" w:eastAsia="Times New Roman" w:hAnsi="Times New Roman" w:cs="Times New Roman"/>
          <w:b/>
          <w:bCs/>
          <w:color w:val="C45911" w:themeColor="accent2" w:themeShade="BF"/>
          <w:sz w:val="32"/>
          <w:szCs w:val="32"/>
          <w:lang w:eastAsia="ru-RU"/>
        </w:rPr>
        <w:t>»</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Муниципальная программа утверждена постановлением Администрации города Ханты-Мансийска от 05.11.2013 № 1421 «Об утверждении муниципальной программы «Развитие образования в городе Ханты-Мансийске». </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Разработчиком и координатором муниципальной программы является Департамент образования Администрации города Ханты-Мансийска.</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Целью муниципальной программы является (являются):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1.</w:t>
      </w:r>
      <w:r w:rsidRPr="00F1502A">
        <w:rPr>
          <w:rFonts w:ascii="Times New Roman" w:eastAsia="Times New Roman" w:hAnsi="Times New Roman" w:cs="Times New Roman"/>
          <w:lang w:eastAsia="ru-RU"/>
        </w:rPr>
        <w:t xml:space="preserve"> </w:t>
      </w:r>
      <w:r w:rsidRPr="00F1502A">
        <w:rPr>
          <w:rFonts w:ascii="Times New Roman" w:eastAsia="Times New Roman" w:hAnsi="Times New Roman" w:cs="Times New Roman"/>
          <w:sz w:val="28"/>
          <w:szCs w:val="28"/>
          <w:lang w:eastAsia="ru-RU"/>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Задачи муниципальной программы:</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1.</w:t>
      </w:r>
      <w:r w:rsidRPr="00F1502A">
        <w:rPr>
          <w:rFonts w:ascii="Times New Roman" w:eastAsia="Times New Roman" w:hAnsi="Times New Roman" w:cs="Times New Roman"/>
          <w:lang w:eastAsia="ru-RU"/>
        </w:rPr>
        <w:t xml:space="preserve"> </w:t>
      </w:r>
      <w:r w:rsidRPr="00F1502A">
        <w:rPr>
          <w:rFonts w:ascii="Times New Roman" w:eastAsia="Times New Roman" w:hAnsi="Times New Roman" w:cs="Times New Roman"/>
          <w:sz w:val="28"/>
          <w:szCs w:val="28"/>
          <w:lang w:eastAsia="ru-RU"/>
        </w:rPr>
        <w:t>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2.</w:t>
      </w:r>
      <w:r w:rsidRPr="00F1502A">
        <w:rPr>
          <w:rFonts w:ascii="Times New Roman" w:eastAsia="Times New Roman" w:hAnsi="Times New Roman" w:cs="Times New Roman"/>
          <w:lang w:eastAsia="ru-RU"/>
        </w:rPr>
        <w:t xml:space="preserve"> </w:t>
      </w:r>
      <w:r w:rsidRPr="00F1502A">
        <w:rPr>
          <w:rFonts w:ascii="Times New Roman" w:eastAsia="Times New Roman" w:hAnsi="Times New Roman" w:cs="Times New Roman"/>
          <w:sz w:val="28"/>
          <w:szCs w:val="28"/>
          <w:lang w:eastAsia="ru-RU"/>
        </w:rPr>
        <w:t>Организация и обеспечение отдыха и оздоровления детей, включая обеспечение безопасности их жизни и здоровья.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7. Совершенствование системы профилактики детского дорожно-транспортного травматизма, формирование навыков безопасного поведения на дорогах.</w:t>
      </w:r>
    </w:p>
    <w:p w:rsidR="00F1502A" w:rsidRPr="00F1502A" w:rsidRDefault="00F1502A" w:rsidP="00F1502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На финансирование муниципальной программы в 2020 году предусмотрены средства в объеме </w:t>
      </w:r>
      <w:r w:rsidRPr="00F1502A">
        <w:rPr>
          <w:rFonts w:ascii="Times New Roman" w:eastAsia="Times New Roman" w:hAnsi="Times New Roman" w:cs="Times New Roman"/>
          <w:bCs/>
          <w:sz w:val="28"/>
          <w:szCs w:val="28"/>
          <w:lang w:eastAsia="ru-RU"/>
        </w:rPr>
        <w:t xml:space="preserve">5 671 455,7 </w:t>
      </w:r>
      <w:r w:rsidRPr="00F1502A">
        <w:rPr>
          <w:rFonts w:ascii="Times New Roman" w:eastAsia="Times New Roman" w:hAnsi="Times New Roman" w:cs="Times New Roman"/>
          <w:sz w:val="28"/>
          <w:szCs w:val="28"/>
          <w:lang w:eastAsia="ru-RU"/>
        </w:rPr>
        <w:t>тыс. рублей.</w:t>
      </w:r>
    </w:p>
    <w:p w:rsidR="00F1502A" w:rsidRDefault="00F1502A" w:rsidP="00F1502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Исполнение </w:t>
      </w:r>
      <w:r w:rsidRPr="00F1502A">
        <w:rPr>
          <w:rFonts w:ascii="Times New Roman" w:eastAsia="Times New Roman" w:hAnsi="Times New Roman" w:cs="Times New Roman"/>
          <w:bCs/>
          <w:sz w:val="28"/>
          <w:szCs w:val="28"/>
          <w:lang w:eastAsia="ru-RU"/>
        </w:rPr>
        <w:t>муниципальной программы</w:t>
      </w:r>
      <w:r w:rsidRPr="00F1502A">
        <w:rPr>
          <w:rFonts w:ascii="Times New Roman" w:eastAsia="Times New Roman" w:hAnsi="Times New Roman" w:cs="Times New Roman"/>
          <w:sz w:val="28"/>
          <w:szCs w:val="28"/>
          <w:lang w:eastAsia="ru-RU"/>
        </w:rPr>
        <w:t xml:space="preserve"> на отчетную дату составляет </w:t>
      </w:r>
      <w:r w:rsidRPr="00F1502A">
        <w:rPr>
          <w:rFonts w:ascii="Times New Roman" w:eastAsia="Times New Roman" w:hAnsi="Times New Roman" w:cs="Times New Roman"/>
          <w:bCs/>
          <w:sz w:val="28"/>
          <w:szCs w:val="28"/>
          <w:lang w:eastAsia="ru-RU"/>
        </w:rPr>
        <w:t xml:space="preserve">5 402 330,3 </w:t>
      </w:r>
      <w:r w:rsidRPr="00F1502A">
        <w:rPr>
          <w:rFonts w:ascii="Times New Roman" w:eastAsia="Times New Roman" w:hAnsi="Times New Roman" w:cs="Times New Roman"/>
          <w:sz w:val="28"/>
          <w:szCs w:val="28"/>
          <w:lang w:eastAsia="ru-RU"/>
        </w:rPr>
        <w:t xml:space="preserve">тыс. рублей или 95,3% от годового объема финансирования. </w:t>
      </w:r>
    </w:p>
    <w:p w:rsidR="00F1502A" w:rsidRPr="00F1502A" w:rsidRDefault="00F1502A" w:rsidP="00F1502A">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Объемы бюджетных ассигнований распределены следующим образом:</w:t>
      </w:r>
    </w:p>
    <w:p w:rsidR="00F1502A" w:rsidRPr="00F1502A" w:rsidRDefault="00F1502A" w:rsidP="00F1502A">
      <w:pPr>
        <w:keepNext/>
        <w:tabs>
          <w:tab w:val="left" w:pos="0"/>
        </w:tabs>
        <w:suppressAutoHyphens/>
        <w:spacing w:after="0" w:line="240"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lastRenderedPageBreak/>
        <w:t>Рисунок 3.5.1.</w:t>
      </w:r>
    </w:p>
    <w:p w:rsidR="00F1502A" w:rsidRPr="00F1502A" w:rsidRDefault="00F1502A" w:rsidP="00F1502A">
      <w:pPr>
        <w:keepNext/>
        <w:tabs>
          <w:tab w:val="left" w:pos="459"/>
        </w:tabs>
        <w:suppressAutoHyphens/>
        <w:spacing w:after="0" w:line="240" w:lineRule="auto"/>
        <w:ind w:firstLine="709"/>
        <w:jc w:val="center"/>
        <w:rPr>
          <w:rFonts w:ascii="Times New Roman" w:eastAsia="Times New Roman" w:hAnsi="Times New Roman" w:cs="Times New Roman"/>
          <w:b/>
          <w:sz w:val="28"/>
          <w:szCs w:val="28"/>
          <w:lang w:eastAsia="ru-RU"/>
        </w:rPr>
      </w:pPr>
      <w:r w:rsidRPr="00F1502A">
        <w:rPr>
          <w:rFonts w:ascii="Times New Roman" w:eastAsia="Times New Roman" w:hAnsi="Times New Roman" w:cs="Times New Roman"/>
          <w:b/>
          <w:bCs/>
          <w:sz w:val="28"/>
          <w:szCs w:val="28"/>
          <w:lang w:eastAsia="ru-RU"/>
        </w:rPr>
        <w:t xml:space="preserve">Объёмы ассигнований на реализацию муниципальной программы </w:t>
      </w:r>
      <w:r w:rsidRPr="00F1502A">
        <w:rPr>
          <w:rFonts w:ascii="Times New Roman" w:eastAsia="Times New Roman" w:hAnsi="Times New Roman" w:cs="Times New Roman"/>
          <w:b/>
          <w:sz w:val="28"/>
          <w:szCs w:val="28"/>
          <w:lang w:eastAsia="ru-RU"/>
        </w:rPr>
        <w:t>«Развитие образования в городе Ханты-Мансийске»</w:t>
      </w:r>
      <w:r w:rsidRPr="00F1502A">
        <w:rPr>
          <w:rFonts w:ascii="Times New Roman" w:eastAsia="Times New Roman" w:hAnsi="Times New Roman" w:cs="Times New Roman"/>
          <w:b/>
          <w:bCs/>
          <w:sz w:val="28"/>
          <w:szCs w:val="28"/>
          <w:lang w:eastAsia="ru-RU"/>
        </w:rPr>
        <w:t>,</w:t>
      </w:r>
      <w:r w:rsidRPr="00F1502A">
        <w:rPr>
          <w:rFonts w:ascii="Times New Roman" w:eastAsia="Times New Roman" w:hAnsi="Times New Roman" w:cs="Times New Roman"/>
          <w:b/>
          <w:sz w:val="28"/>
          <w:szCs w:val="28"/>
          <w:lang w:eastAsia="ru-RU"/>
        </w:rPr>
        <w:t xml:space="preserve"> тыс. рублей.</w:t>
      </w:r>
    </w:p>
    <w:p w:rsidR="00F1502A" w:rsidRPr="00F1502A" w:rsidRDefault="00F1502A" w:rsidP="00F1502A">
      <w:pPr>
        <w:keepNext/>
        <w:tabs>
          <w:tab w:val="left" w:pos="459"/>
        </w:tabs>
        <w:suppressAutoHyphens/>
        <w:spacing w:after="0" w:line="276" w:lineRule="auto"/>
        <w:ind w:firstLine="709"/>
        <w:jc w:val="both"/>
        <w:rPr>
          <w:rFonts w:ascii="Times New Roman" w:eastAsia="Times New Roman" w:hAnsi="Times New Roman" w:cs="Times New Roman"/>
          <w:noProof/>
          <w:sz w:val="24"/>
          <w:szCs w:val="24"/>
          <w:lang w:eastAsia="ru-RU"/>
        </w:rPr>
      </w:pPr>
    </w:p>
    <w:p w:rsidR="00F1502A" w:rsidRPr="00F1502A" w:rsidRDefault="00F1502A" w:rsidP="00F1502A">
      <w:pPr>
        <w:keepNext/>
        <w:tabs>
          <w:tab w:val="left" w:pos="459"/>
        </w:tabs>
        <w:suppressAutoHyphens/>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noProof/>
          <w:sz w:val="24"/>
          <w:szCs w:val="24"/>
          <w:lang w:eastAsia="ru-RU"/>
        </w:rPr>
        <w:drawing>
          <wp:inline distT="0" distB="0" distL="0" distR="0" wp14:anchorId="40E29388" wp14:editId="0A948FB7">
            <wp:extent cx="4953000" cy="2609850"/>
            <wp:effectExtent l="0" t="0" r="0" b="0"/>
            <wp:docPr id="3"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1502A" w:rsidRPr="00F1502A" w:rsidRDefault="00F1502A" w:rsidP="00F1502A">
      <w:pPr>
        <w:keepNext/>
        <w:tabs>
          <w:tab w:val="left" w:pos="0"/>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tabs>
          <w:tab w:val="left" w:pos="0"/>
        </w:tabs>
        <w:suppressAutoHyphens/>
        <w:spacing w:after="0" w:line="276"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t>Таблица 3.5.2.</w:t>
      </w:r>
    </w:p>
    <w:p w:rsidR="00F1502A" w:rsidRPr="00F1502A" w:rsidRDefault="00F1502A" w:rsidP="00F1502A">
      <w:pPr>
        <w:keepNext/>
        <w:tabs>
          <w:tab w:val="left" w:pos="459"/>
        </w:tabs>
        <w:suppressAutoHyphens/>
        <w:spacing w:after="0" w:line="276" w:lineRule="auto"/>
        <w:ind w:firstLine="709"/>
        <w:jc w:val="center"/>
        <w:rPr>
          <w:rFonts w:ascii="Times New Roman" w:eastAsia="Times New Roman" w:hAnsi="Times New Roman" w:cs="Times New Roman"/>
          <w:b/>
          <w:sz w:val="28"/>
          <w:szCs w:val="28"/>
          <w:lang w:eastAsia="ru-RU"/>
        </w:rPr>
      </w:pPr>
      <w:r w:rsidRPr="00F1502A">
        <w:rPr>
          <w:rFonts w:ascii="Times New Roman" w:eastAsia="Times New Roman" w:hAnsi="Times New Roman" w:cs="Times New Roman"/>
          <w:b/>
          <w:sz w:val="28"/>
          <w:szCs w:val="28"/>
          <w:lang w:eastAsia="ru-RU"/>
        </w:rPr>
        <w:t>Объем бюджетных ассигнований за 2020 год по основному исполнителю и соисполнителям муниципальной программы «Развитие образования в городе Ханты-Мансийске»</w:t>
      </w: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t>(тыс. рублей)</w:t>
      </w:r>
    </w:p>
    <w:tbl>
      <w:tblPr>
        <w:tblW w:w="9364" w:type="dxa"/>
        <w:tblInd w:w="92" w:type="dxa"/>
        <w:tblLook w:val="04A0" w:firstRow="1" w:lastRow="0" w:firstColumn="1" w:lastColumn="0" w:noHBand="0" w:noVBand="1"/>
      </w:tblPr>
      <w:tblGrid>
        <w:gridCol w:w="706"/>
        <w:gridCol w:w="3279"/>
        <w:gridCol w:w="1294"/>
        <w:gridCol w:w="1405"/>
        <w:gridCol w:w="1359"/>
        <w:gridCol w:w="1321"/>
      </w:tblGrid>
      <w:tr w:rsidR="00F1502A" w:rsidRPr="00F1502A" w:rsidTr="00F1502A">
        <w:trPr>
          <w:trHeight w:val="300"/>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 п/п</w:t>
            </w:r>
          </w:p>
        </w:tc>
        <w:tc>
          <w:tcPr>
            <w:tcW w:w="3279" w:type="dxa"/>
            <w:vMerge w:val="restart"/>
            <w:tcBorders>
              <w:top w:val="single" w:sz="4" w:space="0" w:color="auto"/>
              <w:left w:val="single" w:sz="4" w:space="0" w:color="auto"/>
              <w:bottom w:val="single" w:sz="4" w:space="0" w:color="auto"/>
              <w:right w:val="single" w:sz="4" w:space="0" w:color="auto"/>
            </w:tcBorders>
            <w:hideMark/>
          </w:tcPr>
          <w:p w:rsidR="00F1502A" w:rsidRPr="00F1502A" w:rsidRDefault="00F1502A" w:rsidP="00F1502A">
            <w:pPr>
              <w:spacing w:after="0" w:line="240" w:lineRule="auto"/>
              <w:jc w:val="right"/>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noWrap/>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2019 год (отчет)</w:t>
            </w:r>
          </w:p>
        </w:tc>
        <w:tc>
          <w:tcPr>
            <w:tcW w:w="4085" w:type="dxa"/>
            <w:gridSpan w:val="3"/>
            <w:tcBorders>
              <w:top w:val="single" w:sz="4" w:space="0" w:color="auto"/>
              <w:left w:val="nil"/>
              <w:bottom w:val="single" w:sz="4" w:space="0" w:color="auto"/>
              <w:right w:val="single" w:sz="4" w:space="0" w:color="auto"/>
            </w:tcBorders>
            <w:noWrap/>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2020 год</w:t>
            </w:r>
          </w:p>
        </w:tc>
      </w:tr>
      <w:tr w:rsidR="00F1502A" w:rsidRPr="00F1502A" w:rsidTr="00F1502A">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02A" w:rsidRPr="00F1502A" w:rsidRDefault="00F1502A" w:rsidP="00F1502A">
            <w:pPr>
              <w:spacing w:after="0" w:line="276"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2A" w:rsidRPr="00F1502A" w:rsidRDefault="00F1502A" w:rsidP="00F1502A">
            <w:pPr>
              <w:spacing w:after="0" w:line="276"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02A" w:rsidRPr="00F1502A" w:rsidRDefault="00F1502A" w:rsidP="00F1502A">
            <w:pPr>
              <w:spacing w:after="0" w:line="276" w:lineRule="auto"/>
              <w:rPr>
                <w:rFonts w:ascii="Times New Roman" w:eastAsia="Times New Roman" w:hAnsi="Times New Roman" w:cs="Times New Roman"/>
                <w:sz w:val="20"/>
                <w:szCs w:val="20"/>
                <w:lang w:eastAsia="ru-RU"/>
              </w:rPr>
            </w:pPr>
          </w:p>
        </w:tc>
        <w:tc>
          <w:tcPr>
            <w:tcW w:w="1405"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Уточненный план</w:t>
            </w:r>
          </w:p>
        </w:tc>
        <w:tc>
          <w:tcPr>
            <w:tcW w:w="1359"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Исполнение</w:t>
            </w:r>
          </w:p>
        </w:tc>
        <w:tc>
          <w:tcPr>
            <w:tcW w:w="1321"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 исполнения</w:t>
            </w:r>
          </w:p>
        </w:tc>
      </w:tr>
      <w:tr w:rsidR="00F1502A" w:rsidRPr="00F1502A" w:rsidTr="00F1502A">
        <w:trPr>
          <w:trHeight w:val="300"/>
        </w:trPr>
        <w:tc>
          <w:tcPr>
            <w:tcW w:w="706" w:type="dxa"/>
            <w:tcBorders>
              <w:top w:val="nil"/>
              <w:left w:val="single" w:sz="4" w:space="0" w:color="auto"/>
              <w:bottom w:val="single" w:sz="4" w:space="0" w:color="auto"/>
              <w:right w:val="single" w:sz="4" w:space="0" w:color="auto"/>
            </w:tcBorders>
            <w:vAlign w:val="center"/>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p>
        </w:tc>
        <w:tc>
          <w:tcPr>
            <w:tcW w:w="3279" w:type="dxa"/>
            <w:tcBorders>
              <w:top w:val="nil"/>
              <w:left w:val="single" w:sz="4" w:space="0" w:color="auto"/>
              <w:bottom w:val="single" w:sz="4" w:space="0" w:color="auto"/>
              <w:right w:val="single" w:sz="4" w:space="0" w:color="auto"/>
            </w:tcBorders>
            <w:hideMark/>
          </w:tcPr>
          <w:p w:rsidR="00F1502A" w:rsidRPr="00F1502A" w:rsidRDefault="00F1502A" w:rsidP="00F1502A">
            <w:pPr>
              <w:spacing w:after="0" w:line="240" w:lineRule="auto"/>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Всего по муниципальной программе, в том числе:</w:t>
            </w:r>
          </w:p>
        </w:tc>
        <w:tc>
          <w:tcPr>
            <w:tcW w:w="1294" w:type="dxa"/>
            <w:tcBorders>
              <w:top w:val="nil"/>
              <w:left w:val="nil"/>
              <w:bottom w:val="single" w:sz="4" w:space="0" w:color="auto"/>
              <w:right w:val="single" w:sz="4" w:space="0" w:color="auto"/>
            </w:tcBorders>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4 409 090,9</w:t>
            </w:r>
          </w:p>
        </w:tc>
        <w:tc>
          <w:tcPr>
            <w:tcW w:w="1405" w:type="dxa"/>
            <w:tcBorders>
              <w:top w:val="nil"/>
              <w:left w:val="nil"/>
              <w:bottom w:val="single" w:sz="4" w:space="0" w:color="auto"/>
              <w:right w:val="single" w:sz="4" w:space="0" w:color="auto"/>
            </w:tcBorders>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5 671 455,7</w:t>
            </w:r>
          </w:p>
        </w:tc>
        <w:tc>
          <w:tcPr>
            <w:tcW w:w="1359" w:type="dxa"/>
            <w:tcBorders>
              <w:top w:val="nil"/>
              <w:left w:val="nil"/>
              <w:bottom w:val="single" w:sz="4" w:space="0" w:color="auto"/>
              <w:right w:val="single" w:sz="4" w:space="0" w:color="auto"/>
            </w:tcBorders>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5 402 330,3</w:t>
            </w:r>
          </w:p>
        </w:tc>
        <w:tc>
          <w:tcPr>
            <w:tcW w:w="1321" w:type="dxa"/>
            <w:tcBorders>
              <w:top w:val="nil"/>
              <w:left w:val="nil"/>
              <w:bottom w:val="single" w:sz="4" w:space="0" w:color="auto"/>
              <w:right w:val="single" w:sz="4" w:space="0" w:color="auto"/>
            </w:tcBorders>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95,3%</w:t>
            </w:r>
          </w:p>
        </w:tc>
      </w:tr>
      <w:tr w:rsidR="00F1502A" w:rsidRPr="00F1502A" w:rsidTr="00F1502A">
        <w:trPr>
          <w:trHeight w:val="568"/>
        </w:trPr>
        <w:tc>
          <w:tcPr>
            <w:tcW w:w="706" w:type="dxa"/>
            <w:tcBorders>
              <w:top w:val="nil"/>
              <w:left w:val="single" w:sz="4" w:space="0" w:color="auto"/>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1</w:t>
            </w:r>
          </w:p>
        </w:tc>
        <w:tc>
          <w:tcPr>
            <w:tcW w:w="3279" w:type="dxa"/>
            <w:tcBorders>
              <w:top w:val="nil"/>
              <w:left w:val="single" w:sz="4" w:space="0" w:color="auto"/>
              <w:bottom w:val="single" w:sz="4" w:space="0" w:color="auto"/>
              <w:right w:val="single" w:sz="4" w:space="0" w:color="auto"/>
            </w:tcBorders>
            <w:hideMark/>
          </w:tcPr>
          <w:p w:rsidR="00F1502A" w:rsidRPr="00F1502A" w:rsidRDefault="00F1502A" w:rsidP="00F1502A">
            <w:pPr>
              <w:spacing w:after="0" w:line="240" w:lineRule="auto"/>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Департамент образования Администрации города Ханты-Мансийска:</w:t>
            </w:r>
          </w:p>
        </w:tc>
        <w:tc>
          <w:tcPr>
            <w:tcW w:w="1294"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4 195 408,4</w:t>
            </w:r>
          </w:p>
        </w:tc>
        <w:tc>
          <w:tcPr>
            <w:tcW w:w="1405"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4 608 950,3</w:t>
            </w:r>
          </w:p>
        </w:tc>
        <w:tc>
          <w:tcPr>
            <w:tcW w:w="1359"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4 584 015,6</w:t>
            </w:r>
          </w:p>
        </w:tc>
        <w:tc>
          <w:tcPr>
            <w:tcW w:w="1321"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99,5%</w:t>
            </w:r>
          </w:p>
        </w:tc>
      </w:tr>
      <w:tr w:rsidR="00F1502A" w:rsidRPr="00F1502A" w:rsidTr="00F1502A">
        <w:trPr>
          <w:trHeight w:val="906"/>
        </w:trPr>
        <w:tc>
          <w:tcPr>
            <w:tcW w:w="706" w:type="dxa"/>
            <w:tcBorders>
              <w:top w:val="nil"/>
              <w:left w:val="single" w:sz="4" w:space="0" w:color="auto"/>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2</w:t>
            </w:r>
          </w:p>
        </w:tc>
        <w:tc>
          <w:tcPr>
            <w:tcW w:w="3279" w:type="dxa"/>
            <w:tcBorders>
              <w:top w:val="nil"/>
              <w:left w:val="single" w:sz="4" w:space="0" w:color="auto"/>
              <w:bottom w:val="single" w:sz="4" w:space="0" w:color="auto"/>
              <w:right w:val="single" w:sz="4" w:space="0" w:color="auto"/>
            </w:tcBorders>
            <w:hideMark/>
          </w:tcPr>
          <w:p w:rsidR="00F1502A" w:rsidRPr="00F1502A" w:rsidRDefault="00F1502A" w:rsidP="00F1502A">
            <w:pPr>
              <w:spacing w:after="0" w:line="240" w:lineRule="auto"/>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bCs/>
                <w:sz w:val="20"/>
                <w:szCs w:val="20"/>
                <w:lang w:eastAsia="ru-RU"/>
              </w:rPr>
            </w:pPr>
            <w:r w:rsidRPr="00F1502A">
              <w:rPr>
                <w:rFonts w:ascii="Times New Roman" w:eastAsia="Times New Roman" w:hAnsi="Times New Roman" w:cs="Times New Roman"/>
                <w:bCs/>
                <w:sz w:val="20"/>
                <w:szCs w:val="20"/>
                <w:lang w:eastAsia="ru-RU"/>
              </w:rPr>
              <w:t>148 389,9</w:t>
            </w:r>
          </w:p>
        </w:tc>
        <w:tc>
          <w:tcPr>
            <w:tcW w:w="1405"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bCs/>
                <w:sz w:val="20"/>
                <w:szCs w:val="20"/>
                <w:lang w:eastAsia="ru-RU"/>
              </w:rPr>
            </w:pPr>
            <w:r w:rsidRPr="00F1502A">
              <w:rPr>
                <w:rFonts w:ascii="Times New Roman" w:eastAsia="Times New Roman" w:hAnsi="Times New Roman" w:cs="Times New Roman"/>
                <w:bCs/>
                <w:sz w:val="20"/>
                <w:szCs w:val="20"/>
                <w:lang w:eastAsia="ru-RU"/>
              </w:rPr>
              <w:t>1 046 937,2</w:t>
            </w:r>
          </w:p>
        </w:tc>
        <w:tc>
          <w:tcPr>
            <w:tcW w:w="1359"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bCs/>
                <w:sz w:val="20"/>
                <w:szCs w:val="20"/>
                <w:lang w:eastAsia="ru-RU"/>
              </w:rPr>
            </w:pPr>
            <w:r w:rsidRPr="00F1502A">
              <w:rPr>
                <w:rFonts w:ascii="Times New Roman" w:eastAsia="Times New Roman" w:hAnsi="Times New Roman" w:cs="Times New Roman"/>
                <w:bCs/>
                <w:sz w:val="20"/>
                <w:szCs w:val="20"/>
                <w:lang w:eastAsia="ru-RU"/>
              </w:rPr>
              <w:t>802 746,5</w:t>
            </w:r>
          </w:p>
        </w:tc>
        <w:tc>
          <w:tcPr>
            <w:tcW w:w="1321"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bCs/>
                <w:sz w:val="20"/>
                <w:szCs w:val="20"/>
                <w:lang w:eastAsia="ru-RU"/>
              </w:rPr>
            </w:pPr>
            <w:r w:rsidRPr="00F1502A">
              <w:rPr>
                <w:rFonts w:ascii="Times New Roman" w:eastAsia="Times New Roman" w:hAnsi="Times New Roman" w:cs="Times New Roman"/>
                <w:bCs/>
                <w:sz w:val="20"/>
                <w:szCs w:val="20"/>
                <w:lang w:eastAsia="ru-RU"/>
              </w:rPr>
              <w:t>76,7%</w:t>
            </w:r>
          </w:p>
        </w:tc>
      </w:tr>
      <w:tr w:rsidR="00F1502A" w:rsidRPr="00F1502A" w:rsidTr="00F1502A">
        <w:trPr>
          <w:trHeight w:val="906"/>
        </w:trPr>
        <w:tc>
          <w:tcPr>
            <w:tcW w:w="706" w:type="dxa"/>
            <w:tcBorders>
              <w:top w:val="nil"/>
              <w:left w:val="single" w:sz="4" w:space="0" w:color="auto"/>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3</w:t>
            </w:r>
          </w:p>
        </w:tc>
        <w:tc>
          <w:tcPr>
            <w:tcW w:w="3279" w:type="dxa"/>
            <w:tcBorders>
              <w:top w:val="nil"/>
              <w:left w:val="single" w:sz="4" w:space="0" w:color="auto"/>
              <w:bottom w:val="single" w:sz="4" w:space="0" w:color="auto"/>
              <w:right w:val="single" w:sz="4" w:space="0" w:color="auto"/>
            </w:tcBorders>
            <w:hideMark/>
          </w:tcPr>
          <w:p w:rsidR="00F1502A" w:rsidRPr="00F1502A" w:rsidRDefault="00F1502A" w:rsidP="00F1502A">
            <w:pPr>
              <w:spacing w:after="0" w:line="240" w:lineRule="auto"/>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65 292,6</w:t>
            </w:r>
          </w:p>
        </w:tc>
        <w:tc>
          <w:tcPr>
            <w:tcW w:w="1405"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15 568,2</w:t>
            </w:r>
          </w:p>
        </w:tc>
        <w:tc>
          <w:tcPr>
            <w:tcW w:w="1359"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15 568,2</w:t>
            </w:r>
          </w:p>
        </w:tc>
        <w:tc>
          <w:tcPr>
            <w:tcW w:w="1321" w:type="dxa"/>
            <w:tcBorders>
              <w:top w:val="nil"/>
              <w:left w:val="nil"/>
              <w:bottom w:val="single" w:sz="4" w:space="0" w:color="auto"/>
              <w:right w:val="single" w:sz="4" w:space="0" w:color="auto"/>
            </w:tcBorders>
            <w:vAlign w:val="center"/>
            <w:hideMark/>
          </w:tcPr>
          <w:p w:rsidR="00F1502A" w:rsidRPr="00F1502A" w:rsidRDefault="00F1502A" w:rsidP="00F1502A">
            <w:pPr>
              <w:spacing w:after="0" w:line="240" w:lineRule="auto"/>
              <w:jc w:val="center"/>
              <w:rPr>
                <w:rFonts w:ascii="Times New Roman" w:eastAsia="Times New Roman" w:hAnsi="Times New Roman" w:cs="Times New Roman"/>
                <w:sz w:val="20"/>
                <w:szCs w:val="20"/>
                <w:lang w:eastAsia="ru-RU"/>
              </w:rPr>
            </w:pPr>
            <w:r w:rsidRPr="00F1502A">
              <w:rPr>
                <w:rFonts w:ascii="Times New Roman" w:eastAsia="Times New Roman" w:hAnsi="Times New Roman" w:cs="Times New Roman"/>
                <w:sz w:val="20"/>
                <w:szCs w:val="20"/>
                <w:lang w:eastAsia="ru-RU"/>
              </w:rPr>
              <w:t>100%</w:t>
            </w:r>
          </w:p>
        </w:tc>
      </w:tr>
    </w:tbl>
    <w:p w:rsidR="00F1502A" w:rsidRPr="00F1502A" w:rsidRDefault="00F1502A" w:rsidP="00F1502A">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F1502A" w:rsidRPr="00F1502A" w:rsidRDefault="00F1502A" w:rsidP="00F1502A">
      <w:pPr>
        <w:keepNext/>
        <w:tabs>
          <w:tab w:val="left" w:pos="0"/>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tabs>
          <w:tab w:val="left" w:pos="0"/>
        </w:tabs>
        <w:suppressAutoHyphens/>
        <w:spacing w:after="0" w:line="276"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t>Рисунок 3.5.2.</w:t>
      </w:r>
    </w:p>
    <w:p w:rsidR="00F1502A" w:rsidRPr="00F1502A" w:rsidRDefault="00F1502A" w:rsidP="00F1502A">
      <w:pPr>
        <w:keepNext/>
        <w:tabs>
          <w:tab w:val="left" w:pos="0"/>
        </w:tabs>
        <w:suppressAutoHyphens/>
        <w:spacing w:after="0" w:line="276" w:lineRule="auto"/>
        <w:ind w:firstLine="709"/>
        <w:jc w:val="center"/>
        <w:rPr>
          <w:rFonts w:ascii="Times New Roman" w:eastAsia="Times New Roman" w:hAnsi="Times New Roman" w:cs="Times New Roman"/>
          <w:b/>
          <w:sz w:val="28"/>
          <w:szCs w:val="28"/>
          <w:lang w:eastAsia="ru-RU"/>
        </w:rPr>
      </w:pPr>
      <w:r w:rsidRPr="00F1502A">
        <w:rPr>
          <w:rFonts w:ascii="Times New Roman" w:eastAsia="Times New Roman" w:hAnsi="Times New Roman" w:cs="Times New Roman"/>
          <w:b/>
          <w:sz w:val="28"/>
          <w:szCs w:val="28"/>
          <w:lang w:eastAsia="ru-RU"/>
        </w:rPr>
        <w:t>Структура расходов муниципальной программы «Развитие образования в городе Ханты-Мансийске», тыс. рублей.</w:t>
      </w: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suppressAutoHyphens/>
        <w:spacing w:after="0" w:line="276" w:lineRule="auto"/>
        <w:ind w:left="-284" w:hanging="426"/>
        <w:jc w:val="right"/>
        <w:rPr>
          <w:rFonts w:ascii="Times New Roman" w:eastAsia="Times New Roman" w:hAnsi="Times New Roman" w:cs="Times New Roman"/>
          <w:sz w:val="28"/>
          <w:szCs w:val="28"/>
          <w:lang w:eastAsia="ru-RU"/>
        </w:rPr>
      </w:pPr>
      <w:r w:rsidRPr="00F1502A">
        <w:rPr>
          <w:rFonts w:ascii="Times New Roman" w:eastAsia="Times New Roman" w:hAnsi="Times New Roman" w:cs="Times New Roman"/>
          <w:noProof/>
          <w:sz w:val="24"/>
          <w:szCs w:val="24"/>
          <w:lang w:eastAsia="ru-RU"/>
        </w:rPr>
        <w:drawing>
          <wp:inline distT="0" distB="0" distL="0" distR="0" wp14:anchorId="4F429B93" wp14:editId="55C25420">
            <wp:extent cx="6343650" cy="5324475"/>
            <wp:effectExtent l="0" t="0" r="0" b="9525"/>
            <wp:docPr id="4"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8"/>
          <w:szCs w:val="28"/>
          <w:lang w:eastAsia="ru-RU"/>
        </w:rPr>
      </w:pPr>
    </w:p>
    <w:p w:rsidR="00F1502A" w:rsidRPr="00F1502A" w:rsidRDefault="00F1502A" w:rsidP="00F1502A">
      <w:pPr>
        <w:keepNext/>
        <w:tabs>
          <w:tab w:val="left" w:pos="459"/>
        </w:tabs>
        <w:suppressAutoHyphens/>
        <w:spacing w:after="0" w:line="276"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t>Таблица 3.5.2.</w:t>
      </w:r>
    </w:p>
    <w:p w:rsidR="00F1502A" w:rsidRPr="00F1502A" w:rsidRDefault="00F1502A" w:rsidP="00F1502A">
      <w:pPr>
        <w:keepNext/>
        <w:tabs>
          <w:tab w:val="left" w:pos="459"/>
        </w:tabs>
        <w:suppressAutoHyphens/>
        <w:spacing w:after="0" w:line="240" w:lineRule="auto"/>
        <w:ind w:hanging="360"/>
        <w:jc w:val="center"/>
        <w:rPr>
          <w:rFonts w:ascii="Times New Roman" w:eastAsia="Times New Roman" w:hAnsi="Times New Roman" w:cs="Times New Roman"/>
          <w:b/>
          <w:sz w:val="28"/>
          <w:szCs w:val="28"/>
          <w:lang w:eastAsia="ru-RU"/>
        </w:rPr>
      </w:pPr>
      <w:r w:rsidRPr="00F1502A">
        <w:rPr>
          <w:rFonts w:ascii="Times New Roman" w:eastAsia="Times New Roman" w:hAnsi="Times New Roman" w:cs="Times New Roman"/>
          <w:b/>
          <w:sz w:val="28"/>
          <w:szCs w:val="28"/>
          <w:lang w:eastAsia="ru-RU"/>
        </w:rPr>
        <w:t>Структура расходов муниципальной программы «Развитие образования в городе Ханты-Мансийске»</w:t>
      </w:r>
    </w:p>
    <w:p w:rsidR="00F1502A" w:rsidRPr="00F1502A" w:rsidRDefault="00F1502A" w:rsidP="00F1502A">
      <w:pPr>
        <w:keepNext/>
        <w:tabs>
          <w:tab w:val="left" w:pos="459"/>
        </w:tabs>
        <w:suppressAutoHyphens/>
        <w:spacing w:after="0" w:line="240" w:lineRule="auto"/>
        <w:ind w:firstLine="709"/>
        <w:jc w:val="right"/>
        <w:rPr>
          <w:rFonts w:ascii="Times New Roman" w:eastAsia="Times New Roman" w:hAnsi="Times New Roman" w:cs="Times New Roman"/>
          <w:sz w:val="24"/>
          <w:szCs w:val="24"/>
          <w:lang w:eastAsia="ru-RU"/>
        </w:rPr>
      </w:pPr>
      <w:r w:rsidRPr="00F1502A">
        <w:rPr>
          <w:rFonts w:ascii="Times New Roman" w:eastAsia="Times New Roman" w:hAnsi="Times New Roman" w:cs="Times New Roman"/>
          <w:sz w:val="24"/>
          <w:szCs w:val="24"/>
          <w:lang w:eastAsia="ru-RU"/>
        </w:rPr>
        <w:t xml:space="preserve"> (тыс. рублей)</w:t>
      </w:r>
    </w:p>
    <w:tbl>
      <w:tblPr>
        <w:tblStyle w:val="a3"/>
        <w:tblW w:w="0" w:type="dxa"/>
        <w:tblInd w:w="0" w:type="dxa"/>
        <w:tblLayout w:type="fixed"/>
        <w:tblLook w:val="04A0" w:firstRow="1" w:lastRow="0" w:firstColumn="1" w:lastColumn="0" w:noHBand="0" w:noVBand="1"/>
      </w:tblPr>
      <w:tblGrid>
        <w:gridCol w:w="3936"/>
        <w:gridCol w:w="1275"/>
        <w:gridCol w:w="1560"/>
        <w:gridCol w:w="1304"/>
        <w:gridCol w:w="1389"/>
        <w:gridCol w:w="6"/>
      </w:tblGrid>
      <w:tr w:rsidR="00F1502A" w:rsidRPr="00F1502A" w:rsidTr="00F1502A">
        <w:trPr>
          <w:trHeight w:val="300"/>
        </w:trPr>
        <w:tc>
          <w:tcPr>
            <w:tcW w:w="39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jc w:val="right"/>
              <w:rPr>
                <w:rFonts w:ascii="Times New Roman" w:hAnsi="Times New Roman"/>
                <w:sz w:val="20"/>
                <w:szCs w:val="20"/>
              </w:rPr>
            </w:pPr>
            <w:r w:rsidRPr="00F1502A">
              <w:rPr>
                <w:rFonts w:ascii="Times New Roman" w:hAnsi="Times New Roman"/>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F1502A" w:rsidRPr="00F1502A" w:rsidRDefault="00F1502A" w:rsidP="00F1502A">
            <w:pPr>
              <w:jc w:val="center"/>
              <w:rPr>
                <w:rFonts w:ascii="Times New Roman" w:hAnsi="Times New Roman"/>
                <w:sz w:val="20"/>
                <w:szCs w:val="20"/>
              </w:rPr>
            </w:pPr>
          </w:p>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2019 год (отчет)</w:t>
            </w:r>
          </w:p>
        </w:tc>
        <w:tc>
          <w:tcPr>
            <w:tcW w:w="42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2020 год</w:t>
            </w:r>
          </w:p>
        </w:tc>
      </w:tr>
      <w:tr w:rsidR="00F1502A" w:rsidRPr="00F1502A" w:rsidTr="00F1502A">
        <w:trPr>
          <w:trHeight w:val="515"/>
        </w:trPr>
        <w:tc>
          <w:tcPr>
            <w:tcW w:w="39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rPr>
                <w:rFonts w:ascii="Times New Roman" w:hAnsi="Times New Roman"/>
                <w:sz w:val="20"/>
                <w:szCs w:val="20"/>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rPr>
                <w:rFonts w:ascii="Times New Roman" w:hAnsi="Times New Roman"/>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02A" w:rsidRPr="00F1502A" w:rsidRDefault="00F1502A" w:rsidP="00F1502A">
            <w:pPr>
              <w:jc w:val="center"/>
              <w:rPr>
                <w:rFonts w:ascii="Times New Roman" w:hAnsi="Times New Roman"/>
                <w:sz w:val="20"/>
                <w:szCs w:val="20"/>
              </w:rPr>
            </w:pPr>
          </w:p>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Уточненный план</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02A" w:rsidRPr="00F1502A" w:rsidRDefault="00F1502A" w:rsidP="00F1502A">
            <w:pPr>
              <w:jc w:val="center"/>
              <w:rPr>
                <w:rFonts w:ascii="Times New Roman" w:hAnsi="Times New Roman"/>
                <w:sz w:val="20"/>
                <w:szCs w:val="20"/>
              </w:rPr>
            </w:pPr>
          </w:p>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Исполнение</w:t>
            </w:r>
          </w:p>
        </w:tc>
        <w:tc>
          <w:tcPr>
            <w:tcW w:w="1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02A" w:rsidRPr="00F1502A" w:rsidRDefault="00F1502A" w:rsidP="00F1502A">
            <w:pPr>
              <w:jc w:val="center"/>
              <w:rPr>
                <w:rFonts w:ascii="Times New Roman" w:hAnsi="Times New Roman"/>
                <w:sz w:val="20"/>
                <w:szCs w:val="20"/>
              </w:rPr>
            </w:pPr>
          </w:p>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 исполнения</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Всего по муниципальной программе,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4 409 090,9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5 671 455,7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5 402 330,3</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95,3%</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608,1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30 208,7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28 070,0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3 330 660,9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4 491 018,2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4 269 933,2</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95,1%</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1 077 821,9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1 150 228,8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1 104 327,1</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96,0%</w:t>
            </w:r>
          </w:p>
        </w:tc>
      </w:tr>
      <w:tr w:rsidR="00F1502A" w:rsidRPr="00F1502A" w:rsidTr="00F1502A">
        <w:trPr>
          <w:gridAfter w:val="1"/>
          <w:wAfter w:w="6" w:type="dxa"/>
          <w:trHeight w:val="9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lastRenderedPageBreak/>
              <w:t>Подпрограмма I «Общее образование. Дополнительное образование детей», всего,</w:t>
            </w:r>
          </w:p>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4 071 595,7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4 337 350,7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4 325 241,4</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99,7%</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30 208,7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28 070,0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3 209 096,0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3 539 963,8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3 538 650,5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862 499,7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767 178,2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758 520,9</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98,9%</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Основное мероприятие «</w:t>
            </w:r>
            <w:proofErr w:type="gramStart"/>
            <w:r w:rsidRPr="00F1502A">
              <w:rPr>
                <w:rFonts w:ascii="Times New Roman" w:hAnsi="Times New Roman"/>
                <w:sz w:val="20"/>
                <w:szCs w:val="20"/>
              </w:rPr>
              <w:t>Развитие  системы</w:t>
            </w:r>
            <w:proofErr w:type="gramEnd"/>
            <w:r w:rsidRPr="00F1502A">
              <w:rPr>
                <w:rFonts w:ascii="Times New Roman" w:hAnsi="Times New Roman"/>
                <w:sz w:val="20"/>
                <w:szCs w:val="20"/>
              </w:rPr>
              <w:t xml:space="preserve"> дошкольного  и общего образования»,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8 215,5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1 756,4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1 707,1</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97,2%</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525,3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503,6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503,6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7 690,2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1 252,8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1 203,5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96,1%</w:t>
            </w:r>
          </w:p>
        </w:tc>
      </w:tr>
      <w:tr w:rsidR="00F1502A" w:rsidRPr="00F1502A" w:rsidTr="00F1502A">
        <w:trPr>
          <w:gridAfter w:val="1"/>
          <w:wAfter w:w="6" w:type="dxa"/>
          <w:trHeight w:val="7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«Развитие системы дополнительного образования детей. Организация отдыха и оздоровления детей»,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53 441,2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30 107,7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30 105,2</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color w:val="FFFFFF" w:themeColor="background1"/>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38 686,6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29 508,3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29 508,3</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14 754,6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599,4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596,9</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99,6%</w:t>
            </w:r>
          </w:p>
        </w:tc>
      </w:tr>
      <w:tr w:rsidR="00F1502A" w:rsidRPr="00F1502A" w:rsidTr="00F1502A">
        <w:trPr>
          <w:gridAfter w:val="1"/>
          <w:wAfter w:w="6" w:type="dxa"/>
          <w:trHeight w:val="45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3 948 204,6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4 255 762,5</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4 243 704,9</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color w:val="FFFFFF" w:themeColor="background1"/>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30 208,7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28 070,0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3 169 884,1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3 509 951,9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3 508 638,6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778 320,5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715 601,8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706 996,3</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98,8%</w:t>
            </w:r>
          </w:p>
        </w:tc>
      </w:tr>
      <w:tr w:rsidR="00F1502A" w:rsidRPr="00F1502A" w:rsidTr="00F1502A">
        <w:trPr>
          <w:gridAfter w:val="1"/>
          <w:wAfter w:w="6" w:type="dxa"/>
          <w:trHeight w:val="103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«Создание условий для </w:t>
            </w:r>
            <w:proofErr w:type="gramStart"/>
            <w:r w:rsidRPr="00F1502A">
              <w:rPr>
                <w:rFonts w:ascii="Times New Roman" w:hAnsi="Times New Roman"/>
                <w:sz w:val="20"/>
                <w:szCs w:val="20"/>
              </w:rPr>
              <w:t>функционирования  и</w:t>
            </w:r>
            <w:proofErr w:type="gramEnd"/>
            <w:r w:rsidRPr="00F1502A">
              <w:rPr>
                <w:rFonts w:ascii="Times New Roman" w:hAnsi="Times New Roman"/>
                <w:sz w:val="20"/>
                <w:szCs w:val="20"/>
              </w:rPr>
              <w:t xml:space="preserve"> обеспечение системы персонифицированного финансирования дополнительного образования детей»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61 734,4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49 724,2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49 724,2</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61 734,4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49 724,2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49 724,2</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bCs/>
                <w:sz w:val="20"/>
                <w:szCs w:val="20"/>
              </w:rPr>
            </w:pPr>
            <w:r w:rsidRPr="00F1502A">
              <w:rPr>
                <w:rFonts w:ascii="Times New Roman" w:hAnsi="Times New Roman"/>
                <w:bCs/>
                <w:sz w:val="20"/>
                <w:szCs w:val="20"/>
              </w:rPr>
              <w:t>100%</w:t>
            </w:r>
          </w:p>
        </w:tc>
      </w:tr>
      <w:tr w:rsidR="00F1502A" w:rsidRPr="00F1502A" w:rsidTr="00F1502A">
        <w:trPr>
          <w:gridAfter w:val="1"/>
          <w:wAfter w:w="6" w:type="dxa"/>
          <w:trHeight w:val="76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Подпрограмма </w:t>
            </w:r>
            <w:proofErr w:type="gramStart"/>
            <w:r w:rsidRPr="00F1502A">
              <w:rPr>
                <w:rFonts w:ascii="Times New Roman" w:hAnsi="Times New Roman"/>
                <w:sz w:val="20"/>
                <w:szCs w:val="20"/>
              </w:rPr>
              <w:t>II  «</w:t>
            </w:r>
            <w:proofErr w:type="gramEnd"/>
            <w:r w:rsidRPr="00F1502A">
              <w:rPr>
                <w:rFonts w:ascii="Times New Roman" w:hAnsi="Times New Roman"/>
                <w:sz w:val="20"/>
                <w:szCs w:val="20"/>
              </w:rPr>
              <w:t xml:space="preserve">Система оценки  качества образования и информационная прозрачность системы образования»,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549,0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549,0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129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«Развитие муниципальной системы оценки </w:t>
            </w:r>
            <w:proofErr w:type="gramStart"/>
            <w:r w:rsidRPr="00F1502A">
              <w:rPr>
                <w:rFonts w:ascii="Times New Roman" w:hAnsi="Times New Roman"/>
                <w:sz w:val="20"/>
                <w:szCs w:val="20"/>
              </w:rPr>
              <w:t>качества  образования</w:t>
            </w:r>
            <w:proofErr w:type="gramEnd"/>
            <w:r w:rsidRPr="00F1502A">
              <w:rPr>
                <w:rFonts w:ascii="Times New Roman" w:hAnsi="Times New Roman"/>
                <w:sz w:val="20"/>
                <w:szCs w:val="20"/>
              </w:rPr>
              <w:t xml:space="preserve">,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549,0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549,0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489,0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Подпрограмма III «Допризывная подготовка обучающихся»,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782,7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5 262,6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5 149,6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97,9%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400,0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lastRenderedPageBreak/>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782,7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4 862,6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4 749,6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97,7%</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«Поддержка детских и </w:t>
            </w:r>
            <w:proofErr w:type="gramStart"/>
            <w:r w:rsidRPr="00F1502A">
              <w:rPr>
                <w:rFonts w:ascii="Times New Roman" w:hAnsi="Times New Roman"/>
                <w:sz w:val="20"/>
                <w:szCs w:val="20"/>
              </w:rPr>
              <w:t>юношеских общественных организаций</w:t>
            </w:r>
            <w:proofErr w:type="gramEnd"/>
            <w:r w:rsidRPr="00F1502A">
              <w:rPr>
                <w:rFonts w:ascii="Times New Roman" w:hAnsi="Times New Roman"/>
                <w:sz w:val="20"/>
                <w:szCs w:val="20"/>
              </w:rPr>
              <w:t xml:space="preserve"> и объединений»,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173,6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2 212,9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2 099,9</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94,9%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173,6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2 212,9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2 099,9</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94,9%</w:t>
            </w:r>
          </w:p>
        </w:tc>
      </w:tr>
      <w:tr w:rsidR="00F1502A" w:rsidRPr="00F1502A" w:rsidTr="00F1502A">
        <w:trPr>
          <w:gridAfter w:val="1"/>
          <w:wAfter w:w="6" w:type="dxa"/>
          <w:trHeight w:val="7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«Создание условий для развития гражданско-, военно-патриотических качеств обучающихся»,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609,1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3 049,7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3 049,7</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400,0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609,1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2 649,7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2 649,7</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Подпрограмма IV «Ресурсное обеспечение системы образования»,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336 071,5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1 328 261,4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1 071 411,3</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80,7%</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608,1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121 564,9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950 654,4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730 882,7</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76,9%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213 898,5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377 607,0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340 528,6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90,2%</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«Обеспечение функций управления и контроля в сфере образования»,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25 116,3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26 456,7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26 358,5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99,6%</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608,1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24 508,2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26 456,7</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26 358,5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99,6%</w:t>
            </w:r>
          </w:p>
        </w:tc>
      </w:tr>
      <w:tr w:rsidR="00F1502A" w:rsidRPr="00F1502A" w:rsidTr="00F1502A">
        <w:trPr>
          <w:gridAfter w:val="1"/>
          <w:wAfter w:w="6" w:type="dxa"/>
          <w:trHeight w:val="7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«Финансовое обеспечение полномочий органов местного самоуправления города Ханты-Мансийска»,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95 112,7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100 594,9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99 972,5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99,4%</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95 112,7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100 594,9</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99 972,5</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99,4%</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Основное мероприятие «</w:t>
            </w:r>
            <w:proofErr w:type="gramStart"/>
            <w:r w:rsidRPr="00F1502A">
              <w:rPr>
                <w:rFonts w:ascii="Times New Roman" w:hAnsi="Times New Roman"/>
                <w:sz w:val="20"/>
                <w:szCs w:val="20"/>
              </w:rPr>
              <w:t>Обеспечение  комплексной</w:t>
            </w:r>
            <w:proofErr w:type="gramEnd"/>
            <w:r w:rsidRPr="00F1502A">
              <w:rPr>
                <w:rFonts w:ascii="Times New Roman" w:hAnsi="Times New Roman"/>
                <w:sz w:val="20"/>
                <w:szCs w:val="20"/>
              </w:rPr>
              <w:t xml:space="preserve"> безопасности образовательных учреждений»,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65 292,6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145 861,6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133 923,0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91,8%</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65 292,6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145 861,6</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133 923,0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91,8%</w:t>
            </w:r>
          </w:p>
        </w:tc>
      </w:tr>
      <w:tr w:rsidR="00F1502A" w:rsidRPr="00F1502A" w:rsidTr="00F1502A">
        <w:trPr>
          <w:gridAfter w:val="1"/>
          <w:wAfter w:w="6" w:type="dxa"/>
          <w:trHeight w:val="525"/>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«Развитие материально-технической </w:t>
            </w:r>
            <w:proofErr w:type="gramStart"/>
            <w:r w:rsidRPr="00F1502A">
              <w:rPr>
                <w:rFonts w:ascii="Times New Roman" w:hAnsi="Times New Roman"/>
                <w:sz w:val="20"/>
                <w:szCs w:val="20"/>
              </w:rPr>
              <w:t>базы  образовательных</w:t>
            </w:r>
            <w:proofErr w:type="gramEnd"/>
            <w:r w:rsidRPr="00F1502A">
              <w:rPr>
                <w:rFonts w:ascii="Times New Roman" w:hAnsi="Times New Roman"/>
                <w:sz w:val="20"/>
                <w:szCs w:val="20"/>
              </w:rPr>
              <w:t xml:space="preserve"> учреждений»,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150 549,9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1 055 348,2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811 157,3</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76,9%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121 564,9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950 654,4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730 882,7</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76,9%</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28 985,0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104 693,8</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80 274,6</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76,7%</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Подпрограмма V "Формирование законопослушного поведения участников дорожного движения",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42,4%</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42,4%</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xml:space="preserve">Основное мероприятие «Формирование законопослушного поведения участников дорожного движения» всего, в </w:t>
            </w:r>
            <w:proofErr w:type="spellStart"/>
            <w:r w:rsidRPr="00F1502A">
              <w:rPr>
                <w:rFonts w:ascii="Times New Roman" w:hAnsi="Times New Roman"/>
                <w:sz w:val="20"/>
                <w:szCs w:val="20"/>
              </w:rPr>
              <w:t>т.ч</w:t>
            </w:r>
            <w:proofErr w:type="spellEnd"/>
            <w:r w:rsidRPr="00F1502A">
              <w:rPr>
                <w:rFonts w:ascii="Times New Roman" w:hAnsi="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42,4%</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федеральный бюджет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автономного округа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0%</w:t>
            </w:r>
          </w:p>
        </w:tc>
      </w:tr>
      <w:tr w:rsidR="00F1502A" w:rsidRPr="00F1502A" w:rsidTr="00F1502A">
        <w:trPr>
          <w:gridAfter w:val="1"/>
          <w:wAfter w:w="6" w:type="dxa"/>
          <w:trHeight w:val="27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02A" w:rsidRPr="00F1502A" w:rsidRDefault="00F1502A" w:rsidP="00F1502A">
            <w:pPr>
              <w:rPr>
                <w:rFonts w:ascii="Times New Roman" w:hAnsi="Times New Roman"/>
                <w:sz w:val="20"/>
                <w:szCs w:val="20"/>
              </w:rPr>
            </w:pPr>
            <w:r w:rsidRPr="00F1502A">
              <w:rPr>
                <w:rFonts w:ascii="Times New Roman" w:hAnsi="Times New Roman"/>
                <w:sz w:val="20"/>
                <w:szCs w:val="20"/>
              </w:rPr>
              <w:t>- бюджет города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92,0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39,0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1502A" w:rsidRPr="00F1502A" w:rsidRDefault="00F1502A" w:rsidP="00F1502A">
            <w:pPr>
              <w:jc w:val="center"/>
              <w:rPr>
                <w:rFonts w:ascii="Times New Roman" w:hAnsi="Times New Roman"/>
                <w:sz w:val="20"/>
                <w:szCs w:val="20"/>
              </w:rPr>
            </w:pPr>
            <w:r w:rsidRPr="00F1502A">
              <w:rPr>
                <w:rFonts w:ascii="Times New Roman" w:hAnsi="Times New Roman"/>
                <w:sz w:val="20"/>
                <w:szCs w:val="20"/>
              </w:rPr>
              <w:t>42,4%</w:t>
            </w:r>
          </w:p>
        </w:tc>
      </w:tr>
    </w:tbl>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Подпрограмма I «Общее образование. Дополнительное образование детей»:</w:t>
      </w:r>
    </w:p>
    <w:p w:rsidR="00F1502A" w:rsidRPr="00F1502A" w:rsidRDefault="00F1502A" w:rsidP="00F1502A">
      <w:pPr>
        <w:widowControl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1. Основное мероприятие «Развитие системы дошкольного и общего образования» при плане 1 756,4 тыс. рублей, в том числе средства бюджета города 1 252,8 тыс. рублей, средства бюджета округа 503,6 тыс. рублей. Исполнение составило 1 707,1 тыс. рублей, в том числе средства бюджета города 1 203,5 тыс. рублей, средства бюджета округа 503,6 тыс. рублей. Плановые показатели исполнены на 97,2%.</w:t>
      </w:r>
    </w:p>
    <w:p w:rsidR="00F1502A" w:rsidRPr="00F1502A" w:rsidRDefault="00F1502A" w:rsidP="00F1502A">
      <w:pPr>
        <w:widowControl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Средства направлены на реализацию мероприятий (городских и окружных соревнований, олимпиад, конкурсов, спартакиад, конференций, выставок и т.д.) – 1 203,5 тыс. рублей - бюджет города;</w:t>
      </w:r>
    </w:p>
    <w:p w:rsidR="00F1502A" w:rsidRPr="00F1502A" w:rsidRDefault="00F1502A" w:rsidP="00F1502A">
      <w:pPr>
        <w:widowControl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реализация мероприятий по содействию трудоустройству граждан - 503,6 тыс. рублей - бюджет автономного округа.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Педагоги и руководители образовательных организаций города приняли участие в мероприятиях различного уровня, направленных на повышение престижа профессии учителя, выявление уровня профессионального мастерства.</w:t>
      </w:r>
    </w:p>
    <w:p w:rsidR="00F1502A" w:rsidRPr="00F1502A" w:rsidRDefault="00F1502A" w:rsidP="00F1502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 xml:space="preserve">В 2020 году профессионализм педагогических работников был отмечен на федеральном и региональном уровнях. На Чемпионате Мира по спортивному туризму на лыжных дистанциях, педагог дополнительного образования муниципального бюджетного учреждения дополнительного образования «Центр дополнительного образования «Перспектива» (член сборной России по спортивному туризму) стал призером в дисциплине «дистанция – лыжная – связка». Молодой специалист, преподаватель муниципального бюджетного учреждения дополнительного образования «Детская школа искусств стал дипломантом VI Международного конкурса молодых композиторов имени Н. Я. </w:t>
      </w:r>
      <w:proofErr w:type="spellStart"/>
      <w:r w:rsidRPr="00F1502A">
        <w:rPr>
          <w:rFonts w:ascii="Times New Roman" w:eastAsia="Calibri" w:hAnsi="Times New Roman" w:cs="Times New Roman"/>
          <w:sz w:val="28"/>
          <w:szCs w:val="28"/>
          <w:lang w:eastAsia="ru-RU"/>
        </w:rPr>
        <w:t>Мясковского</w:t>
      </w:r>
      <w:proofErr w:type="spellEnd"/>
      <w:r w:rsidRPr="00F1502A">
        <w:rPr>
          <w:rFonts w:ascii="Times New Roman" w:eastAsia="Calibri" w:hAnsi="Times New Roman" w:cs="Times New Roman"/>
          <w:sz w:val="28"/>
          <w:szCs w:val="28"/>
          <w:lang w:eastAsia="ru-RU"/>
        </w:rPr>
        <w:t xml:space="preserve"> и получил сертификат Международного Союза Композиторов XXI ВЕК. Значительные достижения у педагогов муниципального бюджетного общеобразовательного учреждения «Средняя общеобразовательная школа № 6 имени Сирина Николая Ивановича»: </w:t>
      </w:r>
    </w:p>
    <w:p w:rsidR="00F1502A" w:rsidRPr="00F1502A" w:rsidRDefault="00F1502A" w:rsidP="00971BEE">
      <w:pPr>
        <w:numPr>
          <w:ilvl w:val="0"/>
          <w:numId w:val="1"/>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учитель химии по итогам конкурсного отбора присуждена федеральная премия за достижения в педагогической деятельности;</w:t>
      </w:r>
    </w:p>
    <w:p w:rsidR="00F1502A" w:rsidRPr="00F1502A" w:rsidRDefault="00F1502A" w:rsidP="00971BEE">
      <w:pPr>
        <w:numPr>
          <w:ilvl w:val="0"/>
          <w:numId w:val="1"/>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учитель начальных классов признана победителем конкурсного отбора на звание лучшего педагога Х</w:t>
      </w:r>
      <w:bookmarkStart w:id="0" w:name="_GoBack"/>
      <w:bookmarkEnd w:id="0"/>
      <w:r w:rsidRPr="00F1502A">
        <w:rPr>
          <w:rFonts w:ascii="Times New Roman" w:eastAsia="Calibri" w:hAnsi="Times New Roman" w:cs="Times New Roman"/>
          <w:sz w:val="28"/>
          <w:szCs w:val="28"/>
          <w:lang w:eastAsia="ru-RU"/>
        </w:rPr>
        <w:t>анты-Мансийского автономного округа – Югры;</w:t>
      </w:r>
    </w:p>
    <w:p w:rsidR="00F1502A" w:rsidRPr="00F1502A" w:rsidRDefault="00F1502A" w:rsidP="00971BEE">
      <w:pPr>
        <w:numPr>
          <w:ilvl w:val="0"/>
          <w:numId w:val="1"/>
        </w:numPr>
        <w:tabs>
          <w:tab w:val="left" w:pos="709"/>
        </w:tabs>
        <w:spacing w:after="0" w:line="276" w:lineRule="auto"/>
        <w:ind w:left="0" w:firstLine="709"/>
        <w:contextualSpacing/>
        <w:jc w:val="both"/>
        <w:rPr>
          <w:rFonts w:ascii="Times New Roman" w:eastAsia="Times New Roman" w:hAnsi="Times New Roman" w:cs="Times New Roman"/>
          <w:sz w:val="28"/>
          <w:szCs w:val="28"/>
          <w:shd w:val="clear" w:color="auto" w:fill="FFFFFF"/>
          <w:lang w:eastAsia="ru-RU" w:bidi="ru-RU"/>
        </w:rPr>
      </w:pPr>
      <w:r w:rsidRPr="00F1502A">
        <w:rPr>
          <w:rFonts w:ascii="Times New Roman" w:eastAsia="Times New Roman" w:hAnsi="Times New Roman" w:cs="Times New Roman"/>
          <w:sz w:val="28"/>
          <w:szCs w:val="28"/>
          <w:shd w:val="clear" w:color="auto" w:fill="FFFFFF"/>
          <w:lang w:eastAsia="ru-RU" w:bidi="ru-RU"/>
        </w:rPr>
        <w:t>педагог-организатор, лауреат регионального проекта «Золотые имена многонациональной Югры».</w:t>
      </w:r>
    </w:p>
    <w:p w:rsidR="00F1502A" w:rsidRPr="00F1502A" w:rsidRDefault="00F1502A" w:rsidP="00F1502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 xml:space="preserve">В марте 2020 года команда из пяти педагогов города приняла участие в двадцать пятом юбилейном региональном этапе всероссийских конкурсов профессионального мастерства в сфере образования Ханты-Мансийского автономного округа – Югры «Педагог года Югры - 2020». </w:t>
      </w:r>
    </w:p>
    <w:p w:rsidR="00F1502A" w:rsidRPr="00F1502A" w:rsidRDefault="00F1502A" w:rsidP="00F1502A">
      <w:pPr>
        <w:tabs>
          <w:tab w:val="left" w:pos="709"/>
        </w:tabs>
        <w:spacing w:after="0" w:line="276" w:lineRule="auto"/>
        <w:contextualSpacing/>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ab/>
        <w:t xml:space="preserve">В декабре 2020 года в Москве представляла Югру на Всероссийском мастер-классе учителей родного языка, в том числе русского языка и была признана </w:t>
      </w:r>
      <w:r w:rsidRPr="00F1502A">
        <w:rPr>
          <w:rFonts w:ascii="Times New Roman" w:eastAsia="Calibri" w:hAnsi="Times New Roman" w:cs="Times New Roman"/>
          <w:sz w:val="28"/>
          <w:szCs w:val="28"/>
          <w:lang w:eastAsia="ru-RU"/>
        </w:rPr>
        <w:lastRenderedPageBreak/>
        <w:t>победителем в специальной номинации «Учитель языков коренных малочисленных народов Российской Федерации».</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октябре 2020 года в школьном этапе Всероссийской олимпиады школьников 2020-2021 учебного года по 20 общеобразовательным предметам приняло участие 3 985 обучающихся, из них 1 431 или 35,91% обучающихся стали победителями и призёрами, всего 8 251 человека-участия.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муниципальном этапе Всероссийской олимпиады школьников 2020-2021 учебного года по 20 общеобразовательным предметам приняло участие 1409 обучающихся, из них 271 или 19,24% обучающихся стали победителями и призёрами</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региональном этапе Всероссийской олимпиады школьников 2019-2020 учебного года приняло участие 76 обучающихся 9-11 классов, из них 6 победителей и 9 призёров или 19,74%. На региональном этапе город Ханты-Мансийск регулярно входит в первую пятёрку муниципальных образований Ханты-Мансийского автономного округа – Югры по количеству побед.</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заключительном этапе Всероссийской олимпиады школьников в 2019-2020 учебном году приняло участие 2 выпускника муниципального бюджетного общеобразовательного учреждения «Средняя общеобразовательная школа №1 имени Созонова Юрия Георгиевича» по двум общеобразовательным предметам:</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обучающийся 11 класса, занял место призера по предмету «география» под руководством учителя географии Ветровой Светланы Андреевны;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обучающийся 11 класса, занял место призера по предмету «литература» под руководством учителя литературы Дерновой Марии Владимировны.</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Инновационное развитие школ города позволило достигнуть в 2020 году целевых показателей портфеля проектов «Образование»: «Современная школа», «Цифровая образовательная среда», «Учитель будущего», «Успех каждого ребенка».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На базе муниципальных бюджетных общеобразовательных учреждений: «Средняя общеобразовательная школа №4», «Средняя общеобразовательная школа №6 имени Сирина Николая Ивановича» в 2020 году успешно прошла защита проектов Комплексной программы по развитию личностного потенциала и созданию в школе личностно-развивающей образовательной среды, инициированного Благотворительным фондом «Вклад в будущее» совместно со «Сбербанком» России и корпорацией «Российский учебник».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Общеобразовательные организации города (школы № № 1, 2, 4, 6, 7, 8, Гимназия №1) в 2020 году стали участниками пилотного проекта «Школьная цифровая платформа» ПАО «Сбербанк России», который направлен на повышение качества образования, внедрение современных методик и технологий обучения и развитие кадрового потенциала страны.</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Все общеобразовательные организации города Ханты-Мансийска оказывают муниципальные услуги в электронном виде: «Предоставление </w:t>
      </w:r>
      <w:r w:rsidRPr="00F1502A">
        <w:rPr>
          <w:rFonts w:ascii="Times New Roman" w:eastAsia="Times New Roman" w:hAnsi="Times New Roman" w:cs="Times New Roman"/>
          <w:sz w:val="28"/>
          <w:szCs w:val="28"/>
          <w:lang w:eastAsia="ru-RU"/>
        </w:rPr>
        <w:lastRenderedPageBreak/>
        <w:t>информации о текущей успеваемости учащегося, ведение электронного дневника и электронного журнала успеваемости»,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«Зачисление в образовательное учреждение» посредством Единого портала государственных и муниципальных услуг. В целях информационного обеспечения управления в системе образования Ханты-Мансийского автономного округа – Югры, создания современной и безопасной цифровой образовательной среды все общеобразовательные организации города в 2020 году продолжают внедрение государственной информационной системы «Цифровая образовательная платформа Ханты-Мансийского автономного округа – Югры (ГИС Образование Югры)».</w:t>
      </w:r>
    </w:p>
    <w:p w:rsidR="00F1502A" w:rsidRPr="00F1502A" w:rsidRDefault="00F1502A" w:rsidP="00F1502A">
      <w:pPr>
        <w:widowControl w:val="0"/>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2. Основное мероприятие «Развитие системы дополнительного образования детей. Организация отдыха и оздоровления детей» </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При плане 30 107,7 тыс. рублей, в том числе средства бюджета города 599,4 тыс. рублей, средства бюджета округа 29 508,3 тыс. рублей. Исполнение составило 30 105,2 тыс. рублей, в том числе средства бюджета города 596,9 тыс. рублей, средства бюджета округа 29 508,3 тыс. рублей. Плановые показатели исполнены на 100 %.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организация и обеспечение отдыха и оздоровления детей, в том числе в этнической среде в общей сумме 18 345,4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питание детей в возрасте от 6 до 17 лет (включительно) в лагерях с дневным пребыванием детей, в возрасте от 8 до 17 лет (включительно) – в палаточных лагерях в общей сумме 11 181,9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прочие мероприятия по организации отдыха и оздоровления детей в общей сумме 577,9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период с 1 января по 31 декабря 2020 года на территории города Ханты-Мансийска организована работа 10 организаций отдыха детей и их оздоровления с охватом 6867 детей в возрасте от 6 до 17 лет (включительно), (плановый охват составлял – 4790 детей). Всего на организацию оздоровительной кампании в городе в 2020 году с учетом средств окружного и муниципального бюджетов было затрачено 11 293,6 тыс. рублей (2019 год – 145 763,8 тыс. руб. (2018 год – 138 872,7 тыс. руб.).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зимний каникулярный период 2019-2020 учебного года на базе муниципального бюджетного общеобразовательного учреждения «Гимназия №1» и муниципального бюджетного учреждения «Спортивная школа олимпийского резерва» функционировало 2 лагеря с дневным пребыванием детей с общим охватом 140 детей. Для детей были организованы, спортивные и творческие мероприятия, прогулки на свежем воздухе, интересные мастер-классы и увлекательные </w:t>
      </w:r>
      <w:proofErr w:type="spellStart"/>
      <w:r w:rsidRPr="00F1502A">
        <w:rPr>
          <w:rFonts w:ascii="Times New Roman" w:eastAsia="Times New Roman" w:hAnsi="Times New Roman" w:cs="Times New Roman"/>
          <w:sz w:val="28"/>
          <w:szCs w:val="28"/>
          <w:lang w:eastAsia="ru-RU"/>
        </w:rPr>
        <w:t>квесты</w:t>
      </w:r>
      <w:proofErr w:type="spellEnd"/>
      <w:r w:rsidRPr="00F1502A">
        <w:rPr>
          <w:rFonts w:ascii="Times New Roman" w:eastAsia="Times New Roman" w:hAnsi="Times New Roman" w:cs="Times New Roman"/>
          <w:sz w:val="28"/>
          <w:szCs w:val="28"/>
          <w:lang w:eastAsia="ru-RU"/>
        </w:rPr>
        <w:t xml:space="preserve">. Лагеря организованы с соблюдением требований </w:t>
      </w:r>
      <w:r w:rsidRPr="00F1502A">
        <w:rPr>
          <w:rFonts w:ascii="Times New Roman" w:eastAsia="Times New Roman" w:hAnsi="Times New Roman" w:cs="Times New Roman"/>
          <w:sz w:val="28"/>
          <w:szCs w:val="28"/>
          <w:lang w:eastAsia="ru-RU"/>
        </w:rPr>
        <w:lastRenderedPageBreak/>
        <w:t>комплексной безопасности, а также 100% детей застрахованы от несчастного случая.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связи с введением режима повышенной готовности, связанного с распространением новой </w:t>
      </w:r>
      <w:proofErr w:type="spellStart"/>
      <w:r w:rsidRPr="00F1502A">
        <w:rPr>
          <w:rFonts w:ascii="Times New Roman" w:eastAsia="Times New Roman" w:hAnsi="Times New Roman" w:cs="Times New Roman"/>
          <w:sz w:val="28"/>
          <w:szCs w:val="28"/>
          <w:lang w:eastAsia="ru-RU"/>
        </w:rPr>
        <w:t>коронавирусной</w:t>
      </w:r>
      <w:proofErr w:type="spellEnd"/>
      <w:r w:rsidRPr="00F1502A">
        <w:rPr>
          <w:rFonts w:ascii="Times New Roman" w:eastAsia="Times New Roman" w:hAnsi="Times New Roman" w:cs="Times New Roman"/>
          <w:sz w:val="28"/>
          <w:szCs w:val="28"/>
          <w:lang w:eastAsia="ru-RU"/>
        </w:rPr>
        <w:t xml:space="preserve"> инфекции, деятельность организаций отдыха детей и их оздоровления в весенний и летний каникулярный период на территории города и за его пределами не осуществлялась.</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декабре 2020 года подписаны дополнительные соглашения с туроператорами на перенос услуг по организации отдыха детей и их оздоровления с 2020 года на 2021 год по ранее заключённым муниципальным контрактам.</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На основании приказа Департамента образования и молодёжной политики Ханты-Мансийского автономного округа – Югры от 29.07.2020 №1103 «Об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 в 2020 году» в августе месяце и в осенний каникулярный период 2020 года на базе общеобразовательных учреждений организована работа 9 лагерей с дневным пребыванием детей в заочном формате с применением дистанционных технологий с фактическим охватом – 6727 детей (далее-лагерь). Питание детей, зачисленных в лагерь, обеспечивалось по месту их проживания, каждому ребенку был предоставлены продуктовые наборы.</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лагерях реализованы тематические смены комплексной, </w:t>
      </w:r>
      <w:proofErr w:type="spellStart"/>
      <w:r w:rsidRPr="00F1502A">
        <w:rPr>
          <w:rFonts w:ascii="Times New Roman" w:eastAsia="Times New Roman" w:hAnsi="Times New Roman" w:cs="Times New Roman"/>
          <w:sz w:val="28"/>
          <w:szCs w:val="28"/>
          <w:lang w:eastAsia="ru-RU"/>
        </w:rPr>
        <w:t>гражданско</w:t>
      </w:r>
      <w:proofErr w:type="spellEnd"/>
      <w:r w:rsidRPr="00F1502A">
        <w:rPr>
          <w:rFonts w:ascii="Times New Roman" w:eastAsia="Times New Roman" w:hAnsi="Times New Roman" w:cs="Times New Roman"/>
          <w:sz w:val="28"/>
          <w:szCs w:val="28"/>
          <w:lang w:eastAsia="ru-RU"/>
        </w:rPr>
        <w:t xml:space="preserve"> - патриотической, художественно - эстетической, развлекательно – познавательной направленности, включающие как прямые видео - трансляции, так и запись занятий, мастер-классов, конкурсов, викторин, а также общение с друзьями и педагогами.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Программы лагерей ориентированы на создание благоприятных условий для оздоровления и развития личности ребёнка в практической, коллективной деятельности, развития мышления, творчества, внутренней состоятельности и внешней культуры, а также активации новых интересов у детей.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программу лагерей были включены </w:t>
      </w:r>
      <w:proofErr w:type="gramStart"/>
      <w:r w:rsidRPr="00F1502A">
        <w:rPr>
          <w:rFonts w:ascii="Times New Roman" w:eastAsia="Times New Roman" w:hAnsi="Times New Roman" w:cs="Times New Roman"/>
          <w:sz w:val="28"/>
          <w:szCs w:val="28"/>
          <w:lang w:eastAsia="ru-RU"/>
        </w:rPr>
        <w:t>мероприятия</w:t>
      </w:r>
      <w:proofErr w:type="gramEnd"/>
      <w:r w:rsidRPr="00F1502A">
        <w:rPr>
          <w:rFonts w:ascii="Times New Roman" w:eastAsia="Times New Roman" w:hAnsi="Times New Roman" w:cs="Times New Roman"/>
          <w:sz w:val="28"/>
          <w:szCs w:val="28"/>
          <w:lang w:eastAsia="ru-RU"/>
        </w:rPr>
        <w:t xml:space="preserve"> направленные на профилактику и противодействие распространению </w:t>
      </w:r>
      <w:proofErr w:type="spellStart"/>
      <w:r w:rsidRPr="00F1502A">
        <w:rPr>
          <w:rFonts w:ascii="Times New Roman" w:eastAsia="Times New Roman" w:hAnsi="Times New Roman" w:cs="Times New Roman"/>
          <w:sz w:val="28"/>
          <w:szCs w:val="28"/>
          <w:lang w:eastAsia="ru-RU"/>
        </w:rPr>
        <w:t>коронавирусной</w:t>
      </w:r>
      <w:proofErr w:type="spellEnd"/>
      <w:r w:rsidRPr="00F1502A">
        <w:rPr>
          <w:rFonts w:ascii="Times New Roman" w:eastAsia="Times New Roman" w:hAnsi="Times New Roman" w:cs="Times New Roman"/>
          <w:sz w:val="28"/>
          <w:szCs w:val="28"/>
          <w:lang w:eastAsia="ru-RU"/>
        </w:rPr>
        <w:t xml:space="preserve"> инфекции (COVID-19), пожарной безопасности, правил дорожного движения, безопасности в сети интернет и др.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По итогам работы каждой смены проводился анализ (анкетирование) удовлетворённости детей, их родителей (законных представителей) качеством предоставления услуг по организации отдыха детей. Результаты анкетирования показали высокий уровень удовлетворенности, как у детей, так и у родителей (законных представителей).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В текущем году две организации отдыха детей и их оздоровления стали призерами окружного конкурса «Лучшая программа организации отдыха детей и их оздоровления в Ханты-Мансийском автономном округе – Югре» (далее – Конкурс):</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 программа лагеря палаточного типа «Истоки» муниципального бюджетного общеобразовательного учреждения «Средняя общеобразовательная школа №6 имени Сирина Николая Ивановна» заняла 2 место в Конкурсе в номинации «Программы детских лагерей палаточного типа»;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программа лагеря труда и отдыха «</w:t>
      </w:r>
      <w:proofErr w:type="spellStart"/>
      <w:r w:rsidRPr="00F1502A">
        <w:rPr>
          <w:rFonts w:ascii="Times New Roman" w:eastAsia="Times New Roman" w:hAnsi="Times New Roman" w:cs="Times New Roman"/>
          <w:sz w:val="28"/>
          <w:szCs w:val="28"/>
          <w:lang w:eastAsia="ru-RU"/>
        </w:rPr>
        <w:t>ЭКОскоп</w:t>
      </w:r>
      <w:proofErr w:type="spellEnd"/>
      <w:r w:rsidRPr="00F1502A">
        <w:rPr>
          <w:rFonts w:ascii="Times New Roman" w:eastAsia="Times New Roman" w:hAnsi="Times New Roman" w:cs="Times New Roman"/>
          <w:sz w:val="28"/>
          <w:szCs w:val="28"/>
          <w:lang w:eastAsia="ru-RU"/>
        </w:rPr>
        <w:t xml:space="preserve"> на грядке» муниципального бюджетного учреждения дополнительного образования «Станция юных натуралистов» заняла 3 место в Конкурсе в номинации «Программы детских лагерей труда и отдыха».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период летних и осенних каникул 2020 года на </w:t>
      </w:r>
      <w:proofErr w:type="spellStart"/>
      <w:r w:rsidRPr="00F1502A">
        <w:rPr>
          <w:rFonts w:ascii="Times New Roman" w:eastAsia="Times New Roman" w:hAnsi="Times New Roman" w:cs="Times New Roman"/>
          <w:sz w:val="28"/>
          <w:szCs w:val="28"/>
          <w:lang w:eastAsia="ru-RU"/>
        </w:rPr>
        <w:t>Ютуб</w:t>
      </w:r>
      <w:proofErr w:type="spellEnd"/>
      <w:r w:rsidRPr="00F1502A">
        <w:rPr>
          <w:rFonts w:ascii="Times New Roman" w:eastAsia="Times New Roman" w:hAnsi="Times New Roman" w:cs="Times New Roman"/>
          <w:sz w:val="28"/>
          <w:szCs w:val="28"/>
          <w:lang w:eastAsia="ru-RU"/>
        </w:rPr>
        <w:t xml:space="preserve">-канале реализовывалась программа «ОНЛАЙН КАНИКУЛЫ 2020», которая включает в себя цикл тематических мастер-классов, различных онлайн активностей, направленных на развитие творческих способностей несовершеннолетних, и иных мероприятий в онлайн пространстве.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Ежедневно педагоги дополнительного образования, тренеры, психологи и актеры делились с маленькими и взрослыми жителями города знаниями, творчеством, полезными советами. Юные жители города посетили - творческие мастер-классы, концерты, онлайн-тесты, литературные гостиные, досуговые и спортивные программы, тренировки, онлайн экскурсии по </w:t>
      </w:r>
      <w:proofErr w:type="spellStart"/>
      <w:r w:rsidRPr="00F1502A">
        <w:rPr>
          <w:rFonts w:ascii="Times New Roman" w:eastAsia="Times New Roman" w:hAnsi="Times New Roman" w:cs="Times New Roman"/>
          <w:sz w:val="28"/>
          <w:szCs w:val="28"/>
          <w:lang w:eastAsia="ru-RU"/>
        </w:rPr>
        <w:t>минизоопарку</w:t>
      </w:r>
      <w:proofErr w:type="spellEnd"/>
      <w:r w:rsidRPr="00F1502A">
        <w:rPr>
          <w:rFonts w:ascii="Times New Roman" w:eastAsia="Times New Roman" w:hAnsi="Times New Roman" w:cs="Times New Roman"/>
          <w:sz w:val="28"/>
          <w:szCs w:val="28"/>
          <w:lang w:eastAsia="ru-RU"/>
        </w:rPr>
        <w:t xml:space="preserve"> и онлайн </w:t>
      </w:r>
      <w:proofErr w:type="spellStart"/>
      <w:r w:rsidRPr="00F1502A">
        <w:rPr>
          <w:rFonts w:ascii="Times New Roman" w:eastAsia="Times New Roman" w:hAnsi="Times New Roman" w:cs="Times New Roman"/>
          <w:sz w:val="28"/>
          <w:szCs w:val="28"/>
          <w:lang w:eastAsia="ru-RU"/>
        </w:rPr>
        <w:t>библиоквизы</w:t>
      </w:r>
      <w:proofErr w:type="spellEnd"/>
      <w:r w:rsidRPr="00F1502A">
        <w:rPr>
          <w:rFonts w:ascii="Times New Roman" w:eastAsia="Times New Roman" w:hAnsi="Times New Roman" w:cs="Times New Roman"/>
          <w:sz w:val="28"/>
          <w:szCs w:val="28"/>
          <w:lang w:eastAsia="ru-RU"/>
        </w:rPr>
        <w:t xml:space="preserve"> по комиксам. В рамках реализации программы были проведены мероприятия, приуроченные к государственным и национальным праздникам Российской Федерации, памятным датам и событиям российской истории и культуры (Международному Дню защиты детей, Дню России и дню города Ханты-Мансийска, 90-летию образования Ханты-Мансийского автономного округа Югры, 75-летию Победы в Великой Отечественной войне, Дню народного единства и др.).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Всего за летний и осенний каникулярный период подготовлено и размещено более 450 мероприятий, которые набрали более 19000 просмотров.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Уменьшение финансирования мероприятия муниципальной программы в 2020 году по сравнению с 2019 связано с тем, что были отменены весенние, летние и осенние лагеря в детских садах из-за распространения новой </w:t>
      </w:r>
      <w:proofErr w:type="spellStart"/>
      <w:r w:rsidRPr="00F1502A">
        <w:rPr>
          <w:rFonts w:ascii="Times New Roman" w:eastAsia="Times New Roman" w:hAnsi="Times New Roman" w:cs="Times New Roman"/>
          <w:sz w:val="28"/>
          <w:szCs w:val="28"/>
          <w:lang w:eastAsia="ru-RU"/>
        </w:rPr>
        <w:t>коронавирусной</w:t>
      </w:r>
      <w:proofErr w:type="spellEnd"/>
      <w:r w:rsidRPr="00F1502A">
        <w:rPr>
          <w:rFonts w:ascii="Times New Roman" w:eastAsia="Times New Roman" w:hAnsi="Times New Roman" w:cs="Times New Roman"/>
          <w:sz w:val="28"/>
          <w:szCs w:val="28"/>
          <w:lang w:eastAsia="ru-RU"/>
        </w:rPr>
        <w:t xml:space="preserve"> инфекции (</w:t>
      </w:r>
      <w:r w:rsidRPr="00F1502A">
        <w:rPr>
          <w:rFonts w:ascii="Times New Roman" w:eastAsia="Times New Roman" w:hAnsi="Times New Roman" w:cs="Times New Roman"/>
          <w:sz w:val="28"/>
          <w:szCs w:val="28"/>
          <w:lang w:val="en-US" w:eastAsia="ru-RU"/>
        </w:rPr>
        <w:t>COVID</w:t>
      </w:r>
      <w:r w:rsidRPr="00F1502A">
        <w:rPr>
          <w:rFonts w:ascii="Times New Roman" w:eastAsia="Times New Roman" w:hAnsi="Times New Roman" w:cs="Times New Roman"/>
          <w:sz w:val="28"/>
          <w:szCs w:val="28"/>
          <w:lang w:eastAsia="ru-RU"/>
        </w:rPr>
        <w:t xml:space="preserve"> 19).</w:t>
      </w:r>
    </w:p>
    <w:p w:rsidR="00F1502A" w:rsidRPr="00F1502A" w:rsidRDefault="00F1502A" w:rsidP="00F1502A">
      <w:pPr>
        <w:tabs>
          <w:tab w:val="left" w:pos="851"/>
        </w:tabs>
        <w:spacing w:after="0" w:line="240" w:lineRule="auto"/>
        <w:contextualSpacing/>
        <w:jc w:val="both"/>
        <w:rPr>
          <w:rFonts w:ascii="Times New Roman" w:eastAsia="Times New Roman" w:hAnsi="Times New Roman" w:cs="Times New Roman"/>
          <w:sz w:val="28"/>
          <w:szCs w:val="28"/>
        </w:rPr>
      </w:pPr>
      <w:r w:rsidRPr="00F1502A">
        <w:rPr>
          <w:rFonts w:ascii="Times New Roman" w:eastAsia="Calibri" w:hAnsi="Times New Roman" w:cs="Times New Roman"/>
          <w:sz w:val="28"/>
          <w:szCs w:val="28"/>
          <w:lang w:eastAsia="ru-RU"/>
        </w:rPr>
        <w:tab/>
      </w:r>
      <w:r w:rsidRPr="00F1502A">
        <w:rPr>
          <w:rFonts w:ascii="Times New Roman" w:hAnsi="Times New Roman" w:cs="Times New Roman"/>
          <w:sz w:val="28"/>
          <w:szCs w:val="28"/>
        </w:rPr>
        <w:t>3. 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r w:rsidRPr="00F1502A">
        <w:rPr>
          <w:rFonts w:ascii="Times New Roman" w:hAnsi="Times New Roman" w:cs="Times New Roman"/>
          <w:b/>
          <w:sz w:val="28"/>
          <w:szCs w:val="28"/>
        </w:rPr>
        <w:t xml:space="preserve"> </w:t>
      </w:r>
      <w:r w:rsidRPr="00F1502A">
        <w:rPr>
          <w:rFonts w:ascii="Times New Roman" w:hAnsi="Times New Roman" w:cs="Times New Roman"/>
          <w:sz w:val="28"/>
          <w:szCs w:val="28"/>
        </w:rPr>
        <w:t xml:space="preserve">при плане 4 255 762,4 тыс. рублей, в том числе средства бюджета города 715 601,8 тыс. рублей, средства бюджета округа 3 509 951,9 тыс. рублей и средства федерального бюджета 30 208,7 тыс. рублей. Исполнение составило 4 243 704,9 тыс. рублей. Плановые показатели исполнены на 99,7 %. </w:t>
      </w:r>
    </w:p>
    <w:p w:rsidR="00F1502A" w:rsidRPr="00F1502A" w:rsidRDefault="00F1502A" w:rsidP="00F1502A">
      <w:pPr>
        <w:shd w:val="clear" w:color="auto" w:fill="FFFFFF"/>
        <w:spacing w:after="0" w:line="276"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lastRenderedPageBreak/>
        <w:t>- средства местного бюджета в сумме 706 996,3 тыс. рублей направлены на обеспечение деятельности образовательных организаций (содержание учреждения, налог на имущество, выплаты социального характера, организация бесплатного горячего питания обучающихся, приобретение средств защиты в пункты временного размещения).</w:t>
      </w:r>
    </w:p>
    <w:p w:rsidR="00F1502A" w:rsidRPr="00F1502A" w:rsidRDefault="00F1502A" w:rsidP="00F1502A">
      <w:pPr>
        <w:shd w:val="clear" w:color="auto" w:fill="FFFFFF"/>
        <w:spacing w:after="0" w:line="276"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 средства окружного бюджета в сумме 3 508 638,6 тыс. рублей обеспечивают реализацию образовательных программ в образовательных организациях всех уровней, организацию бесплатного горячего питания обучающихся, а также выплату компенсации части родительской платы за присмотр и уход за детьми).</w:t>
      </w:r>
    </w:p>
    <w:p w:rsidR="00F1502A" w:rsidRPr="00F1502A" w:rsidRDefault="00F1502A" w:rsidP="00F1502A">
      <w:pPr>
        <w:shd w:val="clear" w:color="auto" w:fill="FFFFFF"/>
        <w:spacing w:after="0" w:line="276"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 средства федерального бюджета в сумме 28 070,0 тыс. рублей направлены на ежемесячное денежное вознаграждение за классное руководство педагогическим работникам общеобразовательных организаций и организацию бесплатного горячего питания обучающихся.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Количество воспитанников детских садов, родители которых получают компенсацию части родительской платы, в 2020 году составило 6 291 ребенок. Выплата компенсации части родительской платы в 2020 году составила 60 389,0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2020 году продолжена работа по расширению услуг дошкольного образования и вариативных форм, развитию групп присмотра и ухода за детьми дошкольного возраста, в том числе и развитию негосударственного сектора.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С целью обеспечения возможности женщинам, имеющих детей, совмещать трудовую деятельность с семейными обязанностями, на базе муниципального бюджетного дошкольного образовательного учреждения «Центр развития ребенка - детский сад №7 «Ёлочка» в 2018 году была открыта первая группа полного пребывания для младенцев от 2-х месяцев до 1,5 лет.</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в рамках национального проекта «Демография», дополнительно открыты 2 младенческие группы в муниципальном бюджетном дошкольном образовательном учреждении «Детский сад общеразвивающего вида с приоритетным осуществлением деятельности по познавательно-речевому направлению развития детей № 21 «Теремок» и муниципальном бюджетном общеобразовательном учреждении «Центр образования «Школа-сад №7».</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Во исполнение Постановления Губернатора Ханты-Мансийского автономного округа – Югры от 06.11.2020 № 148 «О дополнительных мерах по предотвращению завоза и распространения новой </w:t>
      </w:r>
      <w:proofErr w:type="spellStart"/>
      <w:r w:rsidRPr="00F1502A">
        <w:rPr>
          <w:rFonts w:ascii="Times New Roman" w:eastAsia="Times New Roman" w:hAnsi="Times New Roman" w:cs="Times New Roman"/>
          <w:sz w:val="28"/>
          <w:szCs w:val="28"/>
          <w:lang w:eastAsia="ru-RU"/>
        </w:rPr>
        <w:t>коронавирусной</w:t>
      </w:r>
      <w:proofErr w:type="spellEnd"/>
      <w:r w:rsidRPr="00F1502A">
        <w:rPr>
          <w:rFonts w:ascii="Times New Roman" w:eastAsia="Times New Roman" w:hAnsi="Times New Roman" w:cs="Times New Roman"/>
          <w:sz w:val="28"/>
          <w:szCs w:val="28"/>
          <w:lang w:eastAsia="ru-RU"/>
        </w:rPr>
        <w:t xml:space="preserve"> инфекции, вызванной COVID-19, в Ханты-Мансийском автономном округе – Югре» и в соответствии с приказом Министерства образования и науки Российской Федерации от 30.08.2013 года № 2014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(в ред. от 31.07.2020 № 373) с 13 ноября 2020 года на базе четырех </w:t>
      </w:r>
      <w:r w:rsidRPr="00F1502A">
        <w:rPr>
          <w:rFonts w:ascii="Times New Roman" w:eastAsia="Times New Roman" w:hAnsi="Times New Roman" w:cs="Times New Roman"/>
          <w:sz w:val="28"/>
          <w:szCs w:val="28"/>
          <w:lang w:eastAsia="ru-RU"/>
        </w:rPr>
        <w:lastRenderedPageBreak/>
        <w:t xml:space="preserve">дошкольных образовательных учреждений (№9 «Одуванчик», №15 «Страна чудес», №23 «Брусничка», №20 «Сказка») и школы-сада №7 организованы 2 группы продленного дня и 3 круглосуточные группы с пребыванием детей из семей граждан, в которых оба родителя (законных представителя) или один в неполной семье работают в организациях, переведенных в соответствии с правовыми актами Ханты-Мансийского автономного округа – Югры на круглосуточный режим работы в связи с распространением новой </w:t>
      </w:r>
      <w:proofErr w:type="spellStart"/>
      <w:r w:rsidRPr="00F1502A">
        <w:rPr>
          <w:rFonts w:ascii="Times New Roman" w:eastAsia="Times New Roman" w:hAnsi="Times New Roman" w:cs="Times New Roman"/>
          <w:sz w:val="28"/>
          <w:szCs w:val="28"/>
          <w:lang w:eastAsia="ru-RU"/>
        </w:rPr>
        <w:t>коронавирусной</w:t>
      </w:r>
      <w:proofErr w:type="spellEnd"/>
      <w:r w:rsidRPr="00F1502A">
        <w:rPr>
          <w:rFonts w:ascii="Times New Roman" w:eastAsia="Times New Roman" w:hAnsi="Times New Roman" w:cs="Times New Roman"/>
          <w:sz w:val="28"/>
          <w:szCs w:val="28"/>
          <w:lang w:eastAsia="ru-RU"/>
        </w:rPr>
        <w:t xml:space="preserve"> инфекции, вызванной COVID-19.</w:t>
      </w:r>
    </w:p>
    <w:p w:rsidR="00F1502A" w:rsidRPr="00F1502A" w:rsidRDefault="00F1502A" w:rsidP="00F1502A">
      <w:pPr>
        <w:spacing w:after="0" w:line="276" w:lineRule="auto"/>
        <w:ind w:firstLine="426"/>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ab/>
        <w:t>Для обеспечения работы групп продленного, круглосуточного пребывания детей в образовательных организациях разработаны внутренние локальные акты, заключены договоры c родителями (законными представителями) об оказании дополнительных услуг по присмотру и уходу.</w:t>
      </w:r>
    </w:p>
    <w:p w:rsidR="00F1502A" w:rsidRPr="00F1502A" w:rsidRDefault="00F1502A" w:rsidP="00F1502A">
      <w:pPr>
        <w:spacing w:after="0" w:line="276" w:lineRule="auto"/>
        <w:ind w:firstLine="426"/>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ab/>
        <w:t xml:space="preserve">Основная цель организации групп продленного дня и круглосуточного пребывания детей – это осуществление присмотра и ухода за детьми, нуждающихся в дополнительном времени пребывания в образовательной организации в вечернее (ночное) время, при отсутствии возможности родителей вовремя забрать ребёнка из детского сада из-за ненормированного рабочего дня.  </w:t>
      </w:r>
    </w:p>
    <w:p w:rsidR="00F1502A" w:rsidRPr="00F1502A" w:rsidRDefault="00F1502A" w:rsidP="00F1502A">
      <w:pPr>
        <w:spacing w:after="0" w:line="276" w:lineRule="auto"/>
        <w:ind w:firstLine="426"/>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ab/>
        <w:t xml:space="preserve">Организация работы в группах осуществляется в соответствии с санитарными требованиями и с учетом индивидуальных потребностей ребенка. Ребенок, зачисленный в группу продленного дня или круглосуточного пребывания, находится в своей возрастной группе, которую он посещает повседневно.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условиях пандемии одним из нововведений комплектования дошкольных образовательных организаций на новый учебный год стало электронное направление детей в детские сады посредством автоматизированной информационной системы «Электронный детский сад».</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 созданы специальные условия и организована </w:t>
      </w:r>
      <w:proofErr w:type="spellStart"/>
      <w:r w:rsidRPr="00F1502A">
        <w:rPr>
          <w:rFonts w:ascii="Times New Roman" w:eastAsia="Times New Roman" w:hAnsi="Times New Roman" w:cs="Times New Roman"/>
          <w:sz w:val="28"/>
          <w:szCs w:val="28"/>
          <w:lang w:eastAsia="ru-RU"/>
        </w:rPr>
        <w:t>безбарьерная</w:t>
      </w:r>
      <w:proofErr w:type="spellEnd"/>
      <w:r w:rsidRPr="00F1502A">
        <w:rPr>
          <w:rFonts w:ascii="Times New Roman" w:eastAsia="Times New Roman" w:hAnsi="Times New Roman" w:cs="Times New Roman"/>
          <w:sz w:val="28"/>
          <w:szCs w:val="28"/>
          <w:lang w:eastAsia="ru-RU"/>
        </w:rPr>
        <w:t xml:space="preserve"> среда. На базе Центра развития ребёнка – детский сад № 20 «Сказка» действует инновационный проект сетевого </w:t>
      </w:r>
      <w:proofErr w:type="spellStart"/>
      <w:r w:rsidRPr="00F1502A">
        <w:rPr>
          <w:rFonts w:ascii="Times New Roman" w:eastAsia="Times New Roman" w:hAnsi="Times New Roman" w:cs="Times New Roman"/>
          <w:sz w:val="28"/>
          <w:szCs w:val="28"/>
          <w:lang w:eastAsia="ru-RU"/>
        </w:rPr>
        <w:t>компетентностного</w:t>
      </w:r>
      <w:proofErr w:type="spellEnd"/>
      <w:r w:rsidRPr="00F1502A">
        <w:rPr>
          <w:rFonts w:ascii="Times New Roman" w:eastAsia="Times New Roman" w:hAnsi="Times New Roman" w:cs="Times New Roman"/>
          <w:sz w:val="28"/>
          <w:szCs w:val="28"/>
          <w:lang w:eastAsia="ru-RU"/>
        </w:rPr>
        <w:t xml:space="preserve"> центра инклюзивного образования Ханты-Мансийского автономного округа – Югры «</w:t>
      </w:r>
      <w:proofErr w:type="spellStart"/>
      <w:r w:rsidRPr="00F1502A">
        <w:rPr>
          <w:rFonts w:ascii="Times New Roman" w:eastAsia="Times New Roman" w:hAnsi="Times New Roman" w:cs="Times New Roman"/>
          <w:sz w:val="28"/>
          <w:szCs w:val="28"/>
          <w:lang w:eastAsia="ru-RU"/>
        </w:rPr>
        <w:t>Инклюверсариум</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Образование обучающихся с ограниченными возможностями здоровья (далее ОВЗ) и детей-инвалидов дошкольного возраста организовано как в отдельных группах, так и совместно с другими обучающимися.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Для оказания коррекционной помощи детям с особыми образовательными потребностями организована работа групп компенсирующей направленности, с общим охватом 344 детей.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Услуги коррекционной - психологической, логопедической помощи для детей с особыми образовательными потребностями в муниципальных </w:t>
      </w:r>
      <w:r w:rsidRPr="00F1502A">
        <w:rPr>
          <w:rFonts w:ascii="Times New Roman" w:eastAsia="Times New Roman" w:hAnsi="Times New Roman" w:cs="Times New Roman"/>
          <w:sz w:val="28"/>
          <w:szCs w:val="28"/>
          <w:lang w:eastAsia="ru-RU"/>
        </w:rPr>
        <w:lastRenderedPageBreak/>
        <w:t>дошкольных образовательных организациях города Ханты-Мансийска оказывают 43 учителя-логопеда, 36 педагогов-психологов, 10 учителей-дефектологов.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Для детей, нуждающихся в особых условиях организации образовательной среды, с целью коррекции нарушений развития и социальной адаптации детей с особыми образовательными потребностями созданы специальные условия: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 </w:t>
      </w:r>
      <w:proofErr w:type="spellStart"/>
      <w:r w:rsidRPr="00F1502A">
        <w:rPr>
          <w:rFonts w:ascii="Times New Roman" w:eastAsia="Times New Roman" w:hAnsi="Times New Roman" w:cs="Times New Roman"/>
          <w:sz w:val="28"/>
          <w:szCs w:val="28"/>
          <w:lang w:eastAsia="ru-RU"/>
        </w:rPr>
        <w:t>внеучебное</w:t>
      </w:r>
      <w:proofErr w:type="spellEnd"/>
      <w:r w:rsidRPr="00F1502A">
        <w:rPr>
          <w:rFonts w:ascii="Times New Roman" w:eastAsia="Times New Roman" w:hAnsi="Times New Roman" w:cs="Times New Roman"/>
          <w:sz w:val="28"/>
          <w:szCs w:val="28"/>
          <w:lang w:eastAsia="ru-RU"/>
        </w:rPr>
        <w:t xml:space="preserve"> пространство: кабинет учителя-логопеда, кабинет педагога-психолога, кабинет учителя-дефектолога; игровая сенсорная комната, сенсорная комната для релаксации, комната </w:t>
      </w:r>
      <w:proofErr w:type="spellStart"/>
      <w:r w:rsidRPr="00F1502A">
        <w:rPr>
          <w:rFonts w:ascii="Times New Roman" w:eastAsia="Times New Roman" w:hAnsi="Times New Roman" w:cs="Times New Roman"/>
          <w:sz w:val="28"/>
          <w:szCs w:val="28"/>
          <w:lang w:eastAsia="ru-RU"/>
        </w:rPr>
        <w:t>Монтессори</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учебно-игровое пространство: учебная зона, зона отдыха и досуговой деятельности.</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детских садах размещены сенсорные комнаты, где для развития детей имеется следующее оборудование: сенсорные коврики со световыми элементами, настенные световые панели, зона уединения, мягкие мешки-пуфы, ноутбук, колонки, </w:t>
      </w:r>
      <w:proofErr w:type="spellStart"/>
      <w:r w:rsidRPr="00F1502A">
        <w:rPr>
          <w:rFonts w:ascii="Times New Roman" w:eastAsia="Times New Roman" w:hAnsi="Times New Roman" w:cs="Times New Roman"/>
          <w:sz w:val="28"/>
          <w:szCs w:val="28"/>
          <w:lang w:eastAsia="ru-RU"/>
        </w:rPr>
        <w:t>фибероптическая</w:t>
      </w:r>
      <w:proofErr w:type="spellEnd"/>
      <w:r w:rsidRPr="00F1502A">
        <w:rPr>
          <w:rFonts w:ascii="Times New Roman" w:eastAsia="Times New Roman" w:hAnsi="Times New Roman" w:cs="Times New Roman"/>
          <w:sz w:val="28"/>
          <w:szCs w:val="28"/>
          <w:lang w:eastAsia="ru-RU"/>
        </w:rPr>
        <w:t xml:space="preserve"> нить, обучающие панно.</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Во всех 14 дошкольных образовательных организациях, а также в дошкольном отделении на базе муниципального бюджетного общеобразовательного учреждения «Центр образования «Школа-сад № 7» детям с особыми образовательными потребностями обеспечено сопровождение в рамках психолого-педагогического консилиума (далее - </w:t>
      </w:r>
      <w:proofErr w:type="spellStart"/>
      <w:r w:rsidRPr="00F1502A">
        <w:rPr>
          <w:rFonts w:ascii="Times New Roman" w:eastAsia="Times New Roman" w:hAnsi="Times New Roman" w:cs="Times New Roman"/>
          <w:sz w:val="28"/>
          <w:szCs w:val="28"/>
          <w:lang w:eastAsia="ru-RU"/>
        </w:rPr>
        <w:t>ППк</w:t>
      </w:r>
      <w:proofErr w:type="spellEnd"/>
      <w:r w:rsidRPr="00F1502A">
        <w:rPr>
          <w:rFonts w:ascii="Times New Roman" w:eastAsia="Times New Roman" w:hAnsi="Times New Roman" w:cs="Times New Roman"/>
          <w:sz w:val="28"/>
          <w:szCs w:val="28"/>
          <w:lang w:eastAsia="ru-RU"/>
        </w:rPr>
        <w:t xml:space="preserve">) образовательной организации. На </w:t>
      </w:r>
      <w:proofErr w:type="spellStart"/>
      <w:r w:rsidRPr="00F1502A">
        <w:rPr>
          <w:rFonts w:ascii="Times New Roman" w:eastAsia="Times New Roman" w:hAnsi="Times New Roman" w:cs="Times New Roman"/>
          <w:sz w:val="28"/>
          <w:szCs w:val="28"/>
          <w:lang w:eastAsia="ru-RU"/>
        </w:rPr>
        <w:t>ППк</w:t>
      </w:r>
      <w:proofErr w:type="spellEnd"/>
      <w:r w:rsidRPr="00F1502A">
        <w:rPr>
          <w:rFonts w:ascii="Times New Roman" w:eastAsia="Times New Roman" w:hAnsi="Times New Roman" w:cs="Times New Roman"/>
          <w:sz w:val="28"/>
          <w:szCs w:val="28"/>
          <w:lang w:eastAsia="ru-RU"/>
        </w:rPr>
        <w:t xml:space="preserve"> педагоги и специалисты образовательной организации осуществляют ежеквартальный мониторинг развития детей с ОВЗ и детей-инвалидов.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Перечень образовательных, коррекционных услуг для детей с особыми образовательными потребностями включает следующее: </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обучение детей по адаптированной основной образовательной программе, адаптированной образовательной программе;</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интеграция детей в общеобразовательной группе детского сада;</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индивидуальные, групповые занятия учителя-логопеда;</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индивидуальные, групповые занятия педагога-психолога;</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индивидуальные, групповые занятия с учителем-дефектологом;</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proofErr w:type="spellStart"/>
      <w:r w:rsidRPr="00F1502A">
        <w:rPr>
          <w:rFonts w:ascii="Times New Roman" w:eastAsia="Times New Roman" w:hAnsi="Times New Roman" w:cs="Times New Roman"/>
          <w:sz w:val="28"/>
          <w:szCs w:val="28"/>
          <w:lang w:eastAsia="ru-RU"/>
        </w:rPr>
        <w:t>логоритмика</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организация занятий на базе </w:t>
      </w:r>
      <w:proofErr w:type="spellStart"/>
      <w:r w:rsidRPr="00F1502A">
        <w:rPr>
          <w:rFonts w:ascii="Times New Roman" w:eastAsia="Times New Roman" w:hAnsi="Times New Roman" w:cs="Times New Roman"/>
          <w:sz w:val="28"/>
          <w:szCs w:val="28"/>
          <w:lang w:eastAsia="ru-RU"/>
        </w:rPr>
        <w:t>логопункта</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занятий в сенсорной комнате, комнате </w:t>
      </w:r>
      <w:proofErr w:type="spellStart"/>
      <w:r w:rsidRPr="00F1502A">
        <w:rPr>
          <w:rFonts w:ascii="Times New Roman" w:eastAsia="Times New Roman" w:hAnsi="Times New Roman" w:cs="Times New Roman"/>
          <w:sz w:val="28"/>
          <w:szCs w:val="28"/>
          <w:lang w:eastAsia="ru-RU"/>
        </w:rPr>
        <w:t>Монтессори</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numPr>
          <w:ilvl w:val="0"/>
          <w:numId w:val="2"/>
        </w:numPr>
        <w:spacing w:after="0" w:line="276" w:lineRule="auto"/>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консультирование родителей (законных представителей).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Инновационное развитие школ города позволило достигнуть в 2020 году целевых показателей портфеля проектов «Образование»: «Современная школа», «Цифровая образовательная среда», «Учитель будущего», «Успех каждого ребенка».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2020 году 48 выпускников общеобразовательных организаций города Ханты-Мансийска получили по две медали: медаль «За особые успехи в учении», </w:t>
      </w:r>
      <w:r w:rsidRPr="00F1502A">
        <w:rPr>
          <w:rFonts w:ascii="Times New Roman" w:eastAsia="Times New Roman" w:hAnsi="Times New Roman" w:cs="Times New Roman"/>
          <w:sz w:val="28"/>
          <w:szCs w:val="28"/>
          <w:lang w:eastAsia="ru-RU"/>
        </w:rPr>
        <w:lastRenderedPageBreak/>
        <w:t>образец которой утверждён Министерством образования и науки Российской Федерации и медаль «За особые успехи в обучении», учреждённую Правительством Ханты-Мансийского автономного округа – Югры (2019 год – 37 и 22чел.).</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Из 1140 выпускников 9 классов аттестаты с отличием получили 63 выпускника (2019 год – 39 чел.).</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На базе муниципальных бюджетных общеобразовательных учреждений: «Средняя общеобразовательная школа №4», «Средняя общеобразовательная школа №6 имени Сирина Николая Ивановича» в 2020 году успешно прошла защита проектов Комплексной программы по развитию личностного потенциала и созданию в школе личностно-развивающей образовательной среды, инициированного Благотворительным фондом «Вклад в будущее» совместно со «Сбербанком» России и корпорацией «Российский учебник».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Общеобразовательные организации города (школы №№ 1, 2, 4, 6, 7, 8, Гимназия №1) в 2020 году стали участниками пилотного проекта «Школьная цифровая платформа» ПАО «Сбербанк России», который направлен на повышение качества образования, внедрение современных методик и технологий обучения и развитие кадрового потенциала страны.</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общеобразовательными организациями заключены договоры о сетевой форме реализации общеобразовательных программ с муниципальным бюджетным учреждением дополнительного образования «Межшкольный учебный комбинат» (школы №№ 1,2,3,4,5,6,8); с федеральным государственным бюджетным образовательным учреждением высшего образования «Югорский государственный университет» (школа №1); с бюджетным учреждением высшего образования Ханты-Мансийского автономного округа-Югры «Ханты-Мансийская государственная медицинская академия» (школа №1).</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Благодаря сетевому взаимодействию школ и муниципального бюджетного учреждения дополнительного образования «Межшкольный учебный комбинат» подростки имеют возможность приобрести первую профессию: электромонтажник по освещению и осветительным сетям, официант, водитель транспортного средства категории «В», секретарь суда, вожатый, цифровой куратор, исполнитель художественно-оформительских работ, столяр строительный, швея. В настоящее время обучается 134 учащихся 10-11 классов общеобразовательных организаций города Ханты-Мансийска. Всего в 2020 году получили свидетельство о квалификации – 57 обучающихся 11-х классов общеобразовательных учреждений №№ 4, 5.</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Во всех общеобразовательных организациях города Ханты-Мансийска ведётся работа по внедрению методологии (целевой модели) наставничества обучающихся.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рамках реализации дополнительных общеразвивающих программ в сетевой форме в муниципальном бюджетном общеобразовательном учреждении </w:t>
      </w:r>
      <w:r w:rsidRPr="00F1502A">
        <w:rPr>
          <w:rFonts w:ascii="Times New Roman" w:eastAsia="Times New Roman" w:hAnsi="Times New Roman" w:cs="Times New Roman"/>
          <w:sz w:val="28"/>
          <w:szCs w:val="28"/>
          <w:lang w:eastAsia="ru-RU"/>
        </w:rPr>
        <w:lastRenderedPageBreak/>
        <w:t xml:space="preserve">«Средняя общеобразовательная школа №1 имени Созонова Юрия Георгиевича» совместно с муниципальным бюджетным учреждением дополнительного образования «Детский </w:t>
      </w:r>
      <w:proofErr w:type="spellStart"/>
      <w:r w:rsidRPr="00F1502A">
        <w:rPr>
          <w:rFonts w:ascii="Times New Roman" w:eastAsia="Times New Roman" w:hAnsi="Times New Roman" w:cs="Times New Roman"/>
          <w:sz w:val="28"/>
          <w:szCs w:val="28"/>
          <w:lang w:eastAsia="ru-RU"/>
        </w:rPr>
        <w:t>этнокультурно</w:t>
      </w:r>
      <w:proofErr w:type="spellEnd"/>
      <w:r w:rsidRPr="00F1502A">
        <w:rPr>
          <w:rFonts w:ascii="Times New Roman" w:eastAsia="Times New Roman" w:hAnsi="Times New Roman" w:cs="Times New Roman"/>
          <w:sz w:val="28"/>
          <w:szCs w:val="28"/>
          <w:lang w:eastAsia="ru-RU"/>
        </w:rPr>
        <w:t>-образовательный центр» введено изучение мансийского языка в начальной школе (27 человек).</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муниципальным бюджетным общеобразовательным учреждением «Центр образования «Школа-сад №7» и автономным учреждением Ханты-Мансийского автономного округа-Югры «Региональный молодёжный центр» заключен договор о сетевой форме реализации дополнительных общеразвивающих программ по направлениям «</w:t>
      </w:r>
      <w:proofErr w:type="spellStart"/>
      <w:r w:rsidRPr="00F1502A">
        <w:rPr>
          <w:rFonts w:ascii="Times New Roman" w:eastAsia="Times New Roman" w:hAnsi="Times New Roman" w:cs="Times New Roman"/>
          <w:sz w:val="28"/>
          <w:szCs w:val="28"/>
          <w:lang w:eastAsia="ru-RU"/>
        </w:rPr>
        <w:t>Наноквантум</w:t>
      </w:r>
      <w:proofErr w:type="spellEnd"/>
      <w:r w:rsidRPr="00F1502A">
        <w:rPr>
          <w:rFonts w:ascii="Times New Roman" w:eastAsia="Times New Roman" w:hAnsi="Times New Roman" w:cs="Times New Roman"/>
          <w:sz w:val="28"/>
          <w:szCs w:val="28"/>
          <w:lang w:eastAsia="ru-RU"/>
        </w:rPr>
        <w:t>», «</w:t>
      </w:r>
      <w:proofErr w:type="spellStart"/>
      <w:r w:rsidRPr="00F1502A">
        <w:rPr>
          <w:rFonts w:ascii="Times New Roman" w:eastAsia="Times New Roman" w:hAnsi="Times New Roman" w:cs="Times New Roman"/>
          <w:sz w:val="28"/>
          <w:szCs w:val="28"/>
          <w:lang w:eastAsia="ru-RU"/>
        </w:rPr>
        <w:t>Космоквантум</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аппарата, с задержкой психического развития, расстройствами аутистического спектра и другими ментальными нарушениями.</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сентябре 2020 года в муниципальном бюджетном общеобразовательном учреждении «Средняя общеобразовательная школа №1 имени Созонова Юрия Георгиевича» открыт дополнительный ресурсный первый класс для детей с расстройствами аутистического спектра.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Всего в школах в 2020 году обучалось 132 ребенка-инвалида (соответствующий период: 2019 года – 123), из них 12 человек – по медицинским показаниям обучаются в Центрах дистанционного обучения, открытых в 6 общеобразовательных организациях города Ханты-Мансийска (2019 – 5чел.).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общеобразовательных организациях также обучаются дети с ОВЗ, у которых имеется заключение ТПМПК/ЦПМПК. По данным на 31 декабря 2020 года обучается 732 ребенка с ОВЗ (соответствующий период: 2019 года – 726 чел.).</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в школах города продолжили реализацию федеральных государственных образовательных стандартов начального общего образования, обучающихся с ограниченными возможностями здоровья, по которым обучалось 525 обучающихся 1-4 классов.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муниципальном бюджетном учреждении дополнительного образования «Детский </w:t>
      </w:r>
      <w:proofErr w:type="spellStart"/>
      <w:r w:rsidRPr="00F1502A">
        <w:rPr>
          <w:rFonts w:ascii="Times New Roman" w:eastAsia="Times New Roman" w:hAnsi="Times New Roman" w:cs="Times New Roman"/>
          <w:sz w:val="28"/>
          <w:szCs w:val="28"/>
          <w:lang w:eastAsia="ru-RU"/>
        </w:rPr>
        <w:t>этнокультурно</w:t>
      </w:r>
      <w:proofErr w:type="spellEnd"/>
      <w:r w:rsidRPr="00F1502A">
        <w:rPr>
          <w:rFonts w:ascii="Times New Roman" w:eastAsia="Times New Roman" w:hAnsi="Times New Roman" w:cs="Times New Roman"/>
          <w:sz w:val="28"/>
          <w:szCs w:val="28"/>
          <w:lang w:eastAsia="ru-RU"/>
        </w:rPr>
        <w:t xml:space="preserve">-образовательный центр» осуществляется деятельность в области традиционной культуры и языков обско-угорских народов, реализуются авторские программы, направленные на углубленное изучение культуры коренных малочисленных народов Севера в условиях городской среды. В 2020 году 170 детей изучали языки и культуру коренных малочисленных народов </w:t>
      </w:r>
      <w:r w:rsidRPr="00F1502A">
        <w:rPr>
          <w:rFonts w:ascii="Times New Roman" w:eastAsia="Times New Roman" w:hAnsi="Times New Roman" w:cs="Times New Roman"/>
          <w:sz w:val="28"/>
          <w:szCs w:val="28"/>
          <w:lang w:eastAsia="ru-RU"/>
        </w:rPr>
        <w:lastRenderedPageBreak/>
        <w:t>Севера в рамках реализации сетевой формы взаимодействия с муниципальными общеобразовательными организациями (№№ 1,5,3).</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Обучающиеся муниципального бюджетного учреждения дополнительного образования «Детский </w:t>
      </w:r>
      <w:proofErr w:type="spellStart"/>
      <w:r w:rsidRPr="00F1502A">
        <w:rPr>
          <w:rFonts w:ascii="Times New Roman" w:eastAsia="Times New Roman" w:hAnsi="Times New Roman" w:cs="Times New Roman"/>
          <w:sz w:val="28"/>
          <w:szCs w:val="28"/>
          <w:lang w:eastAsia="ru-RU"/>
        </w:rPr>
        <w:t>этнокультурно</w:t>
      </w:r>
      <w:proofErr w:type="spellEnd"/>
      <w:r w:rsidRPr="00F1502A">
        <w:rPr>
          <w:rFonts w:ascii="Times New Roman" w:eastAsia="Times New Roman" w:hAnsi="Times New Roman" w:cs="Times New Roman"/>
          <w:sz w:val="28"/>
          <w:szCs w:val="28"/>
          <w:lang w:eastAsia="ru-RU"/>
        </w:rPr>
        <w:t>-образовательный центр» являются победителями в различных конкурсах международного, всероссийского и окружного значения, группа «</w:t>
      </w:r>
      <w:proofErr w:type="spellStart"/>
      <w:r w:rsidRPr="00F1502A">
        <w:rPr>
          <w:rFonts w:ascii="Times New Roman" w:eastAsia="Times New Roman" w:hAnsi="Times New Roman" w:cs="Times New Roman"/>
          <w:sz w:val="28"/>
          <w:szCs w:val="28"/>
          <w:lang w:eastAsia="ru-RU"/>
        </w:rPr>
        <w:t>Этвит</w:t>
      </w:r>
      <w:proofErr w:type="spellEnd"/>
      <w:r w:rsidRPr="00F1502A">
        <w:rPr>
          <w:rFonts w:ascii="Times New Roman" w:eastAsia="Times New Roman" w:hAnsi="Times New Roman" w:cs="Times New Roman"/>
          <w:sz w:val="28"/>
          <w:szCs w:val="28"/>
          <w:lang w:eastAsia="ru-RU"/>
        </w:rPr>
        <w:t xml:space="preserve"> сам» стала победителем Международного фестиваля творчества для детей «Созвездие талантов» в номинации «Вокал».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Увеличение финансирования мероприятия муниципальной программы в 2020 году по сравнению с 2019 связано с тем, что:</w:t>
      </w:r>
    </w:p>
    <w:p w:rsidR="00F1502A" w:rsidRPr="00F1502A" w:rsidRDefault="00F1502A" w:rsidP="00F1502A">
      <w:pPr>
        <w:spacing w:after="0" w:line="276" w:lineRule="auto"/>
        <w:ind w:firstLine="708"/>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произошел рост среднемесячной заработной платы связан с увеличением ставки заработной платы. Постановление Главы города Ханты-Мансийска от 17.04.2020г. № 23 «Об утверждении Положения об установлении системы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w:t>
      </w:r>
    </w:p>
    <w:p w:rsidR="00F1502A" w:rsidRPr="00F1502A" w:rsidRDefault="00F1502A" w:rsidP="00F1502A">
      <w:pPr>
        <w:spacing w:after="0" w:line="276" w:lineRule="auto"/>
        <w:ind w:firstLine="708"/>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так же в 2020 году в связи с возросшим объемом работы и повышением степени ответственности в период повышенной готовности, работникам учреждений производились внеплановые стимулирующие выплаты, которых в 2019 году не было.</w:t>
      </w:r>
    </w:p>
    <w:p w:rsidR="00F1502A" w:rsidRPr="00F1502A" w:rsidRDefault="00F1502A" w:rsidP="00F1502A">
      <w:pPr>
        <w:spacing w:after="0" w:line="276" w:lineRule="auto"/>
        <w:ind w:firstLine="708"/>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с сентября 2020 года в общеобразовательных  производится выплата ежемесячного денежного вознаграждения за классное руководство, за счет средств федерального бюджета на основании постановления Главы города Ханты-Мансийска от 29 декабря 2020 № 85 «О внесении изменений в постановление Главы города Ханты-Мансийска от 17.04.2020 № 23 «Об утверждении Положения об установлении системы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 и доплата разницы в начислении районного коэффициента на выплату ежемесячного денежного вознаграждения за классное руководство, предоставляемого за счет средств федерального бюджета, до размера, установленного статьей 2 Закона автономного округа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F1502A" w:rsidRPr="00F1502A" w:rsidRDefault="00F1502A" w:rsidP="00F1502A">
      <w:pPr>
        <w:shd w:val="clear" w:color="auto" w:fill="FFFFFF"/>
        <w:spacing w:after="0" w:line="276"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 xml:space="preserve">В целях профилактики и устранения последствий распространения новой </w:t>
      </w:r>
      <w:proofErr w:type="spellStart"/>
      <w:r w:rsidRPr="00F1502A">
        <w:rPr>
          <w:rFonts w:ascii="Times New Roman" w:hAnsi="Times New Roman" w:cs="Times New Roman"/>
          <w:sz w:val="28"/>
          <w:szCs w:val="28"/>
        </w:rPr>
        <w:t>коронавирусной</w:t>
      </w:r>
      <w:proofErr w:type="spellEnd"/>
      <w:r w:rsidRPr="00F1502A">
        <w:rPr>
          <w:rFonts w:ascii="Times New Roman" w:hAnsi="Times New Roman" w:cs="Times New Roman"/>
          <w:sz w:val="28"/>
          <w:szCs w:val="28"/>
        </w:rPr>
        <w:t xml:space="preserve"> инфекции (COVID 19) в учреждениях дополнительного образования были произведены закупки дезинфицирующих средств, средств индивидуальной защиты (маски, перчатки). С целью проведение ежедневной термометрии обучающихся была произведена закупка бесконтактных </w:t>
      </w:r>
      <w:r w:rsidRPr="00F1502A">
        <w:rPr>
          <w:rFonts w:ascii="Times New Roman" w:hAnsi="Times New Roman" w:cs="Times New Roman"/>
          <w:sz w:val="28"/>
          <w:szCs w:val="28"/>
        </w:rPr>
        <w:lastRenderedPageBreak/>
        <w:t>термометров. На эти цели из бюджета муниципального образования было направлено – 1 077,6 тыс. рублей.</w:t>
      </w:r>
    </w:p>
    <w:p w:rsidR="00F1502A" w:rsidRPr="00F1502A" w:rsidRDefault="00F1502A" w:rsidP="00F1502A">
      <w:pPr>
        <w:shd w:val="clear" w:color="auto" w:fill="FFFFFF"/>
        <w:spacing w:after="0" w:line="276"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Целевые показатели, установленные Департаментом образования Ханты-Мансийского автономного округа – Югры в части показателей по численности и средней заработной плате отдельных категорий работников муниципальных образовательных организаций (поименованных указами) исполнены в полном объеме. Исполнение целевого показателя по численности педагогического персонала составило 100%, исполнение целевого показателя по уровню средней заработной плате отдельных категорий работников муниципальных образовательных организаций (поименованных указами) составило 100,03%.</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4.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Pr="00F1502A">
        <w:rPr>
          <w:rFonts w:ascii="Times New Roman" w:hAnsi="Times New Roman" w:cs="Times New Roman"/>
          <w:b/>
          <w:sz w:val="28"/>
          <w:szCs w:val="28"/>
        </w:rPr>
        <w:t xml:space="preserve"> </w:t>
      </w:r>
      <w:r w:rsidRPr="00F1502A">
        <w:rPr>
          <w:rFonts w:ascii="Times New Roman" w:hAnsi="Times New Roman" w:cs="Times New Roman"/>
          <w:sz w:val="28"/>
          <w:szCs w:val="28"/>
        </w:rPr>
        <w:t>при плане 49 724,2 тыс. рублей средства городского бюджета, исполнение составило 100 %.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 создание условий для функционирования и обеспечение системы персонифицированного финансирования дополнительного образования детей. Сертификат дополнительного образования. Возмещение затрат, понесенных поставщиками образовательных услуг по предоставлению дополнительных (общеразвивающих) программ. Возмещение затрат производится: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-частному учреждению дополнительного образования "Образовательный центр «Перезагрузка»;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-автономной некоммерческой организации дополнительного профессионального образования «Образовательный центр «Сова»;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-частному учреждению дополнительного образования «Центр обучения иностранным языкам «Толмач»;</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-частному учреждению дополнительного образования «Лингвистический центр «Новый взгляд»;</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-автономной некоммерческой организации дополнительного образования «Центр технического и гуманитарного развития»;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-частному учреждению дополнительного профессионального образования Центр гуманитарного образования «</w:t>
      </w:r>
      <w:proofErr w:type="spellStart"/>
      <w:r w:rsidRPr="00F1502A">
        <w:rPr>
          <w:rFonts w:ascii="Times New Roman" w:eastAsia="Times New Roman" w:hAnsi="Times New Roman" w:cs="Times New Roman"/>
          <w:sz w:val="28"/>
          <w:szCs w:val="28"/>
          <w:lang w:eastAsia="ru-RU"/>
        </w:rPr>
        <w:t>Лингва</w:t>
      </w:r>
      <w:proofErr w:type="spellEnd"/>
      <w:r w:rsidRPr="00F1502A">
        <w:rPr>
          <w:rFonts w:ascii="Times New Roman" w:eastAsia="Times New Roman" w:hAnsi="Times New Roman" w:cs="Times New Roman"/>
          <w:sz w:val="28"/>
          <w:szCs w:val="28"/>
          <w:lang w:eastAsia="ru-RU"/>
        </w:rPr>
        <w:t>»;</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-обществу с ограниченной ответственностью «Академия»;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-индивидуальному предпринимателю Беловой Яне Александровне;</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-индивидуальному предпринимателю </w:t>
      </w:r>
      <w:proofErr w:type="spellStart"/>
      <w:r w:rsidRPr="00F1502A">
        <w:rPr>
          <w:rFonts w:ascii="Times New Roman" w:eastAsia="Times New Roman" w:hAnsi="Times New Roman" w:cs="Times New Roman"/>
          <w:sz w:val="28"/>
          <w:szCs w:val="28"/>
          <w:lang w:eastAsia="ru-RU"/>
        </w:rPr>
        <w:t>Виколовой</w:t>
      </w:r>
      <w:proofErr w:type="spellEnd"/>
      <w:r w:rsidRPr="00F1502A">
        <w:rPr>
          <w:rFonts w:ascii="Times New Roman" w:eastAsia="Times New Roman" w:hAnsi="Times New Roman" w:cs="Times New Roman"/>
          <w:sz w:val="28"/>
          <w:szCs w:val="28"/>
          <w:lang w:eastAsia="ru-RU"/>
        </w:rPr>
        <w:t xml:space="preserve"> Юлии Михайловне;</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-индивидуальному предпринимателю Лупу Александру Юрьевичу;</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-индивидуальному предпринимателю Киреевой Татьяне Владимировне.</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Также подведомственным Департаменту образования учреждениям: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-муниципальному бюджетному дошкольному образовательному учреждению «Детский сад № 9 «Одуванчик»;</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-муниципальному бюджетному общеобразовательному учреждению «Средняя общеобразовательная школа № 6 имени Сирина Николая Ивановича»;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-муниципальному бюджетному общеобразовательному учреждению «Гимназия № 1». По данному мероприятию финансируются, в том числе расходы на сопровождение системы персонифицированного финансирования дополнительного образования.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соответствии с параметрами персонифицированного финансирования дополнительного образования детей в городе Ханты-Мансийске на 2017-2020 годы, утверждёнными постановлением Администрации города Ханты-Мансийска от 17.08.2017 №771, определены категории детей, которым предоставляются сертификаты дополнительного образования, закрепляющие гарантию по оплате выбираемых ребенком дополнительных общеобразовательных (общеразвивающих) программ в объеме, не превышающем установленный норматив (сертификат дополнительного образования).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систему персонифицированного финансирования дополнительного образования детей в 2020 году включен 21 поставщик услуг дополнительного образования, реализующий программы за счет средств сертификата, из них 7 частных учреждений и 5 индивидуальных предпринимателей, имеющих лицензию на образовательную деятельность. Сертифицировано 353 дополнительных общеобразовательных программы технической, естественно-научной, социально-гуманитарной, художественной направленностей. Охват детей от 5 до 18 лет, получающих дополнительное образование с использованием сертификата, составляет 3 390 детей. 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Уменьшение финансирования мероприятия муниципальной программы в 2020 году по сравнению с 2019 годом связано с тем, что были введены карантинные мероприятия в образовательных учреждениях всех форм собственности. В связи с этим родителями были расторгнуты в большом количестве договора на обучение. В последствии, некоторые поставщики смогли перевести часть программ в дистанционных формат и продолжить обучение. </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Подпрограмма II «Система оценки качества образования и информационная прозрачность системы образования»:</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1.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при плане 489,0 тыс. рублей средства городского бюджета, исполнение составило 100 %.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проведение следующих мероприятий: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Организация и проведение репетиционных экзаменов;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 Развитие и поддержка системного взаимодействия вузов округа и области с городской системой образования;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Организация и проведение единого государственного экзамена;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Проведение августовского совещания педагогических работников;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Городская родительская конференция «Безопасная развивающая среда»;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Конкурс образовательных программ дошкольного образования «Ориентир развития».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с привлечением ресурсов организаций высшего образования и социальных партнеров, для обучающихся 9-11 классов проведена городская сессия старшеклассников «</w:t>
      </w:r>
      <w:proofErr w:type="spellStart"/>
      <w:r w:rsidRPr="00F1502A">
        <w:rPr>
          <w:rFonts w:ascii="Times New Roman" w:eastAsia="Times New Roman" w:hAnsi="Times New Roman" w:cs="Times New Roman"/>
          <w:sz w:val="28"/>
          <w:szCs w:val="28"/>
          <w:lang w:eastAsia="ru-RU"/>
        </w:rPr>
        <w:t>Предакселератор</w:t>
      </w:r>
      <w:proofErr w:type="spellEnd"/>
      <w:r w:rsidRPr="00F1502A">
        <w:rPr>
          <w:rFonts w:ascii="Times New Roman" w:eastAsia="Times New Roman" w:hAnsi="Times New Roman" w:cs="Times New Roman"/>
          <w:sz w:val="28"/>
          <w:szCs w:val="28"/>
          <w:lang w:eastAsia="ru-RU"/>
        </w:rPr>
        <w:t xml:space="preserve"> для школьников» – 54 участника; учебно-интеллектуальные сборы – 98 участников (2019 год – 83 участника) по предметам: «Химия»; «Биология»; «Обществознание, право»; «Английский язык»; «Математика»; «Физика»; «История».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Уменьшение финансирования мероприятия муниципальной программы в 2020 году по сравнению с 2019 связано с отменой проведения мероприятий.</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Подпрограмма III «Допризывная подготовка обучающихся»: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1. Основное мероприятие «Поддержка детских и </w:t>
      </w:r>
      <w:proofErr w:type="gramStart"/>
      <w:r w:rsidRPr="00F1502A">
        <w:rPr>
          <w:rFonts w:ascii="Times New Roman" w:eastAsia="Times New Roman" w:hAnsi="Times New Roman" w:cs="Times New Roman"/>
          <w:sz w:val="28"/>
          <w:szCs w:val="28"/>
          <w:lang w:eastAsia="ru-RU"/>
        </w:rPr>
        <w:t>юношеских общественных организаций</w:t>
      </w:r>
      <w:proofErr w:type="gramEnd"/>
      <w:r w:rsidRPr="00F1502A">
        <w:rPr>
          <w:rFonts w:ascii="Times New Roman" w:eastAsia="Times New Roman" w:hAnsi="Times New Roman" w:cs="Times New Roman"/>
          <w:sz w:val="28"/>
          <w:szCs w:val="28"/>
          <w:lang w:eastAsia="ru-RU"/>
        </w:rPr>
        <w:t xml:space="preserve"> и объединений» при плане 2 212,9 тыс. рублей средства городского бюджета, исполнение составило 2 099,9 тыс. рублей средства городского бюджета или 94,9 % от годовых показателей.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Шаг в будущее;</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-Технические виды спорта: судомоделизм, автомоделизм, авиамоделизм, </w:t>
      </w:r>
      <w:proofErr w:type="spellStart"/>
      <w:r w:rsidRPr="00F1502A">
        <w:rPr>
          <w:rFonts w:ascii="Times New Roman" w:eastAsia="Times New Roman" w:hAnsi="Times New Roman" w:cs="Times New Roman"/>
          <w:sz w:val="28"/>
          <w:szCs w:val="28"/>
          <w:lang w:eastAsia="ru-RU"/>
        </w:rPr>
        <w:t>ракетомоделизм</w:t>
      </w:r>
      <w:proofErr w:type="spellEnd"/>
      <w:r w:rsidRPr="00F1502A">
        <w:rPr>
          <w:rFonts w:ascii="Times New Roman" w:eastAsia="Times New Roman" w:hAnsi="Times New Roman" w:cs="Times New Roman"/>
          <w:sz w:val="28"/>
          <w:szCs w:val="28"/>
          <w:lang w:eastAsia="ru-RU"/>
        </w:rPr>
        <w:t xml:space="preserve"> (игра-соревнование «День космонавтики»);</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Городское первенство по плаванию среди дошкольников;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Городской шахматный турнир «Снежная королева»;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Городской командный турнир по шахматам, в рамках проекта «Шахматы в школе»;</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Организация и проведение XXII Спартакиады «Школа безопасности» обучающихся в образовательных организациях города Ханты-Мансийска (6 видов).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74 ребенка, всего 221 ребенок (2019 год – 58 детей, всего 146 детей).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с муниципальным казенным </w:t>
      </w:r>
      <w:r w:rsidRPr="00F1502A">
        <w:rPr>
          <w:rFonts w:ascii="Times New Roman" w:eastAsia="Times New Roman" w:hAnsi="Times New Roman" w:cs="Times New Roman"/>
          <w:sz w:val="28"/>
          <w:szCs w:val="28"/>
          <w:lang w:eastAsia="ru-RU"/>
        </w:rPr>
        <w:lastRenderedPageBreak/>
        <w:t>учреждением дополнительного образования «Центр развития образования» в 2020 году проведены различные мероприятия с охватом более 1500 человек, в том числе городская научная конференция молодых исследователей научно-социальной программы «Шаг в будущее», «Шаг в будущее – Юниор», «Открытие», муниципальный этап окружного конкурса «Молодой изобретатель – 2020».</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на базе Регионального центра выявления и поддержки детей, проявивших выдающиеся способности, организовано 10 проектных и образовательных смен для учащихся 9-11 классов, в которых приняли участие 160 старшеклассников города Ханты-Мансийска.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2020 году проводился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В 2020 году дипломами и ценными подарками награждено 56 обучающихся муниципальных образовательных организаций дошкольного, общего и дополнительного образования. Всего в церемонии чествования за 4 года приняло участие 180 обучающихся.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Заметное развитие в последние годы получило техническое творчество детей. В спортивно-технических объединениях, в том числе авто- и мотоспорта, авиа-, судо- и </w:t>
      </w:r>
      <w:proofErr w:type="spellStart"/>
      <w:r w:rsidRPr="00F1502A">
        <w:rPr>
          <w:rFonts w:ascii="Times New Roman" w:eastAsia="Times New Roman" w:hAnsi="Times New Roman" w:cs="Times New Roman"/>
          <w:sz w:val="28"/>
          <w:szCs w:val="28"/>
          <w:lang w:eastAsia="ru-RU"/>
        </w:rPr>
        <w:t>ракетомоделирования</w:t>
      </w:r>
      <w:proofErr w:type="spellEnd"/>
      <w:r w:rsidRPr="00F1502A">
        <w:rPr>
          <w:rFonts w:ascii="Times New Roman" w:eastAsia="Times New Roman" w:hAnsi="Times New Roman" w:cs="Times New Roman"/>
          <w:sz w:val="28"/>
          <w:szCs w:val="28"/>
          <w:lang w:eastAsia="ru-RU"/>
        </w:rPr>
        <w:t xml:space="preserve">, стендового моделизма и военно-исторической реконструкции занимается около 9% детей от общего количества детей, охваченных дополнительным образованием. Получили признание обучающиеся муниципального бюджетного учреждения дополнительного образования «Межшкольный учебный комбинат»: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учащийся представил город и одержал победу на Межрегиональном детско-юношеском слете стендового моделизма, посвященного 75-летию Победы в Великой Отечественной войне «Волжский прорыв» г. Кинешма.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 учащийся стал обладателем Премии Губернатора за успехи в области научно-технического творчества, а также стал призером Всероссийского </w:t>
      </w:r>
      <w:proofErr w:type="spellStart"/>
      <w:r w:rsidRPr="00F1502A">
        <w:rPr>
          <w:rFonts w:ascii="Times New Roman" w:eastAsia="Times New Roman" w:hAnsi="Times New Roman" w:cs="Times New Roman"/>
          <w:sz w:val="28"/>
          <w:szCs w:val="28"/>
          <w:lang w:eastAsia="ru-RU"/>
        </w:rPr>
        <w:t>дистант</w:t>
      </w:r>
      <w:proofErr w:type="spellEnd"/>
      <w:r w:rsidRPr="00F1502A">
        <w:rPr>
          <w:rFonts w:ascii="Times New Roman" w:eastAsia="Times New Roman" w:hAnsi="Times New Roman" w:cs="Times New Roman"/>
          <w:sz w:val="28"/>
          <w:szCs w:val="28"/>
          <w:lang w:eastAsia="ru-RU"/>
        </w:rPr>
        <w:t>-форума «Шаг в будущее» в секции прикладная механика и компьютерные технологии в автоматизации и робототехнике.</w:t>
      </w:r>
    </w:p>
    <w:p w:rsidR="00F1502A" w:rsidRPr="00F1502A" w:rsidRDefault="00F1502A" w:rsidP="00F1502A">
      <w:pPr>
        <w:tabs>
          <w:tab w:val="left" w:pos="9214"/>
        </w:tabs>
        <w:spacing w:after="0" w:line="276" w:lineRule="auto"/>
        <w:ind w:firstLine="709"/>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Обучающихся муниципального бюджетного учреждения дополнительного образования «Станция юных натуралистов» в 2020 году достигли определенных успехов:</w:t>
      </w:r>
    </w:p>
    <w:p w:rsidR="00F1502A" w:rsidRPr="00F1502A" w:rsidRDefault="00F1502A" w:rsidP="00F1502A">
      <w:pPr>
        <w:numPr>
          <w:ilvl w:val="0"/>
          <w:numId w:val="3"/>
        </w:numPr>
        <w:tabs>
          <w:tab w:val="left" w:pos="567"/>
        </w:tabs>
        <w:spacing w:after="0" w:line="276" w:lineRule="auto"/>
        <w:ind w:left="0" w:firstLine="426"/>
        <w:contextualSpacing/>
        <w:jc w:val="both"/>
        <w:rPr>
          <w:rFonts w:ascii="Times New Roman" w:eastAsia="Times New Roman" w:hAnsi="Times New Roman" w:cs="Times New Roman"/>
          <w:sz w:val="28"/>
          <w:szCs w:val="28"/>
          <w:lang w:eastAsia="ru-RU"/>
        </w:rPr>
      </w:pPr>
      <w:r w:rsidRPr="00F1502A">
        <w:rPr>
          <w:rFonts w:ascii="Times New Roman" w:eastAsia="Calibri" w:hAnsi="Times New Roman" w:cs="Times New Roman"/>
          <w:sz w:val="28"/>
          <w:szCs w:val="28"/>
          <w:lang w:eastAsia="ru-RU"/>
        </w:rPr>
        <w:t xml:space="preserve">призовое место </w:t>
      </w:r>
      <w:r w:rsidRPr="00F1502A">
        <w:rPr>
          <w:rFonts w:ascii="Times New Roman" w:eastAsia="Times New Roman" w:hAnsi="Times New Roman" w:cs="Times New Roman"/>
          <w:sz w:val="28"/>
          <w:szCs w:val="28"/>
          <w:lang w:eastAsia="ru-RU"/>
        </w:rPr>
        <w:t>международного конкурса учебно-исследовательских проектов естественнонаучной направленности «Тропой открытий», город Нижний Тагил;</w:t>
      </w:r>
    </w:p>
    <w:p w:rsidR="00F1502A" w:rsidRPr="00F1502A" w:rsidRDefault="00F1502A" w:rsidP="00F1502A">
      <w:pPr>
        <w:numPr>
          <w:ilvl w:val="0"/>
          <w:numId w:val="3"/>
        </w:numPr>
        <w:tabs>
          <w:tab w:val="left" w:pos="567"/>
        </w:tabs>
        <w:spacing w:after="0" w:line="276" w:lineRule="auto"/>
        <w:ind w:left="0" w:firstLine="426"/>
        <w:contextualSpacing/>
        <w:jc w:val="both"/>
        <w:rPr>
          <w:rFonts w:ascii="Times New Roman" w:eastAsia="Calibri"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призовое место </w:t>
      </w:r>
      <w:r w:rsidRPr="00F1502A">
        <w:rPr>
          <w:rFonts w:ascii="Times New Roman" w:eastAsia="Calibri" w:hAnsi="Times New Roman" w:cs="Times New Roman"/>
          <w:sz w:val="28"/>
          <w:szCs w:val="28"/>
          <w:lang w:eastAsia="ru-RU"/>
        </w:rPr>
        <w:t xml:space="preserve">в </w:t>
      </w:r>
      <w:r w:rsidRPr="00F1502A">
        <w:rPr>
          <w:rFonts w:ascii="Times New Roman" w:eastAsia="Calibri" w:hAnsi="Times New Roman" w:cs="Times New Roman"/>
          <w:sz w:val="28"/>
          <w:szCs w:val="28"/>
          <w:lang w:val="en-US" w:eastAsia="ru-RU"/>
        </w:rPr>
        <w:t>XXV</w:t>
      </w:r>
      <w:r w:rsidRPr="00F1502A">
        <w:rPr>
          <w:rFonts w:ascii="Times New Roman" w:eastAsia="Calibri" w:hAnsi="Times New Roman" w:cs="Times New Roman"/>
          <w:sz w:val="28"/>
          <w:szCs w:val="28"/>
          <w:lang w:eastAsia="ru-RU"/>
        </w:rPr>
        <w:t xml:space="preserve"> окружной конференции молодых исследователей «Шаг в будущее» регионального этапа Соревнований молодых ученых Европейского Союза в секции естественные науки и современный мир.</w:t>
      </w:r>
    </w:p>
    <w:p w:rsidR="00F1502A" w:rsidRPr="00F1502A" w:rsidRDefault="00F1502A" w:rsidP="00F1502A">
      <w:pPr>
        <w:shd w:val="clear" w:color="auto" w:fill="FFFFFF"/>
        <w:spacing w:after="0" w:line="240" w:lineRule="auto"/>
        <w:ind w:firstLine="709"/>
        <w:jc w:val="both"/>
        <w:rPr>
          <w:rFonts w:ascii="Times New Roman" w:eastAsia="Times New Roman" w:hAnsi="Times New Roman" w:cs="Times New Roman"/>
          <w:sz w:val="23"/>
          <w:szCs w:val="28"/>
        </w:rPr>
      </w:pP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lastRenderedPageBreak/>
        <w:t xml:space="preserve">2. Основное мероприятие «Создание условий для развития </w:t>
      </w:r>
      <w:r w:rsidRPr="00F1502A">
        <w:rPr>
          <w:rFonts w:ascii="Times New Roman" w:hAnsi="Times New Roman" w:cs="Times New Roman"/>
          <w:sz w:val="28"/>
          <w:szCs w:val="28"/>
        </w:rPr>
        <w:br/>
      </w:r>
      <w:proofErr w:type="spellStart"/>
      <w:r w:rsidRPr="00F1502A">
        <w:rPr>
          <w:rFonts w:ascii="Times New Roman" w:hAnsi="Times New Roman" w:cs="Times New Roman"/>
          <w:sz w:val="28"/>
          <w:szCs w:val="28"/>
        </w:rPr>
        <w:t>гражданско</w:t>
      </w:r>
      <w:proofErr w:type="spellEnd"/>
      <w:r w:rsidRPr="00F1502A">
        <w:rPr>
          <w:rFonts w:ascii="Times New Roman" w:hAnsi="Times New Roman" w:cs="Times New Roman"/>
          <w:sz w:val="28"/>
          <w:szCs w:val="28"/>
        </w:rPr>
        <w:t>, военно-патриотических качеств обучающихся» при плане 3 049,7 тыс. рублей в том числе средства городского бюджета 2 649,7 тыс. рублей и средства федерального бюджета в сумме 400 тыс. рублей, исполнение составило 100 %.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Слёт руководителей поисковых отрядов;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Сбор воспитанников кадетских корпусов в г. Москва;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Организация и проведение конкурсной программы «А ну-ка, парни!», в рамках Спартакиады допризывной молодежи обучающихся образовательных организаций города Ханты-Мансийска;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Смотр строя и песни «</w:t>
      </w:r>
      <w:proofErr w:type="spellStart"/>
      <w:r w:rsidRPr="00F1502A">
        <w:rPr>
          <w:rFonts w:ascii="Times New Roman" w:eastAsia="Times New Roman" w:hAnsi="Times New Roman" w:cs="Times New Roman"/>
          <w:sz w:val="28"/>
          <w:szCs w:val="28"/>
          <w:lang w:eastAsia="ru-RU"/>
        </w:rPr>
        <w:t>Аты</w:t>
      </w:r>
      <w:proofErr w:type="spellEnd"/>
      <w:r w:rsidRPr="00F1502A">
        <w:rPr>
          <w:rFonts w:ascii="Times New Roman" w:eastAsia="Times New Roman" w:hAnsi="Times New Roman" w:cs="Times New Roman"/>
          <w:sz w:val="28"/>
          <w:szCs w:val="28"/>
          <w:lang w:eastAsia="ru-RU"/>
        </w:rPr>
        <w:t>-баты шли солдаты»;</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Мероприятие Организация и проведение Сборов юнармейских отрядов общеобразовательных учреждений города Ханты-Мансийска.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6 306 подростков, в том числе 2 105 юнармейцев.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По итогам 2020 года местное отделение всероссийского детско-юношеского военно-патриотического общественного движения «ЮНАРМИЯ» заняло 1 место в региональном смотре-конкурсе. Команда муниципального бюджетного общеобразовательного учреждения «Средняя общеобразовательная школа № 8» представляя город Ханты-Мансийск, стала призером и победителем по итогам конкурсных этапов игры IV регионального этапа военно-тактической игры «Заря. Сутки на броне». Команда «Югорский кадет» - призером регионального этапа Спартакиады молодежи России допризывного возраста.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2020 году в образовательных организациях прошли памятные мероприятия, посвященные празднованию 75-летия Победы в Великой Отечественной войне 1941-1945 годов, Года памяти и славы.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Одно из ярких и крупных мероприятий – фестиваль «Истоки Великой Победы» состоялось в образовательных организациях при участии региональной общественной организации «Родительский комитет Югры» и негосударственного образовательного учреждения дополнительного образования «Духовно-просветительский центр».</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Средства в сумме 400,0 тыс. рублей направлены на финансирование наказов избирателей депутатам Думы Ханты-Мансийского автономного округа – Югры. Данные средства поступили из бюджета автономного округа на оказание финансовой помощи с целью оказания финансовой помощи на реализацию проекта «Дорогами Победы», посвященного 75-й годовщине со Дня Победы в Великой Отечественной войне и оказание финансовой помощи на приобретение форменной одежды МБОУ «Гимназия № 1».</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Подпрограмма IV «Ресурсное обеспечение системы образования»:</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lastRenderedPageBreak/>
        <w:t>1. Основное мероприятие «Обеспечение функций управления и контроля в сфере образования» при плане 26 456,7 тыс. рублей городского бюджета, исполнение составило 26 358,5 тыс. рублей или 99,6 %.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В данном мероприятии отражены расходы на обеспечение содержания Департамента образования Администрации г. Ханты-Мансийска. </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 xml:space="preserve">Средства направлены на содержание учреждения, в том числе на заработную плату, начисления на выплате по оплате туда, возмещение персоналу расходов, связанных со служебными командировками, выплата работника по больничным листам за первые 3 дня временной нетрудоспособности. </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2. Основное мероприятие «Финансовое обеспечение полномочий органов местного самоуправления города Ханты-Мансийска» выделены средства в размере 100 594,9 тыс. рублей средства городского бюджета. Исполнение составило 99 972,5 тыс. рублей. Плановые показатели исполнены на 99,4 %.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w:t>
      </w:r>
      <w:r w:rsidRPr="00F1502A">
        <w:rPr>
          <w:rFonts w:ascii="Times New Roman" w:eastAsia="Times New Roman" w:hAnsi="Times New Roman" w:cs="Times New Roman"/>
          <w:lang w:eastAsia="ru-RU"/>
        </w:rPr>
        <w:t xml:space="preserve"> </w:t>
      </w:r>
      <w:r w:rsidRPr="00F1502A">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МКУ «Управление по учету и контролю финансов образовательных учреждений города Ханты-Мансийска» </w:t>
      </w:r>
      <w:r w:rsidRPr="00F1502A">
        <w:rPr>
          <w:rFonts w:ascii="Times New Roman" w:eastAsia="Times New Roman" w:hAnsi="Times New Roman" w:cs="Times New Roman"/>
          <w:sz w:val="28"/>
          <w:szCs w:val="28"/>
          <w:lang w:eastAsia="ru-RU"/>
        </w:rPr>
        <w:br/>
        <w:t>и МКУ ДО «Центр развития образования» в сумме 99 882,5 тыс. рублей;</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 в 2020 году проведены мероприятия по итогам учебного года для обучающихся дошкольного возраста, общеобразовательной программы «</w:t>
      </w:r>
      <w:proofErr w:type="spellStart"/>
      <w:r w:rsidRPr="00F1502A">
        <w:rPr>
          <w:rFonts w:ascii="Times New Roman" w:hAnsi="Times New Roman" w:cs="Times New Roman"/>
          <w:sz w:val="28"/>
          <w:szCs w:val="28"/>
        </w:rPr>
        <w:t>Предшкольная</w:t>
      </w:r>
      <w:proofErr w:type="spellEnd"/>
      <w:r w:rsidRPr="00F1502A">
        <w:rPr>
          <w:rFonts w:ascii="Times New Roman" w:hAnsi="Times New Roman" w:cs="Times New Roman"/>
          <w:sz w:val="28"/>
          <w:szCs w:val="28"/>
        </w:rPr>
        <w:t xml:space="preserve"> пора»</w:t>
      </w:r>
    </w:p>
    <w:p w:rsidR="00F1502A" w:rsidRPr="00F1502A" w:rsidRDefault="00F1502A" w:rsidP="00F1502A">
      <w:pPr>
        <w:shd w:val="clear" w:color="auto" w:fill="FFFFFF"/>
        <w:spacing w:after="0" w:line="240" w:lineRule="auto"/>
        <w:ind w:firstLine="709"/>
        <w:jc w:val="both"/>
        <w:rPr>
          <w:rFonts w:ascii="Times New Roman" w:hAnsi="Times New Roman" w:cs="Times New Roman"/>
          <w:b/>
          <w:sz w:val="28"/>
          <w:szCs w:val="28"/>
        </w:rPr>
      </w:pPr>
      <w:r w:rsidRPr="00F1502A">
        <w:rPr>
          <w:rFonts w:ascii="Times New Roman" w:hAnsi="Times New Roman" w:cs="Times New Roman"/>
          <w:sz w:val="28"/>
          <w:szCs w:val="28"/>
        </w:rPr>
        <w:t>- целевое обучение по образовательным программам высшего образования.</w:t>
      </w:r>
    </w:p>
    <w:p w:rsidR="00F1502A" w:rsidRPr="00F1502A" w:rsidRDefault="00F1502A" w:rsidP="00F1502A">
      <w:pPr>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3. Основное мероприятие «Обеспечение комплексной безопасности образовательных учреждений» при плане 145 861,6 тыс. рублей средства городского бюджета, исполнение составило 133 923,0 или 91,8 %.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Средства направлены на следующие мероприятия:</w:t>
      </w:r>
    </w:p>
    <w:p w:rsidR="00F1502A" w:rsidRPr="00F1502A" w:rsidRDefault="00F1502A" w:rsidP="00F1502A">
      <w:pPr>
        <w:spacing w:after="0" w:line="276" w:lineRule="auto"/>
        <w:ind w:firstLine="709"/>
        <w:contextualSpacing/>
        <w:jc w:val="both"/>
        <w:rPr>
          <w:rFonts w:ascii="Times New Roman" w:hAnsi="Times New Roman" w:cs="Times New Roman"/>
          <w:sz w:val="28"/>
          <w:szCs w:val="28"/>
        </w:rPr>
      </w:pPr>
      <w:r w:rsidRPr="00F1502A">
        <w:rPr>
          <w:rFonts w:ascii="Times New Roman" w:hAnsi="Times New Roman" w:cs="Times New Roman"/>
          <w:sz w:val="28"/>
          <w:szCs w:val="28"/>
        </w:rPr>
        <w:t xml:space="preserve">            - Текущий ремонт и содержание учреждений и объектов Департамента образования Администрации города Ханты-Мансийска. </w:t>
      </w:r>
    </w:p>
    <w:p w:rsidR="00F1502A" w:rsidRPr="00F1502A" w:rsidRDefault="00F1502A" w:rsidP="00F1502A">
      <w:pPr>
        <w:spacing w:after="0" w:line="276" w:lineRule="auto"/>
        <w:ind w:firstLine="709"/>
        <w:contextualSpacing/>
        <w:jc w:val="both"/>
        <w:rPr>
          <w:rFonts w:ascii="Times New Roman" w:hAnsi="Times New Roman" w:cs="Times New Roman"/>
          <w:sz w:val="28"/>
          <w:szCs w:val="28"/>
        </w:rPr>
      </w:pPr>
      <w:r w:rsidRPr="00F1502A">
        <w:rPr>
          <w:rFonts w:ascii="Times New Roman" w:hAnsi="Times New Roman" w:cs="Times New Roman"/>
          <w:sz w:val="28"/>
          <w:szCs w:val="28"/>
        </w:rPr>
        <w:t xml:space="preserve">             - Комплексное обслуживание учреждений и объектов Департамента образования Администрации города Ханты-Мансийска.</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Увеличение финансирования мероприятия муниципальной программы в 2020 году по сравнению с 2019 связано с увеличением количества объектов, подлежащих текущему ремонту. </w:t>
      </w:r>
    </w:p>
    <w:p w:rsidR="00F1502A" w:rsidRPr="00F1502A" w:rsidRDefault="00F1502A" w:rsidP="00F1502A">
      <w:pPr>
        <w:spacing w:after="0" w:line="240" w:lineRule="auto"/>
        <w:ind w:firstLine="709"/>
        <w:jc w:val="both"/>
        <w:rPr>
          <w:rFonts w:ascii="Times New Roman" w:eastAsia="Calibri" w:hAnsi="Times New Roman" w:cs="Times New Roman"/>
          <w:sz w:val="28"/>
          <w:szCs w:val="28"/>
          <w:lang w:eastAsia="ru-RU"/>
        </w:rPr>
      </w:pPr>
      <w:r w:rsidRPr="00F1502A">
        <w:rPr>
          <w:rFonts w:ascii="Times New Roman" w:eastAsia="Calibri" w:hAnsi="Times New Roman" w:cs="Times New Roman"/>
          <w:sz w:val="28"/>
          <w:szCs w:val="28"/>
          <w:lang w:eastAsia="ru-RU"/>
        </w:rPr>
        <w:t xml:space="preserve">4. Основное мероприятие «Развитие материально-технической базы образовательных учреждений» при плане 1 055 348,2 тыс. рублей, в том числе средства бюджета округа 950 654,4 тыс. рублей и 104 693,8 тыс. рублей </w:t>
      </w:r>
      <w:r w:rsidRPr="00F1502A">
        <w:rPr>
          <w:rFonts w:ascii="Times New Roman" w:eastAsia="Times New Roman" w:hAnsi="Times New Roman" w:cs="Times New Roman"/>
          <w:sz w:val="28"/>
          <w:szCs w:val="28"/>
          <w:lang w:eastAsia="ru-RU"/>
        </w:rPr>
        <w:t>средства городского бюджета</w:t>
      </w:r>
      <w:r w:rsidRPr="00F1502A">
        <w:rPr>
          <w:rFonts w:ascii="Times New Roman" w:eastAsia="Calibri" w:hAnsi="Times New Roman" w:cs="Times New Roman"/>
          <w:sz w:val="28"/>
          <w:szCs w:val="28"/>
          <w:lang w:eastAsia="ru-RU"/>
        </w:rPr>
        <w:t xml:space="preserve">. Исполнение составило 811 157,3 тыс. рублей или 76,9% от годового плана, в том числе 730 882,7 тыс. рублей средства бюджета округа и 80 274,6 тыс. рублей средства городского бюджета.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оплату выполненных работ по реконструкции объекта «2-я очередь МБОУ СОШ № 8 в городе Ханты-Мансийске» в размере 230 514,8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 оплату выполненных строительных работ по объекту «Средняя общеобразовательная школа «Гимназия № 1» в г. Ханты-Мансийске. Блок 2» в размере 54 251,5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выплату капитального гранта в рамках концессионного соглашения по объекту «Средняя школа на 1056 учащихся в микрорайоне Учхоз города Ханты-Мансийска» в размере 225 190,2 тыс. рублей;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выплату капитального гранта в рамках концессионного соглашения по объекту «Средняя школа на 1725 учащихся в микрорайоне Иртыш-2 города Ханты-Мансийска» в размере 292 789,9 тыс. рублей.</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 на финансирование наказов избирателей депутатам Думы Ханты-Мансийского автономного округа – Югры в размере 8 410,90 тыс. рублей. Данные средства поступили из бюджета автономного округа на оказание финансовой помощи с целью развития материально-технической базы образовательных организаций. </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Цели оказания услуг:</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оказание финансовой помощи на приобретение сценических костюмов для дошкольного отделения, юнармейской формы;</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оказание финансовой помощи на приобретение мебели, штор, карнизов;</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оказание финансовой помощи на приобретение и установку кондиционеров с зимним комплектом, учебно-наглядного оборудования;</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оказание финансовой помощи на обустройство раздевалок школьного бассейна, приобретение мебели, спортивного инвентаря, бытовой техники, электрических приборов;</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оказание финансовой помощи на приобретение компьютерной техники.</w:t>
      </w:r>
    </w:p>
    <w:p w:rsidR="00F1502A" w:rsidRPr="00F1502A" w:rsidRDefault="00F1502A" w:rsidP="00F1502A">
      <w:pPr>
        <w:spacing w:after="0" w:line="240"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Подпрограмма V «Формирование законопослушного поведения участников дорожного движения»:</w:t>
      </w:r>
    </w:p>
    <w:p w:rsidR="00F1502A" w:rsidRPr="00F1502A" w:rsidRDefault="00F1502A" w:rsidP="00F1502A">
      <w:pPr>
        <w:shd w:val="clear" w:color="auto" w:fill="FFFFFF"/>
        <w:spacing w:after="0" w:line="240" w:lineRule="auto"/>
        <w:ind w:firstLine="709"/>
        <w:jc w:val="both"/>
        <w:rPr>
          <w:rFonts w:ascii="Times New Roman" w:hAnsi="Times New Roman" w:cs="Times New Roman"/>
          <w:sz w:val="28"/>
          <w:szCs w:val="28"/>
        </w:rPr>
      </w:pPr>
      <w:r w:rsidRPr="00F1502A">
        <w:rPr>
          <w:rFonts w:ascii="Times New Roman" w:hAnsi="Times New Roman" w:cs="Times New Roman"/>
          <w:sz w:val="28"/>
          <w:szCs w:val="28"/>
        </w:rPr>
        <w:t>1. Основное мероприятие «Формирование законопослушного поведения участников дорожного движения» при плане 92,0 тыс. рублей городского бюджета. Исполнение составило 39,0 тыс. рублей или 42,4% от годового показателя.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 xml:space="preserve">Основной целью проведения мероприятий по данному направлению является совершенствование работы по предотвращению дорожно-транспортных происшествий с участием детей и подростков. Общее количество, принявших участие в мероприятиях составило 464 чел., из них </w:t>
      </w:r>
      <w:r w:rsidRPr="00F1502A">
        <w:rPr>
          <w:rFonts w:ascii="Times New Roman" w:eastAsia="Times New Roman" w:hAnsi="Times New Roman" w:cs="Times New Roman"/>
          <w:sz w:val="28"/>
          <w:szCs w:val="28"/>
          <w:lang w:eastAsia="ru-RU"/>
        </w:rPr>
        <w:br/>
        <w:t>384 ребенка, 80 педагогов.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 результате проведения в городе Ханты-Мансийске 5-ти конкурсов, школьникам привиты навыки безопасного поведения на улицах города, закреплены знания правил дорожного движения и навыки их соблюдения.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Выделенные средства направлены на следующие мероприятия:</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Городской конкурс «Зелёный огонёк», конкурс вариативных программ в сфере профилактики детского дорожно-транспортного травматизма, охват – 80 педагогов.</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lastRenderedPageBreak/>
        <w:t xml:space="preserve">Городской Слет «Юный инспектор дорожного движения». Участие принимали команды от действующих отрядов ЮИД общеобразовательных организаций, состав команды – 6 человек, 7-9 лет. Общий охват – 55 детей.  </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Городской конкурс-соревнование «Безопасное колесо». Участие принимали команды общеобразовательных учреждений города Ханты-Мансийска (по одной команде от каждой школы). Состав команды – 4 человека (два мальчика и две девочки), 11-13 лет. Команда победитель принимает участие в региональном конкурсе-соревновании «Безопасное колесо». Общий охват – 86 детей.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Окружной конкурс-соревнование «Безопасное колесо». Участие принимала команда победитель Городского конкурса-соревнования «Безопасное колесо». Состав команды – 4 человека (два мальчика и две девочки), 11-13 лет. Команда победитель принимает участие во всероссийском этапе конкурса-соревнования «Безопасное колесо». Общий охват – 5 детей.</w:t>
      </w:r>
    </w:p>
    <w:p w:rsidR="00F1502A" w:rsidRPr="00F1502A" w:rsidRDefault="00F1502A" w:rsidP="00F1502A">
      <w:pPr>
        <w:spacing w:after="0" w:line="276" w:lineRule="auto"/>
        <w:ind w:firstLine="709"/>
        <w:jc w:val="both"/>
        <w:rPr>
          <w:rFonts w:ascii="Times New Roman" w:eastAsia="Times New Roman" w:hAnsi="Times New Roman" w:cs="Times New Roman"/>
          <w:sz w:val="28"/>
          <w:szCs w:val="28"/>
          <w:lang w:eastAsia="ru-RU"/>
        </w:rPr>
      </w:pPr>
      <w:r w:rsidRPr="00F1502A">
        <w:rPr>
          <w:rFonts w:ascii="Times New Roman" w:eastAsia="Times New Roman" w:hAnsi="Times New Roman" w:cs="Times New Roman"/>
          <w:sz w:val="28"/>
          <w:szCs w:val="28"/>
          <w:lang w:eastAsia="ru-RU"/>
        </w:rPr>
        <w:t>«Перекресток». Участие принимали дети, посещающие лагеря с дневным пребыванием в возрасте от 8 до 10 лет (включительно), по одной команде от образовательной организации в составе не менее 4 человек: 2 мальчика и 2 девочки. Общий охват – 238 детей.</w:t>
      </w:r>
    </w:p>
    <w:p w:rsidR="00711670" w:rsidRDefault="00971BEE"/>
    <w:sectPr w:rsidR="00711670" w:rsidSect="00681F98">
      <w:pgSz w:w="11906" w:h="16838" w:code="9"/>
      <w:pgMar w:top="851" w:right="907" w:bottom="709" w:left="120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7B"/>
    <w:rsid w:val="00440C2F"/>
    <w:rsid w:val="00681F98"/>
    <w:rsid w:val="00971BEE"/>
    <w:rsid w:val="0099457B"/>
    <w:rsid w:val="00E61047"/>
    <w:rsid w:val="00F1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322D-7E64-4EFF-8223-8A82C5DA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02A"/>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667943608089787E-2"/>
          <c:y val="5.0641721601032412E-2"/>
          <c:w val="0.96909323147300175"/>
          <c:h val="0.84255825882378532"/>
        </c:manualLayout>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Word]образование 2018'!$B$7:$D$7</c:f>
              <c:strCache>
                <c:ptCount val="3"/>
                <c:pt idx="0">
                  <c:v>2019 год (исполнено)</c:v>
                </c:pt>
                <c:pt idx="1">
                  <c:v>2020 год (плановые назначения)</c:v>
                </c:pt>
                <c:pt idx="2">
                  <c:v>2020 (исполнено)</c:v>
                </c:pt>
              </c:strCache>
            </c:strRef>
          </c:cat>
          <c:val>
            <c:numRef>
              <c:f>'[Диаграмма в Microsoft Word]образование 2018'!$B$8:$D$8</c:f>
              <c:numCache>
                <c:formatCode>#\ ##0.0</c:formatCode>
                <c:ptCount val="3"/>
                <c:pt idx="0">
                  <c:v>4409090.9000000004</c:v>
                </c:pt>
                <c:pt idx="1">
                  <c:v>5671455.6999999993</c:v>
                </c:pt>
                <c:pt idx="2">
                  <c:v>5402330.2999999998</c:v>
                </c:pt>
              </c:numCache>
            </c:numRef>
          </c:val>
        </c:ser>
        <c:dLbls>
          <c:showLegendKey val="0"/>
          <c:showVal val="0"/>
          <c:showCatName val="0"/>
          <c:showSerName val="0"/>
          <c:showPercent val="0"/>
          <c:showBubbleSize val="0"/>
        </c:dLbls>
        <c:gapWidth val="219"/>
        <c:overlap val="-27"/>
        <c:axId val="151853928"/>
        <c:axId val="151854320"/>
      </c:barChart>
      <c:catAx>
        <c:axId val="15185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854320"/>
        <c:crosses val="autoZero"/>
        <c:auto val="1"/>
        <c:lblAlgn val="ctr"/>
        <c:lblOffset val="100"/>
        <c:noMultiLvlLbl val="0"/>
      </c:catAx>
      <c:valAx>
        <c:axId val="151854320"/>
        <c:scaling>
          <c:orientation val="minMax"/>
        </c:scaling>
        <c:delete val="1"/>
        <c:axPos val="l"/>
        <c:numFmt formatCode="#\ ##0.0" sourceLinked="1"/>
        <c:majorTickMark val="none"/>
        <c:minorTickMark val="none"/>
        <c:tickLblPos val="none"/>
        <c:crossAx val="151853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3821143978624"/>
          <c:y val="2.6224818214328288E-2"/>
          <c:w val="0.44356182954608153"/>
          <c:h val="0.89301438047386761"/>
        </c:manualLayout>
      </c:layout>
      <c:barChart>
        <c:barDir val="bar"/>
        <c:grouping val="clustered"/>
        <c:varyColors val="0"/>
        <c:ser>
          <c:idx val="0"/>
          <c:order val="0"/>
          <c:tx>
            <c:strRef>
              <c:f>'[Диаграмма в Microsoft Word]образование 2018'!$B$1</c:f>
              <c:strCache>
                <c:ptCount val="1"/>
                <c:pt idx="0">
                  <c:v>2019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Word]образование 2018'!$A$2:$A$6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'[Диаграмма в Microsoft Word]образование 2018'!$B$2:$B$6</c:f>
              <c:numCache>
                <c:formatCode>#\ ##0.0</c:formatCode>
                <c:ptCount val="5"/>
                <c:pt idx="0">
                  <c:v>4071595.7</c:v>
                </c:pt>
                <c:pt idx="1">
                  <c:v>549</c:v>
                </c:pt>
                <c:pt idx="2">
                  <c:v>782.7</c:v>
                </c:pt>
                <c:pt idx="3">
                  <c:v>336071.5</c:v>
                </c:pt>
                <c:pt idx="4">
                  <c:v>92</c:v>
                </c:pt>
              </c:numCache>
            </c:numRef>
          </c:val>
        </c:ser>
        <c:ser>
          <c:idx val="1"/>
          <c:order val="1"/>
          <c:tx>
            <c:strRef>
              <c:f>'[Диаграмма в Microsoft Word]образование 2018'!$C$1</c:f>
              <c:strCache>
                <c:ptCount val="1"/>
                <c:pt idx="0">
                  <c:v>2020 год (плановые назначения)</c:v>
                </c:pt>
              </c:strCache>
            </c:strRef>
          </c:tx>
          <c:spPr>
            <a:solidFill>
              <a:schemeClr val="accent2"/>
            </a:solidFill>
            <a:ln>
              <a:noFill/>
            </a:ln>
            <a:effectLst/>
          </c:spPr>
          <c:invertIfNegative val="0"/>
          <c:dLbls>
            <c:dLbl>
              <c:idx val="0"/>
              <c:layout>
                <c:manualLayout>
                  <c:x val="0"/>
                  <c:y val="-7.15222314936226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Word]образование 2018'!$A$2:$A$6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'[Диаграмма в Microsoft Word]образование 2018'!$C$2:$C$6</c:f>
              <c:numCache>
                <c:formatCode>#\ ##0.0</c:formatCode>
                <c:ptCount val="5"/>
                <c:pt idx="0">
                  <c:v>4337350.7</c:v>
                </c:pt>
                <c:pt idx="1">
                  <c:v>489</c:v>
                </c:pt>
                <c:pt idx="2">
                  <c:v>5262.6</c:v>
                </c:pt>
                <c:pt idx="3">
                  <c:v>1328261.3999999999</c:v>
                </c:pt>
                <c:pt idx="4">
                  <c:v>92</c:v>
                </c:pt>
              </c:numCache>
            </c:numRef>
          </c:val>
        </c:ser>
        <c:ser>
          <c:idx val="2"/>
          <c:order val="2"/>
          <c:tx>
            <c:strRef>
              <c:f>'[Диаграмма в Microsoft Word]образование 2018'!$D$1</c:f>
              <c:strCache>
                <c:ptCount val="1"/>
                <c:pt idx="0">
                  <c:v>2020 (исполнено)</c:v>
                </c:pt>
              </c:strCache>
            </c:strRef>
          </c:tx>
          <c:spPr>
            <a:solidFill>
              <a:schemeClr val="accent3"/>
            </a:solidFill>
            <a:ln>
              <a:noFill/>
            </a:ln>
            <a:effectLst/>
          </c:spPr>
          <c:invertIfNegative val="0"/>
          <c:dLbls>
            <c:dLbl>
              <c:idx val="0"/>
              <c:layout>
                <c:manualLayout>
                  <c:x val="-6.0060060060061525E-3"/>
                  <c:y val="-2.384074383120753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Word]образование 2018'!$A$2:$A$6</c:f>
              <c:strCache>
                <c:ptCount val="5"/>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pt idx="4">
                  <c:v>Формирование законопослушного поведения участников дорожного движения</c:v>
                </c:pt>
              </c:strCache>
            </c:strRef>
          </c:cat>
          <c:val>
            <c:numRef>
              <c:f>'[Диаграмма в Microsoft Word]образование 2018'!$D$2:$D$6</c:f>
              <c:numCache>
                <c:formatCode>#\ ##0.0</c:formatCode>
                <c:ptCount val="5"/>
                <c:pt idx="0">
                  <c:v>4325241.4000000004</c:v>
                </c:pt>
                <c:pt idx="1">
                  <c:v>489</c:v>
                </c:pt>
                <c:pt idx="2">
                  <c:v>5149.6000000000004</c:v>
                </c:pt>
                <c:pt idx="3">
                  <c:v>1071411.3</c:v>
                </c:pt>
                <c:pt idx="4">
                  <c:v>39</c:v>
                </c:pt>
              </c:numCache>
            </c:numRef>
          </c:val>
        </c:ser>
        <c:dLbls>
          <c:showLegendKey val="0"/>
          <c:showVal val="0"/>
          <c:showCatName val="0"/>
          <c:showSerName val="0"/>
          <c:showPercent val="0"/>
          <c:showBubbleSize val="0"/>
        </c:dLbls>
        <c:gapWidth val="182"/>
        <c:axId val="299275248"/>
        <c:axId val="299275640"/>
      </c:barChart>
      <c:catAx>
        <c:axId val="299275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99275640"/>
        <c:crosses val="autoZero"/>
        <c:auto val="1"/>
        <c:lblAlgn val="ctr"/>
        <c:lblOffset val="100"/>
        <c:noMultiLvlLbl val="0"/>
      </c:catAx>
      <c:valAx>
        <c:axId val="299275640"/>
        <c:scaling>
          <c:orientation val="minMax"/>
        </c:scaling>
        <c:delete val="1"/>
        <c:axPos val="b"/>
        <c:numFmt formatCode="#\ ##0.0" sourceLinked="1"/>
        <c:majorTickMark val="none"/>
        <c:minorTickMark val="none"/>
        <c:tickLblPos val="none"/>
        <c:crossAx val="29927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8381</Words>
  <Characters>47774</Characters>
  <Application>Microsoft Office Word</Application>
  <DocSecurity>0</DocSecurity>
  <Lines>398</Lines>
  <Paragraphs>112</Paragraphs>
  <ScaleCrop>false</ScaleCrop>
  <Company/>
  <LinksUpToDate>false</LinksUpToDate>
  <CharactersWithSpaces>56043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Айнутдинова Зарина Мансуровна</dc:creator>
  <cp:keywords/>
  <dc:description/>
  <cp:lastModifiedBy>Айнутдинова Зарина Мансуровна</cp:lastModifiedBy>
  <cp:revision>4</cp:revision>
  <dcterms:created xsi:type="dcterms:W3CDTF">2021-03-18T11:45:00Z</dcterms:created>
  <dcterms:modified xsi:type="dcterms:W3CDTF">2021-03-19T04:14:00Z</dcterms:modified>
</cp:coreProperties>
</file>