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6D" w:rsidRPr="00F20611" w:rsidRDefault="00F07DD4" w:rsidP="00F07DD4">
      <w:pPr>
        <w:keepNext/>
        <w:keepLines/>
        <w:spacing w:after="0" w:line="240" w:lineRule="auto"/>
        <w:ind w:right="424"/>
        <w:jc w:val="center"/>
        <w:outlineLvl w:val="0"/>
        <w:rPr>
          <w:rFonts w:eastAsiaTheme="majorEastAsia"/>
          <w:b/>
          <w:bCs/>
          <w:color w:val="C45911" w:themeColor="accent2" w:themeShade="BF"/>
          <w:sz w:val="32"/>
          <w:szCs w:val="32"/>
        </w:rPr>
      </w:pPr>
      <w:bookmarkStart w:id="0" w:name="_Toc131164257"/>
      <w:bookmarkStart w:id="1" w:name="_Toc130222737"/>
      <w:bookmarkStart w:id="2" w:name="_Toc192253434"/>
      <w:r w:rsidRPr="00F20611">
        <w:rPr>
          <w:rFonts w:eastAsiaTheme="majorEastAsia"/>
          <w:b/>
          <w:bCs/>
          <w:color w:val="C45911" w:themeColor="accent2" w:themeShade="BF"/>
          <w:sz w:val="32"/>
          <w:szCs w:val="32"/>
        </w:rPr>
        <w:t>Муниципальная программа</w:t>
      </w:r>
      <w:bookmarkEnd w:id="0"/>
      <w:r w:rsidRPr="00F20611">
        <w:rPr>
          <w:rFonts w:eastAsiaTheme="majorEastAsia"/>
          <w:b/>
          <w:bCs/>
          <w:color w:val="C45911" w:themeColor="accent2" w:themeShade="BF"/>
          <w:sz w:val="32"/>
          <w:szCs w:val="32"/>
        </w:rPr>
        <w:t xml:space="preserve"> </w:t>
      </w:r>
      <w:bookmarkStart w:id="3" w:name="_Toc131164258"/>
      <w:r w:rsidRPr="00F20611">
        <w:rPr>
          <w:rFonts w:eastAsiaTheme="majorEastAsia"/>
          <w:b/>
          <w:bCs/>
          <w:color w:val="C45911" w:themeColor="accent2" w:themeShade="BF"/>
          <w:sz w:val="32"/>
          <w:szCs w:val="32"/>
        </w:rPr>
        <w:t>«Обеспечение доступным и комфортным жильем жителей города Ханты-Мансийска»</w:t>
      </w:r>
      <w:bookmarkEnd w:id="1"/>
      <w:bookmarkEnd w:id="2"/>
      <w:bookmarkEnd w:id="3"/>
    </w:p>
    <w:p w:rsidR="00F20611" w:rsidRDefault="00F20611" w:rsidP="00F20611">
      <w:pPr>
        <w:spacing w:after="0"/>
        <w:ind w:firstLine="709"/>
        <w:jc w:val="both"/>
        <w:rPr>
          <w:sz w:val="28"/>
          <w:szCs w:val="28"/>
        </w:rPr>
      </w:pPr>
    </w:p>
    <w:p w:rsidR="00F20611" w:rsidRDefault="00F20611" w:rsidP="00F20611">
      <w:pPr>
        <w:spacing w:after="0"/>
        <w:ind w:firstLine="709"/>
        <w:jc w:val="both"/>
        <w:rPr>
          <w:sz w:val="28"/>
          <w:szCs w:val="28"/>
        </w:rPr>
      </w:pPr>
      <w:r w:rsidRPr="00F07DD4">
        <w:rPr>
          <w:sz w:val="28"/>
          <w:szCs w:val="28"/>
        </w:rPr>
        <w:t>Муниципальная программа утверждена постановлением Администрации города Ханты-Мансийска от 30.10.2013 № 1385 «Об утверждении муниципальной программы «Обеспечение доступным и комфортным жильем жи</w:t>
      </w:r>
      <w:r>
        <w:rPr>
          <w:sz w:val="28"/>
          <w:szCs w:val="28"/>
        </w:rPr>
        <w:t xml:space="preserve">телей города Ханты-Мансийска». </w:t>
      </w:r>
    </w:p>
    <w:p w:rsidR="00F20611" w:rsidRDefault="00F20611" w:rsidP="00F20611">
      <w:pPr>
        <w:spacing w:after="0"/>
        <w:ind w:firstLine="709"/>
        <w:jc w:val="both"/>
        <w:rPr>
          <w:sz w:val="28"/>
          <w:szCs w:val="28"/>
        </w:rPr>
      </w:pPr>
      <w:r w:rsidRPr="00020FC9">
        <w:rPr>
          <w:sz w:val="28"/>
          <w:szCs w:val="28"/>
        </w:rPr>
        <w:t>Общий объем финансирования на 202</w:t>
      </w:r>
      <w:r>
        <w:rPr>
          <w:sz w:val="28"/>
          <w:szCs w:val="28"/>
        </w:rPr>
        <w:t>4</w:t>
      </w:r>
      <w:r w:rsidRPr="00020FC9">
        <w:rPr>
          <w:sz w:val="28"/>
          <w:szCs w:val="28"/>
        </w:rPr>
        <w:t xml:space="preserve"> год составляет </w:t>
      </w:r>
      <w:r>
        <w:rPr>
          <w:sz w:val="28"/>
          <w:szCs w:val="28"/>
        </w:rPr>
        <w:t>1 181 053,3 тыс. рублей.</w:t>
      </w:r>
      <w:r w:rsidRPr="00020FC9">
        <w:rPr>
          <w:sz w:val="28"/>
          <w:szCs w:val="28"/>
        </w:rPr>
        <w:t xml:space="preserve"> </w:t>
      </w:r>
    </w:p>
    <w:p w:rsidR="00F20611" w:rsidRDefault="00F20611" w:rsidP="00F20611">
      <w:pPr>
        <w:spacing w:after="0"/>
        <w:ind w:firstLine="709"/>
        <w:jc w:val="both"/>
        <w:rPr>
          <w:sz w:val="28"/>
          <w:szCs w:val="28"/>
        </w:rPr>
      </w:pPr>
      <w:r>
        <w:rPr>
          <w:sz w:val="28"/>
          <w:szCs w:val="28"/>
        </w:rPr>
        <w:t>И</w:t>
      </w:r>
      <w:r w:rsidRPr="00020FC9">
        <w:rPr>
          <w:sz w:val="28"/>
          <w:szCs w:val="28"/>
        </w:rPr>
        <w:t xml:space="preserve">сполнение муниципальной программы на отчетную дату составляет </w:t>
      </w:r>
      <w:r>
        <w:rPr>
          <w:sz w:val="28"/>
          <w:szCs w:val="28"/>
        </w:rPr>
        <w:t>1 180 866,1</w:t>
      </w:r>
      <w:r w:rsidRPr="00020FC9">
        <w:rPr>
          <w:sz w:val="28"/>
          <w:szCs w:val="28"/>
        </w:rPr>
        <w:t xml:space="preserve"> тыс. рублей</w:t>
      </w:r>
      <w:r>
        <w:rPr>
          <w:sz w:val="28"/>
          <w:szCs w:val="28"/>
        </w:rPr>
        <w:t>,</w:t>
      </w:r>
      <w:r w:rsidRPr="00020FC9">
        <w:rPr>
          <w:sz w:val="28"/>
          <w:szCs w:val="28"/>
        </w:rPr>
        <w:t xml:space="preserve"> </w:t>
      </w:r>
      <w:r w:rsidRPr="00ED0887">
        <w:rPr>
          <w:sz w:val="28"/>
          <w:szCs w:val="28"/>
        </w:rPr>
        <w:t>в том числе средства окружного бюджета – 1 039 28</w:t>
      </w:r>
      <w:r>
        <w:rPr>
          <w:sz w:val="28"/>
          <w:szCs w:val="28"/>
        </w:rPr>
        <w:t>4</w:t>
      </w:r>
      <w:r w:rsidRPr="00ED0887">
        <w:rPr>
          <w:sz w:val="28"/>
          <w:szCs w:val="28"/>
        </w:rPr>
        <w:t>,</w:t>
      </w:r>
      <w:r>
        <w:rPr>
          <w:sz w:val="28"/>
          <w:szCs w:val="28"/>
        </w:rPr>
        <w:t>4</w:t>
      </w:r>
      <w:r w:rsidRPr="00ED0887">
        <w:rPr>
          <w:sz w:val="28"/>
          <w:szCs w:val="28"/>
        </w:rPr>
        <w:t xml:space="preserve"> тыс. рублей, средства федерального бюджета – 1</w:t>
      </w:r>
      <w:r>
        <w:rPr>
          <w:sz w:val="28"/>
          <w:szCs w:val="28"/>
        </w:rPr>
        <w:t> 425,0</w:t>
      </w:r>
      <w:r w:rsidRPr="00ED0887">
        <w:rPr>
          <w:sz w:val="28"/>
          <w:szCs w:val="28"/>
        </w:rPr>
        <w:t xml:space="preserve"> тыс. рублей, средства бюджета города Ханты-Ма</w:t>
      </w:r>
      <w:r>
        <w:rPr>
          <w:sz w:val="28"/>
          <w:szCs w:val="28"/>
        </w:rPr>
        <w:t xml:space="preserve">нсийска – 140 156,7 тыс. рублей. </w:t>
      </w:r>
    </w:p>
    <w:p w:rsidR="00F20611" w:rsidRDefault="00F20611" w:rsidP="00F20611">
      <w:pPr>
        <w:spacing w:after="0"/>
        <w:ind w:firstLine="709"/>
        <w:jc w:val="both"/>
        <w:rPr>
          <w:sz w:val="24"/>
          <w:szCs w:val="24"/>
        </w:rPr>
      </w:pPr>
      <w:r w:rsidRPr="00F25531">
        <w:rPr>
          <w:sz w:val="28"/>
          <w:szCs w:val="28"/>
        </w:rPr>
        <w:t>Исполнение расходов бюджета города по муниципальной программе «Обеспечение доступным и комфортным жильем жителей города Ханты-Мансийска» осуществляли следующие ответственные исполнители</w:t>
      </w:r>
      <w:r>
        <w:rPr>
          <w:sz w:val="28"/>
          <w:szCs w:val="28"/>
        </w:rPr>
        <w:t>:</w:t>
      </w:r>
    </w:p>
    <w:p w:rsidR="00F20611" w:rsidRPr="00F07DD4" w:rsidRDefault="00F20611" w:rsidP="00F20611">
      <w:pPr>
        <w:tabs>
          <w:tab w:val="left" w:pos="459"/>
        </w:tabs>
        <w:suppressAutoHyphens/>
        <w:spacing w:after="0"/>
        <w:ind w:right="-2"/>
        <w:rPr>
          <w:sz w:val="24"/>
          <w:szCs w:val="24"/>
        </w:rPr>
      </w:pPr>
      <w:r w:rsidRPr="00F07DD4">
        <w:rPr>
          <w:sz w:val="24"/>
          <w:szCs w:val="24"/>
        </w:rPr>
        <w:t xml:space="preserve"> (тыс. рублей)</w:t>
      </w:r>
    </w:p>
    <w:tbl>
      <w:tblPr>
        <w:tblW w:w="9901" w:type="dxa"/>
        <w:tblInd w:w="-459" w:type="dxa"/>
        <w:tblLook w:val="04A0" w:firstRow="1" w:lastRow="0" w:firstColumn="1" w:lastColumn="0" w:noHBand="0" w:noVBand="1"/>
      </w:tblPr>
      <w:tblGrid>
        <w:gridCol w:w="740"/>
        <w:gridCol w:w="3513"/>
        <w:gridCol w:w="1276"/>
        <w:gridCol w:w="1588"/>
        <w:gridCol w:w="1559"/>
        <w:gridCol w:w="1225"/>
      </w:tblGrid>
      <w:tr w:rsidR="00F20611" w:rsidRPr="00F07DD4" w:rsidTr="00902B01">
        <w:trPr>
          <w:trHeight w:val="300"/>
        </w:trPr>
        <w:tc>
          <w:tcPr>
            <w:tcW w:w="740" w:type="dxa"/>
            <w:vMerge w:val="restart"/>
            <w:tcBorders>
              <w:top w:val="single" w:sz="4" w:space="0" w:color="auto"/>
              <w:left w:val="single" w:sz="4" w:space="0" w:color="auto"/>
              <w:right w:val="single" w:sz="4" w:space="0" w:color="auto"/>
            </w:tcBorders>
            <w:vAlign w:val="center"/>
          </w:tcPr>
          <w:p w:rsidR="00F20611" w:rsidRPr="00F07DD4" w:rsidRDefault="00F20611" w:rsidP="00902B01">
            <w:pPr>
              <w:spacing w:after="0" w:line="240" w:lineRule="auto"/>
              <w:ind w:right="93"/>
              <w:jc w:val="center"/>
              <w:rPr>
                <w:sz w:val="20"/>
                <w:szCs w:val="20"/>
              </w:rPr>
            </w:pPr>
            <w:r w:rsidRPr="00F07DD4">
              <w:rPr>
                <w:sz w:val="20"/>
                <w:szCs w:val="20"/>
              </w:rPr>
              <w:t>№ п/п</w:t>
            </w:r>
          </w:p>
        </w:tc>
        <w:tc>
          <w:tcPr>
            <w:tcW w:w="3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0611" w:rsidRPr="00F07DD4" w:rsidRDefault="00F20611" w:rsidP="00902B01">
            <w:pPr>
              <w:spacing w:after="0" w:line="240" w:lineRule="auto"/>
              <w:jc w:val="center"/>
              <w:rPr>
                <w:sz w:val="20"/>
                <w:szCs w:val="20"/>
              </w:rPr>
            </w:pPr>
            <w:r w:rsidRPr="00F07DD4">
              <w:rPr>
                <w:sz w:val="20"/>
                <w:szCs w:val="20"/>
              </w:rPr>
              <w:t>Наименование основного исполнителя, соисполнителя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611" w:rsidRPr="00F07DD4" w:rsidRDefault="00F20611" w:rsidP="00902B01">
            <w:pPr>
              <w:spacing w:after="0" w:line="240" w:lineRule="auto"/>
              <w:jc w:val="center"/>
              <w:rPr>
                <w:sz w:val="20"/>
                <w:szCs w:val="20"/>
              </w:rPr>
            </w:pPr>
            <w:r w:rsidRPr="00F07DD4">
              <w:rPr>
                <w:sz w:val="20"/>
                <w:szCs w:val="20"/>
              </w:rPr>
              <w:t>202</w:t>
            </w:r>
            <w:r>
              <w:rPr>
                <w:sz w:val="20"/>
                <w:szCs w:val="20"/>
              </w:rPr>
              <w:t>3</w:t>
            </w:r>
            <w:r w:rsidRPr="00F07DD4">
              <w:rPr>
                <w:sz w:val="20"/>
                <w:szCs w:val="20"/>
              </w:rPr>
              <w:t xml:space="preserve"> год (отчет)</w:t>
            </w:r>
          </w:p>
        </w:tc>
        <w:tc>
          <w:tcPr>
            <w:tcW w:w="4372" w:type="dxa"/>
            <w:gridSpan w:val="3"/>
            <w:tcBorders>
              <w:top w:val="single" w:sz="4" w:space="0" w:color="auto"/>
              <w:left w:val="nil"/>
              <w:bottom w:val="single" w:sz="4" w:space="0" w:color="auto"/>
              <w:right w:val="single" w:sz="4" w:space="0" w:color="auto"/>
            </w:tcBorders>
            <w:shd w:val="clear" w:color="auto" w:fill="auto"/>
            <w:noWrap/>
            <w:vAlign w:val="center"/>
            <w:hideMark/>
          </w:tcPr>
          <w:p w:rsidR="00F20611" w:rsidRPr="00F07DD4" w:rsidRDefault="00F20611" w:rsidP="00902B01">
            <w:pPr>
              <w:spacing w:after="0" w:line="240" w:lineRule="auto"/>
              <w:jc w:val="center"/>
              <w:rPr>
                <w:sz w:val="20"/>
                <w:szCs w:val="20"/>
              </w:rPr>
            </w:pPr>
            <w:r w:rsidRPr="00F07DD4">
              <w:rPr>
                <w:sz w:val="20"/>
                <w:szCs w:val="20"/>
              </w:rPr>
              <w:t>202</w:t>
            </w:r>
            <w:r>
              <w:rPr>
                <w:sz w:val="20"/>
                <w:szCs w:val="20"/>
              </w:rPr>
              <w:t>4</w:t>
            </w:r>
            <w:r w:rsidRPr="00F07DD4">
              <w:rPr>
                <w:sz w:val="20"/>
                <w:szCs w:val="20"/>
              </w:rPr>
              <w:t xml:space="preserve"> год </w:t>
            </w:r>
          </w:p>
        </w:tc>
      </w:tr>
      <w:tr w:rsidR="00F20611" w:rsidRPr="00F07DD4" w:rsidTr="00902B01">
        <w:trPr>
          <w:trHeight w:val="655"/>
        </w:trPr>
        <w:tc>
          <w:tcPr>
            <w:tcW w:w="740" w:type="dxa"/>
            <w:vMerge/>
            <w:tcBorders>
              <w:left w:val="single" w:sz="4" w:space="0" w:color="auto"/>
              <w:bottom w:val="single" w:sz="4" w:space="0" w:color="auto"/>
              <w:right w:val="single" w:sz="4" w:space="0" w:color="auto"/>
            </w:tcBorders>
          </w:tcPr>
          <w:p w:rsidR="00F20611" w:rsidRPr="00F07DD4" w:rsidRDefault="00F20611" w:rsidP="00902B01">
            <w:pPr>
              <w:spacing w:after="0" w:line="240" w:lineRule="auto"/>
              <w:ind w:right="424"/>
              <w:rPr>
                <w:sz w:val="20"/>
                <w:szCs w:val="20"/>
              </w:rPr>
            </w:pPr>
          </w:p>
        </w:tc>
        <w:tc>
          <w:tcPr>
            <w:tcW w:w="3513" w:type="dxa"/>
            <w:vMerge/>
            <w:tcBorders>
              <w:top w:val="single" w:sz="4" w:space="0" w:color="auto"/>
              <w:left w:val="single" w:sz="4" w:space="0" w:color="auto"/>
              <w:bottom w:val="single" w:sz="4" w:space="0" w:color="auto"/>
              <w:right w:val="single" w:sz="4" w:space="0" w:color="auto"/>
            </w:tcBorders>
            <w:vAlign w:val="center"/>
            <w:hideMark/>
          </w:tcPr>
          <w:p w:rsidR="00F20611" w:rsidRPr="00F07DD4" w:rsidRDefault="00F20611" w:rsidP="00902B01">
            <w:pPr>
              <w:spacing w:after="0" w:line="240" w:lineRule="auto"/>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0611" w:rsidRPr="00F07DD4" w:rsidRDefault="00F20611" w:rsidP="00902B01">
            <w:pPr>
              <w:spacing w:after="0" w:line="240" w:lineRule="auto"/>
              <w:rPr>
                <w:sz w:val="20"/>
                <w:szCs w:val="20"/>
              </w:rPr>
            </w:pPr>
          </w:p>
        </w:tc>
        <w:tc>
          <w:tcPr>
            <w:tcW w:w="1588" w:type="dxa"/>
            <w:tcBorders>
              <w:top w:val="nil"/>
              <w:left w:val="nil"/>
              <w:bottom w:val="single" w:sz="4" w:space="0" w:color="auto"/>
              <w:right w:val="single" w:sz="4" w:space="0" w:color="auto"/>
            </w:tcBorders>
            <w:shd w:val="clear" w:color="auto" w:fill="auto"/>
            <w:vAlign w:val="center"/>
            <w:hideMark/>
          </w:tcPr>
          <w:p w:rsidR="00F20611" w:rsidRPr="00F07DD4" w:rsidRDefault="00F20611" w:rsidP="00902B01">
            <w:pPr>
              <w:spacing w:after="0" w:line="240" w:lineRule="auto"/>
              <w:jc w:val="center"/>
              <w:rPr>
                <w:sz w:val="20"/>
                <w:szCs w:val="20"/>
              </w:rPr>
            </w:pPr>
            <w:r w:rsidRPr="00F07DD4">
              <w:rPr>
                <w:sz w:val="20"/>
                <w:szCs w:val="20"/>
              </w:rPr>
              <w:t>Уточненный план</w:t>
            </w:r>
          </w:p>
        </w:tc>
        <w:tc>
          <w:tcPr>
            <w:tcW w:w="1559" w:type="dxa"/>
            <w:tcBorders>
              <w:top w:val="nil"/>
              <w:left w:val="nil"/>
              <w:bottom w:val="single" w:sz="4" w:space="0" w:color="auto"/>
              <w:right w:val="single" w:sz="4" w:space="0" w:color="auto"/>
            </w:tcBorders>
            <w:shd w:val="clear" w:color="auto" w:fill="auto"/>
            <w:vAlign w:val="center"/>
            <w:hideMark/>
          </w:tcPr>
          <w:p w:rsidR="00F20611" w:rsidRPr="00F07DD4" w:rsidRDefault="00F20611" w:rsidP="00902B01">
            <w:pPr>
              <w:spacing w:after="0" w:line="240" w:lineRule="auto"/>
              <w:jc w:val="center"/>
              <w:rPr>
                <w:sz w:val="20"/>
                <w:szCs w:val="20"/>
              </w:rPr>
            </w:pPr>
            <w:r w:rsidRPr="00F07DD4">
              <w:rPr>
                <w:sz w:val="20"/>
                <w:szCs w:val="20"/>
              </w:rPr>
              <w:t>Исполнение</w:t>
            </w:r>
          </w:p>
        </w:tc>
        <w:tc>
          <w:tcPr>
            <w:tcW w:w="1225" w:type="dxa"/>
            <w:tcBorders>
              <w:top w:val="nil"/>
              <w:left w:val="nil"/>
              <w:bottom w:val="single" w:sz="4" w:space="0" w:color="auto"/>
              <w:right w:val="single" w:sz="4" w:space="0" w:color="auto"/>
            </w:tcBorders>
            <w:shd w:val="clear" w:color="auto" w:fill="auto"/>
            <w:hideMark/>
          </w:tcPr>
          <w:p w:rsidR="00F20611" w:rsidRPr="00F07DD4" w:rsidRDefault="00F20611" w:rsidP="00902B01">
            <w:pPr>
              <w:jc w:val="center"/>
              <w:rPr>
                <w:sz w:val="20"/>
                <w:szCs w:val="20"/>
              </w:rPr>
            </w:pPr>
            <w:r w:rsidRPr="00F07DD4">
              <w:rPr>
                <w:sz w:val="20"/>
                <w:szCs w:val="20"/>
              </w:rPr>
              <w:t xml:space="preserve">% исполнения </w:t>
            </w:r>
          </w:p>
        </w:tc>
      </w:tr>
      <w:tr w:rsidR="00F20611" w:rsidRPr="00F07DD4" w:rsidTr="00902B01">
        <w:trPr>
          <w:trHeight w:val="539"/>
        </w:trPr>
        <w:tc>
          <w:tcPr>
            <w:tcW w:w="740" w:type="dxa"/>
            <w:tcBorders>
              <w:top w:val="nil"/>
              <w:left w:val="single" w:sz="4" w:space="0" w:color="auto"/>
              <w:bottom w:val="single" w:sz="4" w:space="0" w:color="auto"/>
              <w:right w:val="single" w:sz="4" w:space="0" w:color="auto"/>
            </w:tcBorders>
          </w:tcPr>
          <w:p w:rsidR="00F20611" w:rsidRPr="00F07DD4" w:rsidRDefault="00F20611" w:rsidP="00902B01">
            <w:pPr>
              <w:spacing w:after="0" w:line="240" w:lineRule="auto"/>
              <w:ind w:right="424"/>
              <w:rPr>
                <w:sz w:val="20"/>
                <w:szCs w:val="20"/>
              </w:rPr>
            </w:pPr>
          </w:p>
        </w:tc>
        <w:tc>
          <w:tcPr>
            <w:tcW w:w="3513" w:type="dxa"/>
            <w:tcBorders>
              <w:top w:val="nil"/>
              <w:left w:val="single" w:sz="4" w:space="0" w:color="auto"/>
              <w:bottom w:val="single" w:sz="4" w:space="0" w:color="auto"/>
              <w:right w:val="single" w:sz="4" w:space="0" w:color="auto"/>
            </w:tcBorders>
            <w:shd w:val="clear" w:color="auto" w:fill="auto"/>
            <w:vAlign w:val="bottom"/>
            <w:hideMark/>
          </w:tcPr>
          <w:p w:rsidR="00F20611" w:rsidRPr="00F07DD4" w:rsidRDefault="00F20611" w:rsidP="00902B01">
            <w:pPr>
              <w:spacing w:after="0" w:line="240" w:lineRule="auto"/>
              <w:ind w:right="424"/>
              <w:jc w:val="left"/>
              <w:rPr>
                <w:sz w:val="20"/>
                <w:szCs w:val="20"/>
              </w:rPr>
            </w:pPr>
            <w:r w:rsidRPr="00F07DD4">
              <w:rPr>
                <w:sz w:val="20"/>
                <w:szCs w:val="20"/>
              </w:rPr>
              <w:t>Всего по муниципальной программе, в том числе:</w:t>
            </w:r>
          </w:p>
        </w:tc>
        <w:tc>
          <w:tcPr>
            <w:tcW w:w="1276" w:type="dxa"/>
            <w:tcBorders>
              <w:top w:val="nil"/>
              <w:left w:val="nil"/>
              <w:bottom w:val="single" w:sz="4" w:space="0" w:color="auto"/>
              <w:right w:val="single" w:sz="4" w:space="0" w:color="auto"/>
            </w:tcBorders>
            <w:shd w:val="clear" w:color="auto" w:fill="auto"/>
            <w:hideMark/>
          </w:tcPr>
          <w:p w:rsidR="00F20611" w:rsidRPr="00677909" w:rsidRDefault="00F20611" w:rsidP="00902B01">
            <w:pPr>
              <w:rPr>
                <w:sz w:val="20"/>
                <w:szCs w:val="20"/>
              </w:rPr>
            </w:pPr>
            <w:r w:rsidRPr="00677909">
              <w:rPr>
                <w:sz w:val="20"/>
                <w:szCs w:val="20"/>
              </w:rPr>
              <w:t>1 687 830,7</w:t>
            </w:r>
          </w:p>
        </w:tc>
        <w:tc>
          <w:tcPr>
            <w:tcW w:w="1588"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sidRPr="00F07DD4">
              <w:rPr>
                <w:sz w:val="20"/>
                <w:szCs w:val="20"/>
              </w:rPr>
              <w:t>1</w:t>
            </w:r>
            <w:r>
              <w:rPr>
                <w:sz w:val="20"/>
                <w:szCs w:val="20"/>
              </w:rPr>
              <w:t> 181 053,3</w:t>
            </w:r>
          </w:p>
        </w:tc>
        <w:tc>
          <w:tcPr>
            <w:tcW w:w="1559"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1 180 866,1</w:t>
            </w:r>
          </w:p>
        </w:tc>
        <w:tc>
          <w:tcPr>
            <w:tcW w:w="1225" w:type="dxa"/>
            <w:tcBorders>
              <w:top w:val="nil"/>
              <w:left w:val="nil"/>
              <w:bottom w:val="single" w:sz="4" w:space="0" w:color="auto"/>
              <w:right w:val="single" w:sz="4" w:space="0" w:color="auto"/>
            </w:tcBorders>
            <w:shd w:val="clear" w:color="auto" w:fill="auto"/>
            <w:hideMark/>
          </w:tcPr>
          <w:p w:rsidR="00F20611" w:rsidRPr="00F07DD4" w:rsidRDefault="00F20611" w:rsidP="00902B01">
            <w:pPr>
              <w:spacing w:after="0" w:line="240" w:lineRule="auto"/>
              <w:ind w:right="-7"/>
              <w:jc w:val="center"/>
              <w:rPr>
                <w:sz w:val="20"/>
                <w:szCs w:val="20"/>
              </w:rPr>
            </w:pPr>
            <w:r>
              <w:rPr>
                <w:sz w:val="20"/>
                <w:szCs w:val="20"/>
              </w:rPr>
              <w:t>100</w:t>
            </w:r>
            <w:r w:rsidRPr="00F07DD4">
              <w:rPr>
                <w:sz w:val="20"/>
                <w:szCs w:val="20"/>
              </w:rPr>
              <w:t>%</w:t>
            </w:r>
          </w:p>
        </w:tc>
      </w:tr>
      <w:tr w:rsidR="00F20611" w:rsidRPr="00F07DD4" w:rsidTr="00902B01">
        <w:trPr>
          <w:trHeight w:val="1114"/>
        </w:trPr>
        <w:tc>
          <w:tcPr>
            <w:tcW w:w="740" w:type="dxa"/>
            <w:tcBorders>
              <w:top w:val="nil"/>
              <w:left w:val="single" w:sz="4" w:space="0" w:color="auto"/>
              <w:bottom w:val="single" w:sz="4" w:space="0" w:color="auto"/>
              <w:right w:val="single" w:sz="4" w:space="0" w:color="auto"/>
            </w:tcBorders>
          </w:tcPr>
          <w:p w:rsidR="00F20611" w:rsidRPr="00F07DD4" w:rsidRDefault="00F20611" w:rsidP="00902B01">
            <w:pPr>
              <w:spacing w:after="0" w:line="240" w:lineRule="auto"/>
              <w:ind w:right="424"/>
              <w:jc w:val="center"/>
              <w:rPr>
                <w:sz w:val="20"/>
                <w:szCs w:val="20"/>
              </w:rPr>
            </w:pPr>
            <w:r w:rsidRPr="00F07DD4">
              <w:rPr>
                <w:sz w:val="20"/>
                <w:szCs w:val="20"/>
              </w:rPr>
              <w:t>1</w:t>
            </w:r>
          </w:p>
        </w:tc>
        <w:tc>
          <w:tcPr>
            <w:tcW w:w="3513" w:type="dxa"/>
            <w:tcBorders>
              <w:top w:val="nil"/>
              <w:left w:val="single" w:sz="4" w:space="0" w:color="auto"/>
              <w:bottom w:val="single" w:sz="4" w:space="0" w:color="auto"/>
              <w:right w:val="single" w:sz="4" w:space="0" w:color="auto"/>
            </w:tcBorders>
            <w:shd w:val="clear" w:color="auto" w:fill="auto"/>
            <w:vAlign w:val="center"/>
          </w:tcPr>
          <w:p w:rsidR="00F20611" w:rsidRPr="00F07DD4" w:rsidRDefault="00F20611" w:rsidP="00902B01">
            <w:pPr>
              <w:spacing w:after="0" w:line="240" w:lineRule="auto"/>
              <w:ind w:right="424"/>
              <w:jc w:val="left"/>
              <w:rPr>
                <w:bCs/>
                <w:sz w:val="20"/>
                <w:szCs w:val="20"/>
              </w:rPr>
            </w:pPr>
            <w:r w:rsidRPr="00F07DD4">
              <w:rPr>
                <w:bCs/>
                <w:sz w:val="20"/>
                <w:szCs w:val="20"/>
              </w:rPr>
              <w:t>Департамент муниципальной собственности Администрации города Ханты-Мансийска</w:t>
            </w:r>
          </w:p>
        </w:tc>
        <w:tc>
          <w:tcPr>
            <w:tcW w:w="1276" w:type="dxa"/>
            <w:tcBorders>
              <w:top w:val="nil"/>
              <w:left w:val="nil"/>
              <w:bottom w:val="single" w:sz="4" w:space="0" w:color="auto"/>
              <w:right w:val="single" w:sz="4" w:space="0" w:color="auto"/>
            </w:tcBorders>
            <w:shd w:val="clear" w:color="auto" w:fill="auto"/>
          </w:tcPr>
          <w:p w:rsidR="00F20611" w:rsidRPr="00677909" w:rsidRDefault="00F20611" w:rsidP="00902B01">
            <w:pPr>
              <w:rPr>
                <w:sz w:val="20"/>
                <w:szCs w:val="20"/>
              </w:rPr>
            </w:pPr>
            <w:r w:rsidRPr="00677909">
              <w:rPr>
                <w:sz w:val="20"/>
                <w:szCs w:val="20"/>
              </w:rPr>
              <w:t>101 354,8</w:t>
            </w:r>
          </w:p>
        </w:tc>
        <w:tc>
          <w:tcPr>
            <w:tcW w:w="1588"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236 227,0</w:t>
            </w:r>
          </w:p>
        </w:tc>
        <w:tc>
          <w:tcPr>
            <w:tcW w:w="1559"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236 040,5</w:t>
            </w:r>
          </w:p>
        </w:tc>
        <w:tc>
          <w:tcPr>
            <w:tcW w:w="1225"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99,9</w:t>
            </w:r>
            <w:r w:rsidRPr="00F07DD4">
              <w:rPr>
                <w:sz w:val="20"/>
                <w:szCs w:val="20"/>
              </w:rPr>
              <w:t>%</w:t>
            </w:r>
          </w:p>
        </w:tc>
      </w:tr>
      <w:tr w:rsidR="00F20611" w:rsidRPr="00F07DD4" w:rsidTr="00902B01">
        <w:trPr>
          <w:trHeight w:val="846"/>
        </w:trPr>
        <w:tc>
          <w:tcPr>
            <w:tcW w:w="740" w:type="dxa"/>
            <w:tcBorders>
              <w:top w:val="nil"/>
              <w:left w:val="single" w:sz="4" w:space="0" w:color="auto"/>
              <w:bottom w:val="single" w:sz="4" w:space="0" w:color="auto"/>
              <w:right w:val="single" w:sz="4" w:space="0" w:color="auto"/>
            </w:tcBorders>
          </w:tcPr>
          <w:p w:rsidR="00F20611" w:rsidRPr="00F07DD4" w:rsidRDefault="00F20611" w:rsidP="00902B01">
            <w:pPr>
              <w:spacing w:after="0" w:line="240" w:lineRule="auto"/>
              <w:ind w:right="424"/>
              <w:jc w:val="center"/>
              <w:rPr>
                <w:sz w:val="20"/>
                <w:szCs w:val="20"/>
              </w:rPr>
            </w:pPr>
            <w:r w:rsidRPr="00F07DD4">
              <w:rPr>
                <w:sz w:val="20"/>
                <w:szCs w:val="20"/>
              </w:rPr>
              <w:t>2</w:t>
            </w:r>
          </w:p>
        </w:tc>
        <w:tc>
          <w:tcPr>
            <w:tcW w:w="3513" w:type="dxa"/>
            <w:tcBorders>
              <w:top w:val="nil"/>
              <w:left w:val="single" w:sz="4" w:space="0" w:color="auto"/>
              <w:bottom w:val="single" w:sz="4" w:space="0" w:color="auto"/>
              <w:right w:val="single" w:sz="4" w:space="0" w:color="auto"/>
            </w:tcBorders>
            <w:shd w:val="clear" w:color="auto" w:fill="auto"/>
            <w:vAlign w:val="center"/>
          </w:tcPr>
          <w:p w:rsidR="00F20611" w:rsidRPr="00F07DD4" w:rsidRDefault="00F20611" w:rsidP="00902B01">
            <w:pPr>
              <w:spacing w:after="0" w:line="240" w:lineRule="auto"/>
              <w:ind w:right="424"/>
              <w:jc w:val="left"/>
              <w:rPr>
                <w:bCs/>
                <w:sz w:val="20"/>
                <w:szCs w:val="20"/>
              </w:rPr>
            </w:pPr>
            <w:r w:rsidRPr="00F07DD4">
              <w:rPr>
                <w:bCs/>
                <w:sz w:val="20"/>
                <w:szCs w:val="20"/>
              </w:rPr>
              <w:t>МКУ «Дирекция по содержанию имущества казны»</w:t>
            </w:r>
          </w:p>
        </w:tc>
        <w:tc>
          <w:tcPr>
            <w:tcW w:w="1276" w:type="dxa"/>
            <w:tcBorders>
              <w:top w:val="nil"/>
              <w:left w:val="nil"/>
              <w:bottom w:val="single" w:sz="4" w:space="0" w:color="auto"/>
              <w:right w:val="single" w:sz="4" w:space="0" w:color="auto"/>
            </w:tcBorders>
            <w:shd w:val="clear" w:color="auto" w:fill="auto"/>
          </w:tcPr>
          <w:p w:rsidR="00F20611" w:rsidRPr="00677909" w:rsidRDefault="00F20611" w:rsidP="00902B01">
            <w:pPr>
              <w:rPr>
                <w:sz w:val="20"/>
                <w:szCs w:val="20"/>
              </w:rPr>
            </w:pPr>
            <w:r w:rsidRPr="00677909">
              <w:rPr>
                <w:sz w:val="20"/>
                <w:szCs w:val="20"/>
              </w:rPr>
              <w:t>1 585 876,0</w:t>
            </w:r>
          </w:p>
        </w:tc>
        <w:tc>
          <w:tcPr>
            <w:tcW w:w="1588"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944 826,3</w:t>
            </w:r>
          </w:p>
        </w:tc>
        <w:tc>
          <w:tcPr>
            <w:tcW w:w="1559"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944 825,6</w:t>
            </w:r>
          </w:p>
        </w:tc>
        <w:tc>
          <w:tcPr>
            <w:tcW w:w="1225"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sidRPr="00F07DD4">
              <w:rPr>
                <w:sz w:val="20"/>
                <w:szCs w:val="20"/>
              </w:rPr>
              <w:t>100%</w:t>
            </w:r>
          </w:p>
        </w:tc>
      </w:tr>
      <w:tr w:rsidR="00F20611" w:rsidRPr="00F07DD4" w:rsidTr="00902B01">
        <w:trPr>
          <w:trHeight w:val="831"/>
        </w:trPr>
        <w:tc>
          <w:tcPr>
            <w:tcW w:w="740" w:type="dxa"/>
            <w:tcBorders>
              <w:top w:val="nil"/>
              <w:left w:val="single" w:sz="4" w:space="0" w:color="auto"/>
              <w:bottom w:val="single" w:sz="4" w:space="0" w:color="auto"/>
              <w:right w:val="single" w:sz="4" w:space="0" w:color="auto"/>
            </w:tcBorders>
          </w:tcPr>
          <w:p w:rsidR="00F20611" w:rsidRPr="00F07DD4" w:rsidRDefault="00F20611" w:rsidP="00902B01">
            <w:pPr>
              <w:spacing w:after="0" w:line="240" w:lineRule="auto"/>
              <w:ind w:right="424"/>
              <w:jc w:val="center"/>
              <w:rPr>
                <w:sz w:val="20"/>
                <w:szCs w:val="20"/>
              </w:rPr>
            </w:pPr>
            <w:r w:rsidRPr="00F07DD4">
              <w:rPr>
                <w:sz w:val="20"/>
                <w:szCs w:val="20"/>
              </w:rPr>
              <w:t>3</w:t>
            </w:r>
          </w:p>
        </w:tc>
        <w:tc>
          <w:tcPr>
            <w:tcW w:w="3513" w:type="dxa"/>
            <w:tcBorders>
              <w:top w:val="nil"/>
              <w:left w:val="single" w:sz="4" w:space="0" w:color="auto"/>
              <w:bottom w:val="single" w:sz="4" w:space="0" w:color="auto"/>
              <w:right w:val="single" w:sz="4" w:space="0" w:color="auto"/>
            </w:tcBorders>
            <w:shd w:val="clear" w:color="auto" w:fill="auto"/>
            <w:vAlign w:val="center"/>
          </w:tcPr>
          <w:p w:rsidR="00F20611" w:rsidRPr="00F07DD4" w:rsidRDefault="00F20611" w:rsidP="00902B01">
            <w:pPr>
              <w:spacing w:after="0" w:line="240" w:lineRule="auto"/>
              <w:ind w:right="424"/>
              <w:jc w:val="left"/>
              <w:rPr>
                <w:bCs/>
                <w:sz w:val="20"/>
                <w:szCs w:val="20"/>
              </w:rPr>
            </w:pPr>
            <w:r w:rsidRPr="00F07DD4">
              <w:rPr>
                <w:bCs/>
                <w:sz w:val="20"/>
                <w:szCs w:val="20"/>
              </w:rPr>
              <w:t xml:space="preserve">МКУ «Управление капитального строительства города   </w:t>
            </w:r>
          </w:p>
          <w:p w:rsidR="00F20611" w:rsidRPr="00F07DD4" w:rsidRDefault="00F20611" w:rsidP="00902B01">
            <w:pPr>
              <w:spacing w:after="0" w:line="240" w:lineRule="auto"/>
              <w:ind w:right="424"/>
              <w:jc w:val="left"/>
              <w:rPr>
                <w:bCs/>
                <w:sz w:val="20"/>
                <w:szCs w:val="20"/>
              </w:rPr>
            </w:pPr>
            <w:r w:rsidRPr="00F07DD4">
              <w:rPr>
                <w:bCs/>
                <w:sz w:val="20"/>
                <w:szCs w:val="20"/>
              </w:rPr>
              <w:t>Ханты-Мансийска»</w:t>
            </w:r>
          </w:p>
        </w:tc>
        <w:tc>
          <w:tcPr>
            <w:tcW w:w="1276" w:type="dxa"/>
            <w:tcBorders>
              <w:top w:val="nil"/>
              <w:left w:val="nil"/>
              <w:bottom w:val="single" w:sz="4" w:space="0" w:color="auto"/>
              <w:right w:val="single" w:sz="4" w:space="0" w:color="auto"/>
            </w:tcBorders>
            <w:shd w:val="clear" w:color="auto" w:fill="auto"/>
          </w:tcPr>
          <w:p w:rsidR="00F20611" w:rsidRPr="00677909" w:rsidRDefault="00F20611" w:rsidP="00902B01">
            <w:pPr>
              <w:rPr>
                <w:sz w:val="20"/>
                <w:szCs w:val="20"/>
              </w:rPr>
            </w:pPr>
            <w:r w:rsidRPr="00677909">
              <w:rPr>
                <w:sz w:val="20"/>
                <w:szCs w:val="20"/>
              </w:rPr>
              <w:t>599,9</w:t>
            </w:r>
          </w:p>
        </w:tc>
        <w:tc>
          <w:tcPr>
            <w:tcW w:w="1588"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0,0</w:t>
            </w:r>
          </w:p>
        </w:tc>
        <w:tc>
          <w:tcPr>
            <w:tcW w:w="1225"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0</w:t>
            </w:r>
            <w:r w:rsidRPr="00F07DD4">
              <w:rPr>
                <w:sz w:val="20"/>
                <w:szCs w:val="20"/>
              </w:rPr>
              <w:t>%</w:t>
            </w:r>
          </w:p>
        </w:tc>
      </w:tr>
    </w:tbl>
    <w:p w:rsidR="00F20611" w:rsidRDefault="00F20611" w:rsidP="00F20611">
      <w:pPr>
        <w:autoSpaceDE w:val="0"/>
        <w:autoSpaceDN w:val="0"/>
        <w:adjustRightInd w:val="0"/>
        <w:spacing w:after="0"/>
        <w:ind w:right="-2" w:firstLine="708"/>
        <w:rPr>
          <w:sz w:val="24"/>
          <w:szCs w:val="24"/>
        </w:rPr>
      </w:pPr>
    </w:p>
    <w:p w:rsidR="00F20611" w:rsidRPr="00914C76" w:rsidRDefault="00F20611" w:rsidP="00F20611">
      <w:pPr>
        <w:tabs>
          <w:tab w:val="left" w:pos="459"/>
        </w:tabs>
        <w:suppressAutoHyphens/>
        <w:spacing w:after="0"/>
        <w:ind w:right="-2"/>
        <w:jc w:val="both"/>
        <w:rPr>
          <w:sz w:val="28"/>
          <w:szCs w:val="28"/>
        </w:rPr>
      </w:pPr>
      <w:r>
        <w:rPr>
          <w:sz w:val="28"/>
          <w:szCs w:val="28"/>
        </w:rPr>
        <w:tab/>
        <w:t xml:space="preserve">Исполнение </w:t>
      </w:r>
      <w:r w:rsidRPr="00914C76">
        <w:rPr>
          <w:sz w:val="28"/>
          <w:szCs w:val="28"/>
        </w:rPr>
        <w:t>расходов</w:t>
      </w:r>
      <w:r>
        <w:rPr>
          <w:sz w:val="28"/>
          <w:szCs w:val="28"/>
        </w:rPr>
        <w:t xml:space="preserve"> бюджета города по</w:t>
      </w:r>
      <w:r w:rsidRPr="00914C76">
        <w:rPr>
          <w:sz w:val="28"/>
          <w:szCs w:val="28"/>
        </w:rPr>
        <w:t xml:space="preserve"> муниципальной программ</w:t>
      </w:r>
      <w:r>
        <w:rPr>
          <w:sz w:val="28"/>
          <w:szCs w:val="28"/>
        </w:rPr>
        <w:t xml:space="preserve">е </w:t>
      </w:r>
      <w:r w:rsidRPr="00914C76">
        <w:rPr>
          <w:sz w:val="28"/>
          <w:szCs w:val="28"/>
        </w:rPr>
        <w:t>«Обеспечение доступным и комфортным жильем жителей</w:t>
      </w:r>
      <w:r>
        <w:rPr>
          <w:sz w:val="28"/>
          <w:szCs w:val="28"/>
        </w:rPr>
        <w:t xml:space="preserve"> </w:t>
      </w:r>
      <w:r w:rsidRPr="00914C76">
        <w:rPr>
          <w:sz w:val="28"/>
          <w:szCs w:val="28"/>
        </w:rPr>
        <w:t>города Ханты-Мансийска»</w:t>
      </w:r>
      <w:r>
        <w:rPr>
          <w:sz w:val="28"/>
          <w:szCs w:val="28"/>
        </w:rPr>
        <w:t xml:space="preserve"> по источникам финансирования и основным мероприятиям:</w:t>
      </w:r>
    </w:p>
    <w:p w:rsidR="00F20611" w:rsidRPr="00F07DD4" w:rsidRDefault="00F20611" w:rsidP="00F20611">
      <w:pPr>
        <w:tabs>
          <w:tab w:val="left" w:pos="459"/>
        </w:tabs>
        <w:suppressAutoHyphens/>
        <w:spacing w:after="0"/>
        <w:ind w:right="-2"/>
        <w:rPr>
          <w:sz w:val="24"/>
          <w:szCs w:val="24"/>
        </w:rPr>
      </w:pPr>
      <w:r>
        <w:rPr>
          <w:sz w:val="24"/>
          <w:szCs w:val="24"/>
        </w:rPr>
        <w:t xml:space="preserve">                        </w:t>
      </w:r>
      <w:r w:rsidRPr="00F07DD4">
        <w:rPr>
          <w:sz w:val="24"/>
          <w:szCs w:val="24"/>
        </w:rPr>
        <w:t>(тыс. рублей)</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76"/>
        <w:gridCol w:w="1379"/>
        <w:gridCol w:w="1391"/>
        <w:gridCol w:w="1340"/>
      </w:tblGrid>
      <w:tr w:rsidR="00F20611" w:rsidRPr="00F07DD4" w:rsidTr="00902B01">
        <w:trPr>
          <w:trHeight w:val="300"/>
          <w:tblHeader/>
        </w:trPr>
        <w:tc>
          <w:tcPr>
            <w:tcW w:w="3969" w:type="dxa"/>
            <w:vMerge w:val="restart"/>
            <w:hideMark/>
          </w:tcPr>
          <w:p w:rsidR="00F20611" w:rsidRPr="00F07DD4" w:rsidRDefault="00F20611" w:rsidP="00902B01">
            <w:pPr>
              <w:spacing w:after="0" w:line="240" w:lineRule="auto"/>
              <w:ind w:right="33"/>
              <w:jc w:val="center"/>
              <w:rPr>
                <w:sz w:val="20"/>
                <w:szCs w:val="20"/>
              </w:rPr>
            </w:pPr>
            <w:r w:rsidRPr="00F07DD4">
              <w:rPr>
                <w:sz w:val="20"/>
                <w:szCs w:val="20"/>
              </w:rPr>
              <w:t>Наименование муниципальной программы, подпрограммы муниципальной программы, мероприятия муниципальной программы</w:t>
            </w:r>
          </w:p>
        </w:tc>
        <w:tc>
          <w:tcPr>
            <w:tcW w:w="1276" w:type="dxa"/>
            <w:vMerge w:val="restart"/>
            <w:noWrap/>
            <w:hideMark/>
          </w:tcPr>
          <w:p w:rsidR="00F20611" w:rsidRPr="00F07DD4" w:rsidRDefault="00F20611" w:rsidP="00902B01">
            <w:pPr>
              <w:tabs>
                <w:tab w:val="left" w:pos="1224"/>
              </w:tabs>
              <w:spacing w:after="0" w:line="240" w:lineRule="auto"/>
              <w:ind w:right="82"/>
              <w:jc w:val="center"/>
              <w:rPr>
                <w:sz w:val="20"/>
                <w:szCs w:val="20"/>
              </w:rPr>
            </w:pPr>
          </w:p>
          <w:p w:rsidR="00F20611" w:rsidRPr="00F07DD4" w:rsidRDefault="00F20611" w:rsidP="00902B01">
            <w:pPr>
              <w:tabs>
                <w:tab w:val="left" w:pos="1224"/>
              </w:tabs>
              <w:spacing w:after="0" w:line="240" w:lineRule="auto"/>
              <w:ind w:right="82"/>
              <w:jc w:val="center"/>
              <w:rPr>
                <w:sz w:val="20"/>
                <w:szCs w:val="20"/>
              </w:rPr>
            </w:pPr>
            <w:r w:rsidRPr="00F07DD4">
              <w:rPr>
                <w:sz w:val="20"/>
                <w:szCs w:val="20"/>
              </w:rPr>
              <w:t>202</w:t>
            </w:r>
            <w:r>
              <w:rPr>
                <w:sz w:val="20"/>
                <w:szCs w:val="20"/>
              </w:rPr>
              <w:t>3</w:t>
            </w:r>
            <w:r w:rsidRPr="00F07DD4">
              <w:rPr>
                <w:sz w:val="20"/>
                <w:szCs w:val="20"/>
              </w:rPr>
              <w:t xml:space="preserve"> год (отчет)</w:t>
            </w:r>
          </w:p>
        </w:tc>
        <w:tc>
          <w:tcPr>
            <w:tcW w:w="4110" w:type="dxa"/>
            <w:gridSpan w:val="3"/>
            <w:noWrap/>
            <w:hideMark/>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202</w:t>
            </w:r>
            <w:r>
              <w:rPr>
                <w:sz w:val="20"/>
                <w:szCs w:val="20"/>
              </w:rPr>
              <w:t>4</w:t>
            </w:r>
            <w:r w:rsidRPr="00F07DD4">
              <w:rPr>
                <w:sz w:val="20"/>
                <w:szCs w:val="20"/>
              </w:rPr>
              <w:t xml:space="preserve"> год </w:t>
            </w:r>
          </w:p>
        </w:tc>
      </w:tr>
      <w:tr w:rsidR="00F20611" w:rsidRPr="00F07DD4" w:rsidTr="00902B01">
        <w:trPr>
          <w:trHeight w:val="794"/>
          <w:tblHeader/>
        </w:trPr>
        <w:tc>
          <w:tcPr>
            <w:tcW w:w="3969" w:type="dxa"/>
            <w:vMerge/>
            <w:hideMark/>
          </w:tcPr>
          <w:p w:rsidR="00F20611" w:rsidRPr="00F07DD4" w:rsidRDefault="00F20611" w:rsidP="00902B01">
            <w:pPr>
              <w:spacing w:after="0" w:line="240" w:lineRule="auto"/>
              <w:ind w:right="424"/>
              <w:rPr>
                <w:sz w:val="20"/>
                <w:szCs w:val="20"/>
              </w:rPr>
            </w:pPr>
          </w:p>
        </w:tc>
        <w:tc>
          <w:tcPr>
            <w:tcW w:w="1276" w:type="dxa"/>
            <w:vMerge/>
            <w:hideMark/>
          </w:tcPr>
          <w:p w:rsidR="00F20611" w:rsidRPr="00F07DD4" w:rsidRDefault="00F20611" w:rsidP="00902B01">
            <w:pPr>
              <w:tabs>
                <w:tab w:val="left" w:pos="1224"/>
              </w:tabs>
              <w:spacing w:after="0" w:line="240" w:lineRule="auto"/>
              <w:ind w:right="82"/>
              <w:rPr>
                <w:sz w:val="20"/>
                <w:szCs w:val="20"/>
              </w:rPr>
            </w:pPr>
          </w:p>
        </w:tc>
        <w:tc>
          <w:tcPr>
            <w:tcW w:w="1379" w:type="dxa"/>
            <w:hideMark/>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Уточненный план</w:t>
            </w:r>
          </w:p>
        </w:tc>
        <w:tc>
          <w:tcPr>
            <w:tcW w:w="1391" w:type="dxa"/>
            <w:hideMark/>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Исполнение</w:t>
            </w:r>
          </w:p>
        </w:tc>
        <w:tc>
          <w:tcPr>
            <w:tcW w:w="1340" w:type="dxa"/>
            <w:hideMark/>
          </w:tcPr>
          <w:p w:rsidR="00F20611" w:rsidRPr="00F07DD4" w:rsidRDefault="00F20611" w:rsidP="00902B01">
            <w:pPr>
              <w:ind w:hanging="43"/>
              <w:jc w:val="center"/>
              <w:rPr>
                <w:sz w:val="20"/>
                <w:szCs w:val="20"/>
              </w:rPr>
            </w:pPr>
            <w:r w:rsidRPr="00F07DD4">
              <w:rPr>
                <w:sz w:val="20"/>
                <w:szCs w:val="20"/>
              </w:rPr>
              <w:t xml:space="preserve">% исполнения </w:t>
            </w:r>
          </w:p>
        </w:tc>
      </w:tr>
      <w:tr w:rsidR="00F20611" w:rsidRPr="00F07DD4" w:rsidTr="00902B01">
        <w:trPr>
          <w:trHeight w:val="300"/>
        </w:trPr>
        <w:tc>
          <w:tcPr>
            <w:tcW w:w="3969" w:type="dxa"/>
            <w:hideMark/>
          </w:tcPr>
          <w:p w:rsidR="00F20611" w:rsidRPr="00F07DD4" w:rsidRDefault="00F20611" w:rsidP="00902B01">
            <w:pPr>
              <w:spacing w:after="0" w:line="240" w:lineRule="auto"/>
              <w:ind w:right="424"/>
              <w:jc w:val="left"/>
              <w:rPr>
                <w:bCs/>
                <w:sz w:val="20"/>
                <w:szCs w:val="20"/>
              </w:rPr>
            </w:pPr>
            <w:r w:rsidRPr="00F07DD4">
              <w:rPr>
                <w:bCs/>
                <w:sz w:val="20"/>
                <w:szCs w:val="20"/>
              </w:rPr>
              <w:t>Всего по муниципальной программе, в том числе:</w:t>
            </w:r>
          </w:p>
        </w:tc>
        <w:tc>
          <w:tcPr>
            <w:tcW w:w="1276" w:type="dxa"/>
            <w:hideMark/>
          </w:tcPr>
          <w:p w:rsidR="00F20611" w:rsidRPr="00677909" w:rsidRDefault="00F20611" w:rsidP="00902B01">
            <w:pPr>
              <w:rPr>
                <w:sz w:val="20"/>
                <w:szCs w:val="20"/>
              </w:rPr>
            </w:pPr>
            <w:r w:rsidRPr="00677909">
              <w:rPr>
                <w:sz w:val="20"/>
                <w:szCs w:val="20"/>
              </w:rPr>
              <w:t>1 687 830,7</w:t>
            </w:r>
          </w:p>
        </w:tc>
        <w:tc>
          <w:tcPr>
            <w:tcW w:w="1379"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1 181 053,3</w:t>
            </w:r>
          </w:p>
        </w:tc>
        <w:tc>
          <w:tcPr>
            <w:tcW w:w="1391" w:type="dxa"/>
            <w:tcBorders>
              <w:top w:val="nil"/>
              <w:left w:val="nil"/>
              <w:bottom w:val="single" w:sz="4" w:space="0" w:color="auto"/>
              <w:right w:val="single" w:sz="4" w:space="0" w:color="auto"/>
            </w:tcBorders>
            <w:shd w:val="clear" w:color="auto" w:fill="auto"/>
          </w:tcPr>
          <w:p w:rsidR="00F20611" w:rsidRPr="00F07DD4" w:rsidRDefault="00F20611" w:rsidP="00902B01">
            <w:pPr>
              <w:spacing w:after="0" w:line="240" w:lineRule="auto"/>
              <w:ind w:right="-7"/>
              <w:jc w:val="center"/>
              <w:rPr>
                <w:sz w:val="20"/>
                <w:szCs w:val="20"/>
              </w:rPr>
            </w:pPr>
            <w:r>
              <w:rPr>
                <w:sz w:val="20"/>
                <w:szCs w:val="20"/>
              </w:rPr>
              <w:t>1 180 866,1</w:t>
            </w:r>
          </w:p>
        </w:tc>
        <w:tc>
          <w:tcPr>
            <w:tcW w:w="1340" w:type="dxa"/>
            <w:hideMark/>
          </w:tcPr>
          <w:p w:rsidR="00F20611" w:rsidRPr="00F07DD4" w:rsidRDefault="00F20611" w:rsidP="00902B01">
            <w:pPr>
              <w:jc w:val="center"/>
              <w:rPr>
                <w:sz w:val="20"/>
                <w:szCs w:val="20"/>
              </w:rPr>
            </w:pPr>
            <w:r>
              <w:rPr>
                <w:sz w:val="20"/>
                <w:szCs w:val="20"/>
              </w:rPr>
              <w:t>100</w:t>
            </w:r>
            <w:r w:rsidRPr="00F07DD4">
              <w:rPr>
                <w:sz w:val="20"/>
                <w:szCs w:val="20"/>
              </w:rPr>
              <w:t>%</w:t>
            </w:r>
          </w:p>
        </w:tc>
      </w:tr>
      <w:tr w:rsidR="00F20611" w:rsidRPr="00F07DD4" w:rsidTr="00902B01">
        <w:trPr>
          <w:trHeight w:val="387"/>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xml:space="preserve">- федеральный бюджет </w:t>
            </w:r>
          </w:p>
        </w:tc>
        <w:tc>
          <w:tcPr>
            <w:tcW w:w="1276" w:type="dxa"/>
            <w:hideMark/>
          </w:tcPr>
          <w:p w:rsidR="00F20611" w:rsidRPr="00677909" w:rsidRDefault="00F20611" w:rsidP="00902B01">
            <w:pPr>
              <w:rPr>
                <w:sz w:val="20"/>
                <w:szCs w:val="20"/>
              </w:rPr>
            </w:pPr>
            <w:r w:rsidRPr="00677909">
              <w:rPr>
                <w:sz w:val="20"/>
                <w:szCs w:val="20"/>
              </w:rPr>
              <w:t>16 596,4</w:t>
            </w:r>
          </w:p>
        </w:tc>
        <w:tc>
          <w:tcPr>
            <w:tcW w:w="1379" w:type="dxa"/>
          </w:tcPr>
          <w:p w:rsidR="00F20611" w:rsidRPr="00F07DD4" w:rsidRDefault="00F20611" w:rsidP="00902B01">
            <w:pPr>
              <w:tabs>
                <w:tab w:val="left" w:pos="1224"/>
              </w:tabs>
              <w:spacing w:after="0" w:line="240" w:lineRule="auto"/>
              <w:ind w:right="82"/>
              <w:jc w:val="center"/>
              <w:rPr>
                <w:sz w:val="20"/>
                <w:szCs w:val="20"/>
              </w:rPr>
            </w:pPr>
            <w:r>
              <w:rPr>
                <w:sz w:val="20"/>
                <w:szCs w:val="20"/>
              </w:rPr>
              <w:t>1 611,4</w:t>
            </w:r>
          </w:p>
        </w:tc>
        <w:tc>
          <w:tcPr>
            <w:tcW w:w="1391" w:type="dxa"/>
          </w:tcPr>
          <w:p w:rsidR="00F20611" w:rsidRPr="00F07DD4" w:rsidRDefault="00F20611" w:rsidP="00902B01">
            <w:pPr>
              <w:tabs>
                <w:tab w:val="left" w:pos="1224"/>
              </w:tabs>
              <w:spacing w:after="0" w:line="240" w:lineRule="auto"/>
              <w:ind w:right="82"/>
              <w:jc w:val="center"/>
              <w:rPr>
                <w:sz w:val="20"/>
                <w:szCs w:val="20"/>
              </w:rPr>
            </w:pPr>
            <w:r>
              <w:rPr>
                <w:sz w:val="20"/>
                <w:szCs w:val="20"/>
              </w:rPr>
              <w:t>1 425,0</w:t>
            </w:r>
          </w:p>
        </w:tc>
        <w:tc>
          <w:tcPr>
            <w:tcW w:w="1340" w:type="dxa"/>
            <w:hideMark/>
          </w:tcPr>
          <w:p w:rsidR="00F20611" w:rsidRPr="00F07DD4" w:rsidRDefault="00F20611" w:rsidP="00902B01">
            <w:pPr>
              <w:tabs>
                <w:tab w:val="left" w:pos="1224"/>
              </w:tabs>
              <w:spacing w:after="0" w:line="240" w:lineRule="auto"/>
              <w:ind w:right="82"/>
              <w:jc w:val="center"/>
              <w:rPr>
                <w:sz w:val="20"/>
                <w:szCs w:val="20"/>
              </w:rPr>
            </w:pPr>
            <w:r>
              <w:rPr>
                <w:sz w:val="20"/>
                <w:szCs w:val="20"/>
              </w:rPr>
              <w:t>88,4</w:t>
            </w:r>
            <w:r w:rsidRPr="00F07DD4">
              <w:rPr>
                <w:sz w:val="20"/>
                <w:szCs w:val="20"/>
              </w:rPr>
              <w:t>%</w:t>
            </w:r>
          </w:p>
        </w:tc>
      </w:tr>
      <w:tr w:rsidR="00F20611" w:rsidRPr="00F07DD4" w:rsidTr="00902B01">
        <w:trPr>
          <w:trHeight w:val="323"/>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lastRenderedPageBreak/>
              <w:t xml:space="preserve">- бюджет автономного округа </w:t>
            </w:r>
          </w:p>
        </w:tc>
        <w:tc>
          <w:tcPr>
            <w:tcW w:w="1276" w:type="dxa"/>
            <w:hideMark/>
          </w:tcPr>
          <w:p w:rsidR="00F20611" w:rsidRPr="00677909" w:rsidRDefault="00F20611" w:rsidP="00902B01">
            <w:pPr>
              <w:rPr>
                <w:sz w:val="20"/>
                <w:szCs w:val="20"/>
              </w:rPr>
            </w:pPr>
            <w:r w:rsidRPr="00677909">
              <w:rPr>
                <w:sz w:val="20"/>
                <w:szCs w:val="20"/>
              </w:rPr>
              <w:t>1 479 604,2</w:t>
            </w:r>
          </w:p>
        </w:tc>
        <w:tc>
          <w:tcPr>
            <w:tcW w:w="1379" w:type="dxa"/>
          </w:tcPr>
          <w:p w:rsidR="00F20611" w:rsidRPr="00F07DD4" w:rsidRDefault="00F20611" w:rsidP="00902B01">
            <w:pPr>
              <w:tabs>
                <w:tab w:val="left" w:pos="1224"/>
              </w:tabs>
              <w:spacing w:after="0" w:line="240" w:lineRule="auto"/>
              <w:ind w:right="82"/>
              <w:jc w:val="center"/>
              <w:rPr>
                <w:sz w:val="20"/>
                <w:szCs w:val="20"/>
              </w:rPr>
            </w:pPr>
            <w:r>
              <w:rPr>
                <w:sz w:val="20"/>
                <w:szCs w:val="20"/>
              </w:rPr>
              <w:t>1 039 285,1</w:t>
            </w:r>
          </w:p>
        </w:tc>
        <w:tc>
          <w:tcPr>
            <w:tcW w:w="1391" w:type="dxa"/>
          </w:tcPr>
          <w:p w:rsidR="00F20611" w:rsidRPr="00F07DD4" w:rsidRDefault="00F20611" w:rsidP="00902B01">
            <w:pPr>
              <w:tabs>
                <w:tab w:val="left" w:pos="1224"/>
              </w:tabs>
              <w:spacing w:after="0" w:line="240" w:lineRule="auto"/>
              <w:ind w:right="82"/>
              <w:jc w:val="center"/>
              <w:rPr>
                <w:sz w:val="20"/>
                <w:szCs w:val="20"/>
              </w:rPr>
            </w:pPr>
            <w:r>
              <w:rPr>
                <w:sz w:val="20"/>
                <w:szCs w:val="20"/>
              </w:rPr>
              <w:t>1 039 284,4</w:t>
            </w:r>
          </w:p>
        </w:tc>
        <w:tc>
          <w:tcPr>
            <w:tcW w:w="1340" w:type="dxa"/>
            <w:hideMark/>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288"/>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бюджет города</w:t>
            </w:r>
          </w:p>
        </w:tc>
        <w:tc>
          <w:tcPr>
            <w:tcW w:w="1276" w:type="dxa"/>
            <w:hideMark/>
          </w:tcPr>
          <w:p w:rsidR="00F20611" w:rsidRPr="00677909" w:rsidRDefault="00F20611" w:rsidP="00902B01">
            <w:pPr>
              <w:rPr>
                <w:sz w:val="20"/>
                <w:szCs w:val="20"/>
              </w:rPr>
            </w:pPr>
            <w:r w:rsidRPr="00677909">
              <w:rPr>
                <w:sz w:val="20"/>
                <w:szCs w:val="20"/>
              </w:rPr>
              <w:t>191 630,1</w:t>
            </w:r>
          </w:p>
        </w:tc>
        <w:tc>
          <w:tcPr>
            <w:tcW w:w="1379" w:type="dxa"/>
          </w:tcPr>
          <w:p w:rsidR="00F20611" w:rsidRPr="00F07DD4" w:rsidRDefault="00F20611" w:rsidP="00902B01">
            <w:pPr>
              <w:tabs>
                <w:tab w:val="left" w:pos="1224"/>
              </w:tabs>
              <w:spacing w:after="0" w:line="240" w:lineRule="auto"/>
              <w:ind w:right="82"/>
              <w:jc w:val="center"/>
              <w:rPr>
                <w:sz w:val="20"/>
                <w:szCs w:val="20"/>
              </w:rPr>
            </w:pPr>
            <w:r>
              <w:rPr>
                <w:sz w:val="20"/>
                <w:szCs w:val="20"/>
              </w:rPr>
              <w:t>140 156,8</w:t>
            </w:r>
          </w:p>
        </w:tc>
        <w:tc>
          <w:tcPr>
            <w:tcW w:w="1391" w:type="dxa"/>
          </w:tcPr>
          <w:p w:rsidR="00F20611" w:rsidRPr="00F07DD4" w:rsidRDefault="00F20611" w:rsidP="00902B01">
            <w:pPr>
              <w:tabs>
                <w:tab w:val="left" w:pos="1224"/>
              </w:tabs>
              <w:spacing w:after="0" w:line="240" w:lineRule="auto"/>
              <w:ind w:right="82"/>
              <w:jc w:val="center"/>
              <w:rPr>
                <w:sz w:val="20"/>
                <w:szCs w:val="20"/>
              </w:rPr>
            </w:pPr>
            <w:r>
              <w:rPr>
                <w:sz w:val="20"/>
                <w:szCs w:val="20"/>
              </w:rPr>
              <w:t>140 156,7</w:t>
            </w:r>
          </w:p>
        </w:tc>
        <w:tc>
          <w:tcPr>
            <w:tcW w:w="1340" w:type="dxa"/>
            <w:hideMark/>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 всего, в том числе:</w:t>
            </w:r>
          </w:p>
        </w:tc>
        <w:tc>
          <w:tcPr>
            <w:tcW w:w="1276" w:type="dxa"/>
            <w:hideMark/>
          </w:tcPr>
          <w:p w:rsidR="00F20611" w:rsidRPr="00677909" w:rsidRDefault="00F20611" w:rsidP="00902B01">
            <w:pPr>
              <w:rPr>
                <w:sz w:val="20"/>
                <w:szCs w:val="20"/>
              </w:rPr>
            </w:pPr>
            <w:r w:rsidRPr="00677909">
              <w:rPr>
                <w:sz w:val="20"/>
                <w:szCs w:val="20"/>
              </w:rPr>
              <w:t>1 650 239,9</w:t>
            </w:r>
          </w:p>
        </w:tc>
        <w:tc>
          <w:tcPr>
            <w:tcW w:w="1379" w:type="dxa"/>
          </w:tcPr>
          <w:p w:rsidR="00F20611" w:rsidRPr="00F07DD4" w:rsidRDefault="00F20611" w:rsidP="00902B01">
            <w:pPr>
              <w:jc w:val="center"/>
              <w:rPr>
                <w:sz w:val="20"/>
                <w:szCs w:val="20"/>
              </w:rPr>
            </w:pPr>
            <w:r>
              <w:rPr>
                <w:sz w:val="20"/>
                <w:szCs w:val="20"/>
              </w:rPr>
              <w:t>1 158 472,7</w:t>
            </w:r>
          </w:p>
        </w:tc>
        <w:tc>
          <w:tcPr>
            <w:tcW w:w="1391" w:type="dxa"/>
          </w:tcPr>
          <w:p w:rsidR="00F20611" w:rsidRPr="00F07DD4" w:rsidRDefault="00F20611" w:rsidP="00902B01">
            <w:pPr>
              <w:jc w:val="center"/>
              <w:rPr>
                <w:sz w:val="20"/>
                <w:szCs w:val="20"/>
              </w:rPr>
            </w:pPr>
            <w:r>
              <w:rPr>
                <w:sz w:val="20"/>
                <w:szCs w:val="20"/>
              </w:rPr>
              <w:t>1 158 471,9</w:t>
            </w:r>
          </w:p>
        </w:tc>
        <w:tc>
          <w:tcPr>
            <w:tcW w:w="1340" w:type="dxa"/>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xml:space="preserve">- бюджет автономного округа </w:t>
            </w:r>
          </w:p>
        </w:tc>
        <w:tc>
          <w:tcPr>
            <w:tcW w:w="1276" w:type="dxa"/>
            <w:hideMark/>
          </w:tcPr>
          <w:p w:rsidR="00F20611" w:rsidRPr="00677909" w:rsidRDefault="00F20611" w:rsidP="00902B01">
            <w:pPr>
              <w:rPr>
                <w:sz w:val="20"/>
                <w:szCs w:val="20"/>
              </w:rPr>
            </w:pPr>
            <w:r w:rsidRPr="00677909">
              <w:rPr>
                <w:sz w:val="20"/>
                <w:szCs w:val="20"/>
              </w:rPr>
              <w:t>1 464 598,4</w:t>
            </w:r>
          </w:p>
        </w:tc>
        <w:tc>
          <w:tcPr>
            <w:tcW w:w="1379" w:type="dxa"/>
          </w:tcPr>
          <w:p w:rsidR="00F20611" w:rsidRPr="00F07DD4" w:rsidRDefault="00F20611" w:rsidP="00902B01">
            <w:pPr>
              <w:jc w:val="center"/>
              <w:rPr>
                <w:sz w:val="20"/>
                <w:szCs w:val="20"/>
              </w:rPr>
            </w:pPr>
            <w:r>
              <w:rPr>
                <w:sz w:val="20"/>
                <w:szCs w:val="20"/>
              </w:rPr>
              <w:t>1 022 496,4</w:t>
            </w:r>
          </w:p>
        </w:tc>
        <w:tc>
          <w:tcPr>
            <w:tcW w:w="1391" w:type="dxa"/>
          </w:tcPr>
          <w:p w:rsidR="00F20611" w:rsidRPr="00F07DD4" w:rsidRDefault="00F20611" w:rsidP="00902B01">
            <w:pPr>
              <w:jc w:val="center"/>
              <w:rPr>
                <w:sz w:val="20"/>
                <w:szCs w:val="20"/>
              </w:rPr>
            </w:pPr>
            <w:r>
              <w:rPr>
                <w:sz w:val="20"/>
                <w:szCs w:val="20"/>
              </w:rPr>
              <w:t>1 022 495,7</w:t>
            </w:r>
          </w:p>
        </w:tc>
        <w:tc>
          <w:tcPr>
            <w:tcW w:w="1340" w:type="dxa"/>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бюджет города</w:t>
            </w:r>
          </w:p>
        </w:tc>
        <w:tc>
          <w:tcPr>
            <w:tcW w:w="1276" w:type="dxa"/>
            <w:hideMark/>
          </w:tcPr>
          <w:p w:rsidR="00F20611" w:rsidRPr="00677909" w:rsidRDefault="00F20611" w:rsidP="00902B01">
            <w:pPr>
              <w:rPr>
                <w:sz w:val="20"/>
                <w:szCs w:val="20"/>
              </w:rPr>
            </w:pPr>
            <w:r w:rsidRPr="00677909">
              <w:rPr>
                <w:sz w:val="20"/>
                <w:szCs w:val="20"/>
              </w:rPr>
              <w:t>185 641,5</w:t>
            </w:r>
          </w:p>
        </w:tc>
        <w:tc>
          <w:tcPr>
            <w:tcW w:w="1379" w:type="dxa"/>
          </w:tcPr>
          <w:p w:rsidR="00F20611" w:rsidRPr="00F07DD4" w:rsidRDefault="00F20611" w:rsidP="00902B01">
            <w:pPr>
              <w:jc w:val="center"/>
              <w:rPr>
                <w:sz w:val="20"/>
                <w:szCs w:val="20"/>
              </w:rPr>
            </w:pPr>
            <w:r>
              <w:rPr>
                <w:sz w:val="20"/>
                <w:szCs w:val="20"/>
              </w:rPr>
              <w:t>135 976,3</w:t>
            </w:r>
          </w:p>
        </w:tc>
        <w:tc>
          <w:tcPr>
            <w:tcW w:w="1391" w:type="dxa"/>
          </w:tcPr>
          <w:p w:rsidR="00F20611" w:rsidRPr="00F07DD4" w:rsidRDefault="00F20611" w:rsidP="00902B01">
            <w:pPr>
              <w:jc w:val="center"/>
              <w:rPr>
                <w:sz w:val="20"/>
                <w:szCs w:val="20"/>
              </w:rPr>
            </w:pPr>
            <w:r>
              <w:rPr>
                <w:sz w:val="20"/>
                <w:szCs w:val="20"/>
              </w:rPr>
              <w:t>135 976,2</w:t>
            </w:r>
          </w:p>
        </w:tc>
        <w:tc>
          <w:tcPr>
            <w:tcW w:w="1340" w:type="dxa"/>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300"/>
        </w:trPr>
        <w:tc>
          <w:tcPr>
            <w:tcW w:w="3969" w:type="dxa"/>
            <w:vAlign w:val="center"/>
          </w:tcPr>
          <w:p w:rsidR="00F20611" w:rsidRPr="00F07DD4" w:rsidRDefault="00F20611" w:rsidP="00902B01">
            <w:pPr>
              <w:spacing w:after="0" w:line="240" w:lineRule="auto"/>
              <w:ind w:right="424"/>
              <w:jc w:val="left"/>
              <w:rPr>
                <w:sz w:val="20"/>
                <w:szCs w:val="20"/>
              </w:rPr>
            </w:pPr>
            <w:r w:rsidRPr="00F07DD4">
              <w:rPr>
                <w:bCs/>
                <w:color w:val="000000"/>
                <w:sz w:val="20"/>
                <w:szCs w:val="20"/>
                <w:shd w:val="clear" w:color="auto" w:fill="FFFFFF"/>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r w:rsidRPr="00F07DD4">
              <w:rPr>
                <w:sz w:val="20"/>
                <w:szCs w:val="20"/>
              </w:rPr>
              <w:t>, всего, в том числе:</w:t>
            </w:r>
          </w:p>
        </w:tc>
        <w:tc>
          <w:tcPr>
            <w:tcW w:w="1276" w:type="dxa"/>
          </w:tcPr>
          <w:p w:rsidR="00F20611" w:rsidRPr="00677909" w:rsidRDefault="00F20611" w:rsidP="00902B01">
            <w:pPr>
              <w:rPr>
                <w:sz w:val="20"/>
                <w:szCs w:val="20"/>
              </w:rPr>
            </w:pPr>
            <w:r w:rsidRPr="00677909">
              <w:rPr>
                <w:sz w:val="20"/>
                <w:szCs w:val="20"/>
              </w:rPr>
              <w:t>599,9</w:t>
            </w:r>
          </w:p>
        </w:tc>
        <w:tc>
          <w:tcPr>
            <w:tcW w:w="1379" w:type="dxa"/>
          </w:tcPr>
          <w:p w:rsidR="00F20611" w:rsidRPr="00F07DD4" w:rsidRDefault="00F20611" w:rsidP="00902B01">
            <w:pPr>
              <w:jc w:val="center"/>
              <w:rPr>
                <w:sz w:val="20"/>
                <w:szCs w:val="20"/>
              </w:rPr>
            </w:pPr>
            <w:r>
              <w:rPr>
                <w:sz w:val="20"/>
                <w:szCs w:val="20"/>
              </w:rPr>
              <w:t>0,0</w:t>
            </w:r>
          </w:p>
        </w:tc>
        <w:tc>
          <w:tcPr>
            <w:tcW w:w="1391" w:type="dxa"/>
          </w:tcPr>
          <w:p w:rsidR="00F20611" w:rsidRDefault="00F20611" w:rsidP="00902B01">
            <w:pPr>
              <w:jc w:val="center"/>
              <w:rPr>
                <w:sz w:val="20"/>
                <w:szCs w:val="20"/>
              </w:rPr>
            </w:pPr>
            <w:r>
              <w:rPr>
                <w:sz w:val="20"/>
                <w:szCs w:val="20"/>
              </w:rPr>
              <w:t>0,0</w:t>
            </w:r>
          </w:p>
          <w:p w:rsidR="00F20611" w:rsidRPr="00F07DD4" w:rsidRDefault="00F20611" w:rsidP="00902B01">
            <w:pPr>
              <w:jc w:val="center"/>
              <w:rPr>
                <w:sz w:val="20"/>
                <w:szCs w:val="20"/>
              </w:rPr>
            </w:pP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0</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бюджет города</w:t>
            </w:r>
          </w:p>
        </w:tc>
        <w:tc>
          <w:tcPr>
            <w:tcW w:w="1276" w:type="dxa"/>
            <w:hideMark/>
          </w:tcPr>
          <w:p w:rsidR="00F20611" w:rsidRPr="00677909" w:rsidRDefault="00F20611" w:rsidP="00902B01">
            <w:pPr>
              <w:rPr>
                <w:sz w:val="20"/>
                <w:szCs w:val="20"/>
              </w:rPr>
            </w:pPr>
            <w:r w:rsidRPr="00677909">
              <w:rPr>
                <w:sz w:val="20"/>
                <w:szCs w:val="20"/>
              </w:rPr>
              <w:t>599,9</w:t>
            </w:r>
          </w:p>
        </w:tc>
        <w:tc>
          <w:tcPr>
            <w:tcW w:w="1379" w:type="dxa"/>
          </w:tcPr>
          <w:p w:rsidR="00F20611" w:rsidRPr="00F07DD4" w:rsidRDefault="00F20611" w:rsidP="00902B01">
            <w:pPr>
              <w:jc w:val="center"/>
              <w:rPr>
                <w:sz w:val="20"/>
                <w:szCs w:val="20"/>
              </w:rPr>
            </w:pPr>
            <w:r>
              <w:rPr>
                <w:sz w:val="20"/>
                <w:szCs w:val="20"/>
              </w:rPr>
              <w:t>0,0</w:t>
            </w:r>
          </w:p>
        </w:tc>
        <w:tc>
          <w:tcPr>
            <w:tcW w:w="1391" w:type="dxa"/>
          </w:tcPr>
          <w:p w:rsidR="00F20611" w:rsidRPr="00F07DD4" w:rsidRDefault="00F20611" w:rsidP="00902B01">
            <w:pPr>
              <w:jc w:val="center"/>
              <w:rPr>
                <w:sz w:val="20"/>
                <w:szCs w:val="20"/>
              </w:rPr>
            </w:pPr>
            <w:r>
              <w:rPr>
                <w:sz w:val="20"/>
                <w:szCs w:val="20"/>
              </w:rPr>
              <w:t>0,0</w:t>
            </w: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0</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bCs/>
                <w:color w:val="000000"/>
                <w:sz w:val="20"/>
                <w:szCs w:val="20"/>
                <w:shd w:val="clear" w:color="auto" w:fill="FFFFFF"/>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r w:rsidRPr="00F07DD4">
              <w:rPr>
                <w:sz w:val="20"/>
                <w:szCs w:val="20"/>
              </w:rPr>
              <w:t>», всего, в том числе:</w:t>
            </w:r>
          </w:p>
        </w:tc>
        <w:tc>
          <w:tcPr>
            <w:tcW w:w="1276" w:type="dxa"/>
            <w:hideMark/>
          </w:tcPr>
          <w:p w:rsidR="00F20611" w:rsidRPr="00677909" w:rsidRDefault="00F20611" w:rsidP="00902B01">
            <w:pPr>
              <w:rPr>
                <w:sz w:val="20"/>
                <w:szCs w:val="20"/>
              </w:rPr>
            </w:pPr>
            <w:r w:rsidRPr="00677909">
              <w:rPr>
                <w:sz w:val="20"/>
                <w:szCs w:val="20"/>
              </w:rPr>
              <w:t>36 968,3</w:t>
            </w:r>
          </w:p>
        </w:tc>
        <w:tc>
          <w:tcPr>
            <w:tcW w:w="1379" w:type="dxa"/>
          </w:tcPr>
          <w:p w:rsidR="00F20611" w:rsidRPr="00F07DD4" w:rsidRDefault="00F20611" w:rsidP="00902B01">
            <w:pPr>
              <w:jc w:val="center"/>
              <w:rPr>
                <w:sz w:val="20"/>
                <w:szCs w:val="20"/>
              </w:rPr>
            </w:pPr>
            <w:r>
              <w:rPr>
                <w:sz w:val="20"/>
                <w:szCs w:val="20"/>
              </w:rPr>
              <w:t>22 551,9</w:t>
            </w:r>
          </w:p>
        </w:tc>
        <w:tc>
          <w:tcPr>
            <w:tcW w:w="1391" w:type="dxa"/>
          </w:tcPr>
          <w:p w:rsidR="00F20611" w:rsidRPr="00F07DD4" w:rsidRDefault="00F20611" w:rsidP="00902B01">
            <w:pPr>
              <w:jc w:val="center"/>
              <w:rPr>
                <w:sz w:val="20"/>
                <w:szCs w:val="20"/>
              </w:rPr>
            </w:pPr>
            <w:r>
              <w:rPr>
                <w:sz w:val="20"/>
                <w:szCs w:val="20"/>
              </w:rPr>
              <w:t>22 365,5</w:t>
            </w: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99,2</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xml:space="preserve">- федеральный бюджет </w:t>
            </w:r>
          </w:p>
        </w:tc>
        <w:tc>
          <w:tcPr>
            <w:tcW w:w="1276" w:type="dxa"/>
            <w:hideMark/>
          </w:tcPr>
          <w:p w:rsidR="00F20611" w:rsidRPr="00677909" w:rsidRDefault="00F20611" w:rsidP="00902B01">
            <w:pPr>
              <w:rPr>
                <w:sz w:val="20"/>
                <w:szCs w:val="20"/>
              </w:rPr>
            </w:pPr>
            <w:r w:rsidRPr="00677909">
              <w:rPr>
                <w:sz w:val="20"/>
                <w:szCs w:val="20"/>
              </w:rPr>
              <w:t>16 596,4</w:t>
            </w:r>
          </w:p>
        </w:tc>
        <w:tc>
          <w:tcPr>
            <w:tcW w:w="1379" w:type="dxa"/>
          </w:tcPr>
          <w:p w:rsidR="00F20611" w:rsidRPr="00F07DD4" w:rsidRDefault="00F20611" w:rsidP="00902B01">
            <w:pPr>
              <w:jc w:val="center"/>
              <w:rPr>
                <w:sz w:val="20"/>
                <w:szCs w:val="20"/>
              </w:rPr>
            </w:pPr>
            <w:r>
              <w:rPr>
                <w:sz w:val="20"/>
                <w:szCs w:val="20"/>
              </w:rPr>
              <w:t>1 611,4</w:t>
            </w:r>
          </w:p>
        </w:tc>
        <w:tc>
          <w:tcPr>
            <w:tcW w:w="1391" w:type="dxa"/>
          </w:tcPr>
          <w:p w:rsidR="00F20611" w:rsidRPr="00F07DD4" w:rsidRDefault="00F20611" w:rsidP="00902B01">
            <w:pPr>
              <w:jc w:val="center"/>
              <w:rPr>
                <w:sz w:val="20"/>
                <w:szCs w:val="20"/>
              </w:rPr>
            </w:pPr>
            <w:r>
              <w:rPr>
                <w:sz w:val="20"/>
                <w:szCs w:val="20"/>
              </w:rPr>
              <w:t>1 425,0</w:t>
            </w: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88,4</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xml:space="preserve">- бюджет автономного округа </w:t>
            </w:r>
          </w:p>
        </w:tc>
        <w:tc>
          <w:tcPr>
            <w:tcW w:w="1276" w:type="dxa"/>
            <w:hideMark/>
          </w:tcPr>
          <w:p w:rsidR="00F20611" w:rsidRPr="00677909" w:rsidRDefault="00F20611" w:rsidP="00902B01">
            <w:pPr>
              <w:rPr>
                <w:sz w:val="20"/>
                <w:szCs w:val="20"/>
              </w:rPr>
            </w:pPr>
            <w:r w:rsidRPr="00677909">
              <w:rPr>
                <w:sz w:val="20"/>
                <w:szCs w:val="20"/>
              </w:rPr>
              <w:t>14 983,2</w:t>
            </w:r>
          </w:p>
        </w:tc>
        <w:tc>
          <w:tcPr>
            <w:tcW w:w="1379" w:type="dxa"/>
          </w:tcPr>
          <w:p w:rsidR="00F20611" w:rsidRPr="00F07DD4" w:rsidRDefault="00F20611" w:rsidP="00902B01">
            <w:pPr>
              <w:jc w:val="center"/>
              <w:rPr>
                <w:sz w:val="20"/>
                <w:szCs w:val="20"/>
              </w:rPr>
            </w:pPr>
            <w:r>
              <w:rPr>
                <w:sz w:val="20"/>
                <w:szCs w:val="20"/>
              </w:rPr>
              <w:t>16 760,0</w:t>
            </w:r>
          </w:p>
        </w:tc>
        <w:tc>
          <w:tcPr>
            <w:tcW w:w="1391" w:type="dxa"/>
          </w:tcPr>
          <w:p w:rsidR="00F20611" w:rsidRPr="00F07DD4" w:rsidRDefault="00F20611" w:rsidP="00902B01">
            <w:pPr>
              <w:jc w:val="center"/>
              <w:rPr>
                <w:sz w:val="20"/>
                <w:szCs w:val="20"/>
              </w:rPr>
            </w:pPr>
            <w:r>
              <w:rPr>
                <w:sz w:val="20"/>
                <w:szCs w:val="20"/>
              </w:rPr>
              <w:t>16 760,0</w:t>
            </w: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100</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бюджет города</w:t>
            </w:r>
          </w:p>
        </w:tc>
        <w:tc>
          <w:tcPr>
            <w:tcW w:w="1276" w:type="dxa"/>
            <w:hideMark/>
          </w:tcPr>
          <w:p w:rsidR="00F20611" w:rsidRPr="00677909" w:rsidRDefault="00F20611" w:rsidP="00902B01">
            <w:pPr>
              <w:rPr>
                <w:sz w:val="20"/>
                <w:szCs w:val="20"/>
              </w:rPr>
            </w:pPr>
            <w:r w:rsidRPr="00677909">
              <w:rPr>
                <w:sz w:val="20"/>
                <w:szCs w:val="20"/>
              </w:rPr>
              <w:t>5 388,7</w:t>
            </w:r>
          </w:p>
        </w:tc>
        <w:tc>
          <w:tcPr>
            <w:tcW w:w="1379" w:type="dxa"/>
          </w:tcPr>
          <w:p w:rsidR="00F20611" w:rsidRPr="00F07DD4" w:rsidRDefault="00F20611" w:rsidP="00902B01">
            <w:pPr>
              <w:jc w:val="center"/>
              <w:rPr>
                <w:sz w:val="20"/>
                <w:szCs w:val="20"/>
              </w:rPr>
            </w:pPr>
            <w:r>
              <w:rPr>
                <w:sz w:val="20"/>
                <w:szCs w:val="20"/>
              </w:rPr>
              <w:t>4 180,5</w:t>
            </w:r>
          </w:p>
        </w:tc>
        <w:tc>
          <w:tcPr>
            <w:tcW w:w="1391" w:type="dxa"/>
          </w:tcPr>
          <w:p w:rsidR="00F20611" w:rsidRPr="00F07DD4" w:rsidRDefault="00F20611" w:rsidP="00902B01">
            <w:pPr>
              <w:jc w:val="center"/>
              <w:rPr>
                <w:sz w:val="20"/>
                <w:szCs w:val="20"/>
              </w:rPr>
            </w:pPr>
            <w:r>
              <w:rPr>
                <w:sz w:val="20"/>
                <w:szCs w:val="20"/>
              </w:rPr>
              <w:t>4 180,5</w:t>
            </w:r>
          </w:p>
        </w:tc>
        <w:tc>
          <w:tcPr>
            <w:tcW w:w="1340" w:type="dxa"/>
          </w:tcPr>
          <w:p w:rsidR="00F20611" w:rsidRPr="00F07DD4" w:rsidRDefault="00F20611" w:rsidP="00902B01">
            <w:pPr>
              <w:tabs>
                <w:tab w:val="left" w:pos="1224"/>
              </w:tabs>
              <w:spacing w:after="0" w:line="240" w:lineRule="auto"/>
              <w:ind w:right="82"/>
              <w:jc w:val="center"/>
              <w:rPr>
                <w:sz w:val="20"/>
                <w:szCs w:val="20"/>
              </w:rPr>
            </w:pPr>
            <w:r>
              <w:rPr>
                <w:sz w:val="20"/>
                <w:szCs w:val="20"/>
              </w:rPr>
              <w:t>100</w:t>
            </w:r>
            <w:r w:rsidRPr="00F07DD4">
              <w:rPr>
                <w:sz w:val="20"/>
                <w:szCs w:val="20"/>
              </w:rPr>
              <w:t>%</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 всего, в том числе:</w:t>
            </w:r>
          </w:p>
        </w:tc>
        <w:tc>
          <w:tcPr>
            <w:tcW w:w="1276" w:type="dxa"/>
            <w:hideMark/>
          </w:tcPr>
          <w:p w:rsidR="00F20611" w:rsidRPr="00677909" w:rsidRDefault="00F20611" w:rsidP="00902B01">
            <w:pPr>
              <w:rPr>
                <w:sz w:val="20"/>
                <w:szCs w:val="20"/>
              </w:rPr>
            </w:pPr>
            <w:r w:rsidRPr="00677909">
              <w:rPr>
                <w:sz w:val="20"/>
                <w:szCs w:val="20"/>
              </w:rPr>
              <w:t>22,6</w:t>
            </w:r>
          </w:p>
        </w:tc>
        <w:tc>
          <w:tcPr>
            <w:tcW w:w="1379" w:type="dxa"/>
          </w:tcPr>
          <w:p w:rsidR="00F20611" w:rsidRPr="00F07DD4" w:rsidRDefault="00F20611" w:rsidP="00902B01">
            <w:pPr>
              <w:jc w:val="center"/>
              <w:rPr>
                <w:sz w:val="20"/>
                <w:szCs w:val="20"/>
              </w:rPr>
            </w:pPr>
            <w:r>
              <w:rPr>
                <w:sz w:val="20"/>
                <w:szCs w:val="20"/>
              </w:rPr>
              <w:t>28,7</w:t>
            </w:r>
          </w:p>
        </w:tc>
        <w:tc>
          <w:tcPr>
            <w:tcW w:w="1391" w:type="dxa"/>
          </w:tcPr>
          <w:p w:rsidR="00F20611" w:rsidRPr="00F07DD4" w:rsidRDefault="00F20611" w:rsidP="00902B01">
            <w:pPr>
              <w:jc w:val="center"/>
              <w:rPr>
                <w:sz w:val="20"/>
                <w:szCs w:val="20"/>
              </w:rPr>
            </w:pPr>
            <w:r>
              <w:rPr>
                <w:sz w:val="20"/>
                <w:szCs w:val="20"/>
              </w:rPr>
              <w:t>28,7</w:t>
            </w:r>
          </w:p>
        </w:tc>
        <w:tc>
          <w:tcPr>
            <w:tcW w:w="1340" w:type="dxa"/>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r w:rsidR="00F20611" w:rsidRPr="00F07DD4" w:rsidTr="00902B01">
        <w:trPr>
          <w:trHeight w:val="300"/>
        </w:trPr>
        <w:tc>
          <w:tcPr>
            <w:tcW w:w="3969" w:type="dxa"/>
            <w:vAlign w:val="center"/>
            <w:hideMark/>
          </w:tcPr>
          <w:p w:rsidR="00F20611" w:rsidRPr="00F07DD4" w:rsidRDefault="00F20611" w:rsidP="00902B01">
            <w:pPr>
              <w:spacing w:after="0" w:line="240" w:lineRule="auto"/>
              <w:ind w:right="424"/>
              <w:jc w:val="left"/>
              <w:rPr>
                <w:sz w:val="20"/>
                <w:szCs w:val="20"/>
              </w:rPr>
            </w:pPr>
            <w:r w:rsidRPr="00F07DD4">
              <w:rPr>
                <w:sz w:val="20"/>
                <w:szCs w:val="20"/>
              </w:rPr>
              <w:t xml:space="preserve">- бюджет автономного округа </w:t>
            </w:r>
          </w:p>
        </w:tc>
        <w:tc>
          <w:tcPr>
            <w:tcW w:w="1276" w:type="dxa"/>
            <w:hideMark/>
          </w:tcPr>
          <w:p w:rsidR="00F20611" w:rsidRPr="00677909" w:rsidRDefault="00F20611" w:rsidP="00902B01">
            <w:pPr>
              <w:rPr>
                <w:sz w:val="20"/>
                <w:szCs w:val="20"/>
              </w:rPr>
            </w:pPr>
            <w:r w:rsidRPr="00677909">
              <w:rPr>
                <w:sz w:val="20"/>
                <w:szCs w:val="20"/>
              </w:rPr>
              <w:t>22,6</w:t>
            </w:r>
          </w:p>
        </w:tc>
        <w:tc>
          <w:tcPr>
            <w:tcW w:w="1379" w:type="dxa"/>
          </w:tcPr>
          <w:p w:rsidR="00F20611" w:rsidRPr="00F07DD4" w:rsidRDefault="00F20611" w:rsidP="00902B01">
            <w:pPr>
              <w:jc w:val="center"/>
              <w:rPr>
                <w:sz w:val="20"/>
                <w:szCs w:val="20"/>
              </w:rPr>
            </w:pPr>
            <w:r>
              <w:rPr>
                <w:sz w:val="20"/>
                <w:szCs w:val="20"/>
              </w:rPr>
              <w:t>28,7</w:t>
            </w:r>
          </w:p>
        </w:tc>
        <w:tc>
          <w:tcPr>
            <w:tcW w:w="1391" w:type="dxa"/>
          </w:tcPr>
          <w:p w:rsidR="00F20611" w:rsidRPr="00F07DD4" w:rsidRDefault="00F20611" w:rsidP="00902B01">
            <w:pPr>
              <w:jc w:val="center"/>
              <w:rPr>
                <w:sz w:val="20"/>
                <w:szCs w:val="20"/>
              </w:rPr>
            </w:pPr>
            <w:r>
              <w:rPr>
                <w:sz w:val="20"/>
                <w:szCs w:val="20"/>
              </w:rPr>
              <w:t>28,7</w:t>
            </w:r>
          </w:p>
        </w:tc>
        <w:tc>
          <w:tcPr>
            <w:tcW w:w="1340" w:type="dxa"/>
          </w:tcPr>
          <w:p w:rsidR="00F20611" w:rsidRPr="00F07DD4" w:rsidRDefault="00F20611" w:rsidP="00902B01">
            <w:pPr>
              <w:tabs>
                <w:tab w:val="left" w:pos="1224"/>
              </w:tabs>
              <w:spacing w:after="0" w:line="240" w:lineRule="auto"/>
              <w:ind w:right="82"/>
              <w:jc w:val="center"/>
              <w:rPr>
                <w:sz w:val="20"/>
                <w:szCs w:val="20"/>
              </w:rPr>
            </w:pPr>
            <w:r w:rsidRPr="00F07DD4">
              <w:rPr>
                <w:sz w:val="20"/>
                <w:szCs w:val="20"/>
              </w:rPr>
              <w:t>100%</w:t>
            </w:r>
          </w:p>
        </w:tc>
      </w:tr>
    </w:tbl>
    <w:p w:rsidR="00F20611" w:rsidRDefault="00F20611" w:rsidP="00F20611">
      <w:pPr>
        <w:spacing w:after="0"/>
        <w:ind w:right="-2" w:firstLine="708"/>
        <w:jc w:val="both"/>
        <w:rPr>
          <w:rFonts w:eastAsia="Arial Unicode MS"/>
          <w:sz w:val="28"/>
          <w:szCs w:val="28"/>
        </w:rPr>
      </w:pPr>
      <w:r w:rsidRPr="00D521DF">
        <w:rPr>
          <w:rFonts w:eastAsia="Arial Unicode MS"/>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F20611" w:rsidRPr="00D521DF" w:rsidRDefault="00F20611" w:rsidP="00F20611">
      <w:pPr>
        <w:spacing w:after="0"/>
        <w:ind w:right="-2" w:firstLine="708"/>
        <w:jc w:val="both"/>
        <w:rPr>
          <w:rFonts w:eastAsia="Arial Unicode MS"/>
          <w:sz w:val="28"/>
          <w:szCs w:val="28"/>
        </w:rPr>
      </w:pPr>
      <w:r w:rsidRPr="00D521DF">
        <w:rPr>
          <w:rFonts w:eastAsia="Arial Unicode MS"/>
          <w:sz w:val="28"/>
          <w:szCs w:val="28"/>
        </w:rPr>
        <w:lastRenderedPageBreak/>
        <w:t xml:space="preserve"> </w:t>
      </w:r>
      <w:r>
        <w:rPr>
          <w:rFonts w:eastAsia="Arial Unicode MS"/>
          <w:sz w:val="28"/>
          <w:szCs w:val="28"/>
        </w:rPr>
        <w:t xml:space="preserve">1. Основное мероприятие </w:t>
      </w:r>
      <w:r w:rsidRPr="00D521DF">
        <w:rPr>
          <w:rFonts w:eastAsia="Arial Unicode MS"/>
          <w:sz w:val="28"/>
          <w:szCs w:val="28"/>
        </w:rPr>
        <w:t>«Приобретение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r>
        <w:rPr>
          <w:rFonts w:eastAsia="Arial Unicode MS"/>
          <w:sz w:val="28"/>
          <w:szCs w:val="28"/>
        </w:rPr>
        <w:t xml:space="preserve"> в том числе:</w:t>
      </w:r>
      <w:r w:rsidRPr="00D521DF">
        <w:rPr>
          <w:rFonts w:eastAsia="Arial Unicode MS"/>
          <w:sz w:val="28"/>
          <w:szCs w:val="28"/>
        </w:rPr>
        <w:t xml:space="preserve"> </w:t>
      </w:r>
    </w:p>
    <w:p w:rsidR="00F20611" w:rsidRDefault="00F20611" w:rsidP="00F20611">
      <w:pPr>
        <w:spacing w:after="0"/>
        <w:ind w:right="-2"/>
        <w:jc w:val="both"/>
        <w:rPr>
          <w:rFonts w:eastAsia="Arial Unicode MS"/>
          <w:sz w:val="28"/>
          <w:szCs w:val="28"/>
        </w:rPr>
      </w:pPr>
      <w:r w:rsidRPr="00241612">
        <w:rPr>
          <w:rFonts w:eastAsia="Arial Unicode MS"/>
          <w:sz w:val="28"/>
          <w:szCs w:val="28"/>
        </w:rPr>
        <w:t xml:space="preserve"> </w:t>
      </w:r>
      <w:r>
        <w:rPr>
          <w:rFonts w:eastAsia="Arial Unicode MS"/>
          <w:sz w:val="28"/>
          <w:szCs w:val="28"/>
        </w:rPr>
        <w:tab/>
        <w:t>- о</w:t>
      </w:r>
      <w:r w:rsidRPr="00854092">
        <w:rPr>
          <w:rFonts w:eastAsia="Arial Unicode MS"/>
          <w:sz w:val="28"/>
          <w:szCs w:val="28"/>
        </w:rPr>
        <w:t xml:space="preserve">беспечение устойчивого сокращения непригодного для проживания жилищного фонда </w:t>
      </w:r>
      <w:r>
        <w:rPr>
          <w:rFonts w:eastAsia="Arial Unicode MS"/>
          <w:sz w:val="28"/>
          <w:szCs w:val="28"/>
        </w:rPr>
        <w:t xml:space="preserve">в сумме 890 203,4 тыс. рублей, в том числе </w:t>
      </w:r>
      <w:r w:rsidRPr="00D806FB">
        <w:rPr>
          <w:rFonts w:eastAsia="Arial Unicode MS"/>
          <w:sz w:val="28"/>
          <w:szCs w:val="28"/>
        </w:rPr>
        <w:t xml:space="preserve">средства окружного бюджета – </w:t>
      </w:r>
      <w:r>
        <w:rPr>
          <w:rFonts w:eastAsia="Arial Unicode MS"/>
          <w:sz w:val="28"/>
          <w:szCs w:val="28"/>
        </w:rPr>
        <w:t>792 281,0</w:t>
      </w:r>
      <w:r w:rsidRPr="00D806FB">
        <w:rPr>
          <w:rFonts w:eastAsia="Arial Unicode MS"/>
          <w:sz w:val="28"/>
          <w:szCs w:val="28"/>
        </w:rPr>
        <w:t xml:space="preserve"> тыс. рублей, средства бюджета города Ханты-Ма</w:t>
      </w:r>
      <w:r>
        <w:rPr>
          <w:rFonts w:eastAsia="Arial Unicode MS"/>
          <w:sz w:val="28"/>
          <w:szCs w:val="28"/>
        </w:rPr>
        <w:t>нсийска – 97 922,4 тыс. рублей;</w:t>
      </w:r>
    </w:p>
    <w:p w:rsidR="00F20611" w:rsidRDefault="00F20611" w:rsidP="00F20611">
      <w:pPr>
        <w:spacing w:after="0"/>
        <w:ind w:right="-2" w:firstLine="708"/>
        <w:jc w:val="both"/>
        <w:rPr>
          <w:rFonts w:eastAsia="Arial Unicode MS"/>
          <w:sz w:val="28"/>
          <w:szCs w:val="28"/>
        </w:rPr>
      </w:pPr>
      <w:r>
        <w:rPr>
          <w:rFonts w:eastAsia="Arial Unicode MS"/>
          <w:sz w:val="28"/>
          <w:szCs w:val="28"/>
        </w:rPr>
        <w:t>- р</w:t>
      </w:r>
      <w:r w:rsidRPr="002B6F40">
        <w:rPr>
          <w:rFonts w:eastAsia="Arial Unicode MS"/>
          <w:sz w:val="28"/>
          <w:szCs w:val="28"/>
        </w:rPr>
        <w:t>еализаци</w:t>
      </w:r>
      <w:r>
        <w:rPr>
          <w:rFonts w:eastAsia="Arial Unicode MS"/>
          <w:sz w:val="28"/>
          <w:szCs w:val="28"/>
        </w:rPr>
        <w:t>я</w:t>
      </w:r>
      <w:r w:rsidRPr="002B6F40">
        <w:rPr>
          <w:rFonts w:eastAsia="Arial Unicode MS"/>
          <w:sz w:val="28"/>
          <w:szCs w:val="28"/>
        </w:rPr>
        <w:t xml:space="preserve">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r>
        <w:rPr>
          <w:rFonts w:eastAsia="Arial Unicode MS"/>
          <w:sz w:val="28"/>
          <w:szCs w:val="28"/>
        </w:rPr>
        <w:t xml:space="preserve"> в сумме 92 454,5 тыс. рублей, </w:t>
      </w:r>
      <w:r w:rsidRPr="00EB1E59">
        <w:rPr>
          <w:rFonts w:eastAsia="Arial Unicode MS"/>
          <w:sz w:val="28"/>
          <w:szCs w:val="28"/>
        </w:rPr>
        <w:t xml:space="preserve">в том числе средства окружного бюджета – </w:t>
      </w:r>
      <w:r>
        <w:rPr>
          <w:rFonts w:eastAsia="Arial Unicode MS"/>
          <w:sz w:val="28"/>
          <w:szCs w:val="28"/>
        </w:rPr>
        <w:t>82 284,5</w:t>
      </w:r>
      <w:r w:rsidRPr="00EB1E59">
        <w:rPr>
          <w:rFonts w:eastAsia="Arial Unicode MS"/>
          <w:sz w:val="28"/>
          <w:szCs w:val="28"/>
        </w:rPr>
        <w:t xml:space="preserve"> тыс. рублей, средства бюджета города Ханты-Мансийска – </w:t>
      </w:r>
      <w:r>
        <w:rPr>
          <w:rFonts w:eastAsia="Arial Unicode MS"/>
          <w:sz w:val="28"/>
          <w:szCs w:val="28"/>
        </w:rPr>
        <w:t>10 170,0</w:t>
      </w:r>
      <w:r w:rsidRPr="00EB1E59">
        <w:rPr>
          <w:rFonts w:eastAsia="Arial Unicode MS"/>
          <w:sz w:val="28"/>
          <w:szCs w:val="28"/>
        </w:rPr>
        <w:t xml:space="preserve"> тыс. рублей;</w:t>
      </w:r>
    </w:p>
    <w:p w:rsidR="00F20611" w:rsidRDefault="00F20611" w:rsidP="00F20611">
      <w:pPr>
        <w:spacing w:after="0"/>
        <w:ind w:right="-2" w:firstLine="708"/>
        <w:jc w:val="both"/>
        <w:rPr>
          <w:rFonts w:eastAsia="Arial Unicode MS"/>
          <w:sz w:val="28"/>
          <w:szCs w:val="28"/>
        </w:rPr>
      </w:pPr>
      <w:r>
        <w:rPr>
          <w:rFonts w:eastAsia="Arial Unicode MS"/>
          <w:sz w:val="28"/>
          <w:szCs w:val="28"/>
        </w:rPr>
        <w:t>- р</w:t>
      </w:r>
      <w:r w:rsidRPr="002B6F40">
        <w:rPr>
          <w:rFonts w:eastAsia="Arial Unicode MS"/>
          <w:sz w:val="28"/>
          <w:szCs w:val="28"/>
        </w:rPr>
        <w:t>еализаци</w:t>
      </w:r>
      <w:r>
        <w:rPr>
          <w:rFonts w:eastAsia="Arial Unicode MS"/>
          <w:sz w:val="28"/>
          <w:szCs w:val="28"/>
        </w:rPr>
        <w:t>я</w:t>
      </w:r>
      <w:r w:rsidRPr="002B6F40">
        <w:rPr>
          <w:rFonts w:eastAsia="Arial Unicode MS"/>
          <w:sz w:val="28"/>
          <w:szCs w:val="28"/>
        </w:rPr>
        <w:t xml:space="preserve">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Pr>
          <w:rFonts w:eastAsia="Arial Unicode MS"/>
          <w:sz w:val="28"/>
          <w:szCs w:val="28"/>
        </w:rPr>
        <w:t xml:space="preserve"> в сумме 166 213,7 тыс. рублей, </w:t>
      </w:r>
      <w:r w:rsidRPr="00EB1E59">
        <w:rPr>
          <w:rFonts w:eastAsia="Arial Unicode MS"/>
          <w:sz w:val="28"/>
          <w:szCs w:val="28"/>
        </w:rPr>
        <w:t xml:space="preserve">в том числе средства окружного бюджета – </w:t>
      </w:r>
      <w:r>
        <w:rPr>
          <w:rFonts w:eastAsia="Arial Unicode MS"/>
          <w:sz w:val="28"/>
          <w:szCs w:val="28"/>
        </w:rPr>
        <w:t>147 930,2</w:t>
      </w:r>
      <w:r w:rsidRPr="00EB1E59">
        <w:rPr>
          <w:rFonts w:eastAsia="Arial Unicode MS"/>
          <w:sz w:val="28"/>
          <w:szCs w:val="28"/>
        </w:rPr>
        <w:t xml:space="preserve"> тыс. рублей, средства бюджета города Ханты-Мансийска – </w:t>
      </w:r>
      <w:r>
        <w:rPr>
          <w:rFonts w:eastAsia="Arial Unicode MS"/>
          <w:sz w:val="28"/>
          <w:szCs w:val="28"/>
        </w:rPr>
        <w:t>18 283,5</w:t>
      </w:r>
      <w:r w:rsidRPr="00EB1E59">
        <w:rPr>
          <w:rFonts w:eastAsia="Arial Unicode MS"/>
          <w:sz w:val="28"/>
          <w:szCs w:val="28"/>
        </w:rPr>
        <w:t xml:space="preserve"> тыс. рублей;</w:t>
      </w:r>
    </w:p>
    <w:p w:rsidR="00F20611" w:rsidRDefault="00F20611" w:rsidP="00F20611">
      <w:pPr>
        <w:spacing w:after="0"/>
        <w:ind w:right="-2" w:firstLine="708"/>
        <w:jc w:val="both"/>
        <w:rPr>
          <w:rFonts w:eastAsia="Arial Unicode MS"/>
          <w:sz w:val="28"/>
          <w:szCs w:val="28"/>
        </w:rPr>
      </w:pPr>
      <w:r>
        <w:rPr>
          <w:rFonts w:eastAsia="Arial Unicode MS"/>
          <w:sz w:val="28"/>
          <w:szCs w:val="28"/>
        </w:rPr>
        <w:t>- и</w:t>
      </w:r>
      <w:r w:rsidRPr="002B6F40">
        <w:rPr>
          <w:rFonts w:eastAsia="Arial Unicode MS"/>
          <w:sz w:val="28"/>
          <w:szCs w:val="28"/>
        </w:rPr>
        <w:t>нвестиции в объекты муниципальной собственности</w:t>
      </w:r>
      <w:r>
        <w:rPr>
          <w:rFonts w:eastAsia="Arial Unicode MS"/>
          <w:sz w:val="28"/>
          <w:szCs w:val="28"/>
        </w:rPr>
        <w:t xml:space="preserve"> на приобретение жилья в сумме 9 600,3 тыс. рублей – средства бюджета города Ханты-Мансийска. </w:t>
      </w:r>
    </w:p>
    <w:p w:rsidR="00F20611" w:rsidRDefault="00F20611" w:rsidP="00F20611">
      <w:pPr>
        <w:spacing w:after="0"/>
        <w:ind w:right="-2" w:firstLine="708"/>
        <w:jc w:val="both"/>
        <w:rPr>
          <w:rFonts w:eastAsia="Arial Unicode MS"/>
          <w:sz w:val="28"/>
          <w:szCs w:val="28"/>
        </w:rPr>
      </w:pPr>
      <w:r>
        <w:rPr>
          <w:rFonts w:eastAsia="Arial Unicode MS"/>
          <w:sz w:val="28"/>
          <w:szCs w:val="28"/>
        </w:rPr>
        <w:t xml:space="preserve">2. </w:t>
      </w:r>
      <w:r w:rsidRPr="0082364E">
        <w:rPr>
          <w:rFonts w:eastAsia="Arial Unicode MS"/>
          <w:sz w:val="28"/>
          <w:szCs w:val="28"/>
        </w:rPr>
        <w:t xml:space="preserve">Основное мероприятие </w:t>
      </w:r>
      <w:r w:rsidRPr="00A914F0">
        <w:rPr>
          <w:rFonts w:eastAsia="Arial Unicode MS"/>
          <w:sz w:val="28"/>
          <w:szCs w:val="28"/>
        </w:rPr>
        <w:t>«Предоставление отдельным категориям граждан мер социальной поддержки с целью улучшения указанными гражданами жилищных условий»</w:t>
      </w:r>
      <w:r>
        <w:rPr>
          <w:rFonts w:eastAsia="Arial Unicode MS"/>
          <w:sz w:val="28"/>
          <w:szCs w:val="28"/>
        </w:rPr>
        <w:t xml:space="preserve"> в том числе:</w:t>
      </w:r>
    </w:p>
    <w:p w:rsidR="00F20611" w:rsidRPr="00D806FB" w:rsidRDefault="00F20611" w:rsidP="00F20611">
      <w:pPr>
        <w:spacing w:after="0"/>
        <w:ind w:right="-2" w:firstLine="708"/>
        <w:jc w:val="both"/>
        <w:rPr>
          <w:rFonts w:eastAsia="Arial Unicode MS"/>
          <w:sz w:val="28"/>
          <w:szCs w:val="28"/>
        </w:rPr>
      </w:pPr>
      <w:r>
        <w:rPr>
          <w:rFonts w:eastAsia="Arial Unicode MS"/>
          <w:sz w:val="28"/>
          <w:szCs w:val="28"/>
        </w:rPr>
        <w:t xml:space="preserve">- </w:t>
      </w:r>
      <w:r w:rsidRPr="00D806FB">
        <w:rPr>
          <w:rFonts w:eastAsia="Arial Unicode MS"/>
          <w:sz w:val="28"/>
          <w:szCs w:val="28"/>
        </w:rPr>
        <w:t>улучшение жилищных условий сотрудников органов местного самоуправления города Ханты-Мансийска, муниципальных учреждений и предприятий города Ханты-Мансийска, иных категорий граждан в сумме 3 223,4 тыс. рублей</w:t>
      </w:r>
      <w:r>
        <w:rPr>
          <w:rFonts w:eastAsia="Arial Unicode MS"/>
          <w:sz w:val="28"/>
          <w:szCs w:val="28"/>
        </w:rPr>
        <w:t xml:space="preserve"> – </w:t>
      </w:r>
      <w:r w:rsidRPr="000A4611">
        <w:rPr>
          <w:rFonts w:eastAsia="Arial Unicode MS"/>
          <w:sz w:val="28"/>
          <w:szCs w:val="28"/>
        </w:rPr>
        <w:t>средства бюджета города Ханты-Мансийска;</w:t>
      </w:r>
    </w:p>
    <w:p w:rsidR="00F20611" w:rsidRDefault="00F20611" w:rsidP="00F20611">
      <w:pPr>
        <w:spacing w:after="0"/>
        <w:ind w:right="-2" w:firstLine="708"/>
        <w:jc w:val="both"/>
        <w:rPr>
          <w:rFonts w:eastAsia="Arial Unicode MS"/>
          <w:sz w:val="28"/>
          <w:szCs w:val="28"/>
        </w:rPr>
      </w:pPr>
      <w:r>
        <w:rPr>
          <w:rFonts w:eastAsia="Arial Unicode MS"/>
          <w:sz w:val="28"/>
          <w:szCs w:val="28"/>
        </w:rPr>
        <w:t>- р</w:t>
      </w:r>
      <w:r w:rsidRPr="002B6F40">
        <w:rPr>
          <w:rFonts w:eastAsia="Arial Unicode MS"/>
          <w:sz w:val="28"/>
          <w:szCs w:val="28"/>
        </w:rPr>
        <w:t>еализаци</w:t>
      </w:r>
      <w:r>
        <w:rPr>
          <w:rFonts w:eastAsia="Arial Unicode MS"/>
          <w:sz w:val="28"/>
          <w:szCs w:val="28"/>
        </w:rPr>
        <w:t>я</w:t>
      </w:r>
      <w:r w:rsidRPr="002B6F40">
        <w:rPr>
          <w:rFonts w:eastAsia="Arial Unicode MS"/>
          <w:sz w:val="28"/>
          <w:szCs w:val="28"/>
        </w:rPr>
        <w:t xml:space="preserve"> мероприятий по обеспечению жильем молодых семей</w:t>
      </w:r>
      <w:r w:rsidRPr="000A4611">
        <w:rPr>
          <w:rFonts w:eastAsia="Arial Unicode MS"/>
          <w:sz w:val="28"/>
          <w:szCs w:val="28"/>
        </w:rPr>
        <w:t xml:space="preserve"> </w:t>
      </w:r>
      <w:r>
        <w:rPr>
          <w:rFonts w:eastAsia="Arial Unicode MS"/>
          <w:sz w:val="28"/>
          <w:szCs w:val="28"/>
        </w:rPr>
        <w:t xml:space="preserve">в сумме 19 142,1 тыс. рублей, </w:t>
      </w:r>
      <w:r w:rsidRPr="00EB1E59">
        <w:rPr>
          <w:rFonts w:eastAsia="Arial Unicode MS"/>
          <w:sz w:val="28"/>
          <w:szCs w:val="28"/>
        </w:rPr>
        <w:t xml:space="preserve">в том числе средства окружного бюджета – </w:t>
      </w:r>
      <w:r>
        <w:rPr>
          <w:rFonts w:eastAsia="Arial Unicode MS"/>
          <w:sz w:val="28"/>
          <w:szCs w:val="28"/>
        </w:rPr>
        <w:t>16 760,0</w:t>
      </w:r>
      <w:r w:rsidRPr="00EB1E59">
        <w:rPr>
          <w:rFonts w:eastAsia="Arial Unicode MS"/>
          <w:sz w:val="28"/>
          <w:szCs w:val="28"/>
        </w:rPr>
        <w:t xml:space="preserve"> тыс. рублей, средства федерального бюджета – 1</w:t>
      </w:r>
      <w:r>
        <w:rPr>
          <w:rFonts w:eastAsia="Arial Unicode MS"/>
          <w:sz w:val="28"/>
          <w:szCs w:val="28"/>
        </w:rPr>
        <w:t> 425,0</w:t>
      </w:r>
      <w:r w:rsidRPr="00EB1E59">
        <w:rPr>
          <w:rFonts w:eastAsia="Arial Unicode MS"/>
          <w:sz w:val="28"/>
          <w:szCs w:val="28"/>
        </w:rPr>
        <w:t xml:space="preserve"> тыс. рублей, средства бюджета города Ханты-Мансийска – </w:t>
      </w:r>
      <w:r>
        <w:rPr>
          <w:rFonts w:eastAsia="Arial Unicode MS"/>
          <w:sz w:val="28"/>
          <w:szCs w:val="28"/>
        </w:rPr>
        <w:t>957,1</w:t>
      </w:r>
      <w:r w:rsidRPr="00EB1E59">
        <w:rPr>
          <w:rFonts w:eastAsia="Arial Unicode MS"/>
          <w:sz w:val="28"/>
          <w:szCs w:val="28"/>
        </w:rPr>
        <w:t xml:space="preserve"> тыс. рублей.</w:t>
      </w:r>
      <w:r>
        <w:rPr>
          <w:rFonts w:eastAsia="Arial Unicode MS"/>
          <w:sz w:val="28"/>
          <w:szCs w:val="28"/>
        </w:rPr>
        <w:t xml:space="preserve"> </w:t>
      </w:r>
      <w:r w:rsidRPr="00775BD8">
        <w:rPr>
          <w:rFonts w:eastAsia="Arial Unicode MS"/>
          <w:sz w:val="28"/>
          <w:szCs w:val="28"/>
        </w:rPr>
        <w:t xml:space="preserve">Исполнение </w:t>
      </w:r>
      <w:r w:rsidRPr="00775BD8">
        <w:rPr>
          <w:rFonts w:eastAsia="Arial Unicode MS"/>
          <w:sz w:val="28"/>
          <w:szCs w:val="28"/>
        </w:rPr>
        <w:lastRenderedPageBreak/>
        <w:t>по федеральным средствам составило 88,4% - в связи с заявительным характером выплат.</w:t>
      </w:r>
    </w:p>
    <w:p w:rsidR="00F20611" w:rsidRDefault="00F20611" w:rsidP="00F20611">
      <w:pPr>
        <w:spacing w:after="0"/>
        <w:ind w:right="-2" w:firstLine="708"/>
        <w:jc w:val="both"/>
        <w:rPr>
          <w:rFonts w:eastAsia="Arial Unicode MS"/>
          <w:sz w:val="28"/>
          <w:szCs w:val="28"/>
        </w:rPr>
      </w:pPr>
      <w:r>
        <w:rPr>
          <w:rFonts w:eastAsia="Arial Unicode MS"/>
          <w:sz w:val="28"/>
          <w:szCs w:val="28"/>
        </w:rPr>
        <w:t xml:space="preserve">3. </w:t>
      </w:r>
      <w:r w:rsidRPr="0082364E">
        <w:rPr>
          <w:rFonts w:eastAsia="Arial Unicode MS"/>
          <w:sz w:val="28"/>
          <w:szCs w:val="28"/>
        </w:rPr>
        <w:t xml:space="preserve">Основное мероприятие </w:t>
      </w:r>
      <w:r>
        <w:rPr>
          <w:rFonts w:eastAsia="Arial Unicode MS"/>
          <w:sz w:val="28"/>
          <w:szCs w:val="28"/>
        </w:rPr>
        <w:t>«</w:t>
      </w:r>
      <w:r w:rsidRPr="00A914F0">
        <w:rPr>
          <w:rFonts w:eastAsia="Arial Unicode MS"/>
          <w:sz w:val="28"/>
          <w:szCs w:val="28"/>
        </w:rPr>
        <w:t>Администрирование переданного отдельного государственного полномочия для обеспечения жилыми помещениями отдельных категорий граждан, определенных</w:t>
      </w:r>
      <w:r>
        <w:rPr>
          <w:rFonts w:eastAsia="Arial Unicode MS"/>
          <w:sz w:val="28"/>
          <w:szCs w:val="28"/>
        </w:rPr>
        <w:t xml:space="preserve"> федеральным законодательством»</w:t>
      </w:r>
    </w:p>
    <w:p w:rsidR="00F20611" w:rsidRDefault="00F20611" w:rsidP="00F20611">
      <w:pPr>
        <w:spacing w:after="0"/>
        <w:ind w:right="-2" w:firstLine="708"/>
        <w:jc w:val="both"/>
        <w:rPr>
          <w:rFonts w:eastAsia="Arial Unicode MS"/>
          <w:sz w:val="28"/>
          <w:szCs w:val="28"/>
        </w:rPr>
      </w:pPr>
      <w:r>
        <w:rPr>
          <w:rFonts w:eastAsia="Arial Unicode MS"/>
          <w:sz w:val="28"/>
          <w:szCs w:val="28"/>
        </w:rPr>
        <w:t>- р</w:t>
      </w:r>
      <w:r w:rsidRPr="0020595A">
        <w:rPr>
          <w:rFonts w:eastAsia="Arial Unicode MS"/>
          <w:sz w:val="28"/>
          <w:szCs w:val="28"/>
        </w:rPr>
        <w:t>еализаци</w:t>
      </w:r>
      <w:r>
        <w:rPr>
          <w:rFonts w:eastAsia="Arial Unicode MS"/>
          <w:sz w:val="28"/>
          <w:szCs w:val="28"/>
        </w:rPr>
        <w:t>я</w:t>
      </w:r>
      <w:r w:rsidRPr="0020595A">
        <w:rPr>
          <w:rFonts w:eastAsia="Arial Unicode MS"/>
          <w:sz w:val="28"/>
          <w:szCs w:val="28"/>
        </w:rPr>
        <w:t xml:space="preserve"> полномочий, указанных в пунктах 3.1, 3.2 статьи 2 Закона Ханты-Мансийского автономного округа – Югры от 31 марта 2009 года № 36-оз </w:t>
      </w:r>
      <w:r>
        <w:rPr>
          <w:rFonts w:eastAsia="Arial Unicode MS"/>
          <w:sz w:val="28"/>
          <w:szCs w:val="28"/>
        </w:rPr>
        <w:t>«</w:t>
      </w:r>
      <w:r w:rsidRPr="0020595A">
        <w:rPr>
          <w:rFonts w:eastAsia="Arial Unicode MS"/>
          <w:sz w:val="28"/>
          <w:szCs w:val="28"/>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Pr>
          <w:rFonts w:eastAsia="Arial Unicode MS"/>
          <w:sz w:val="28"/>
          <w:szCs w:val="28"/>
        </w:rPr>
        <w:t xml:space="preserve">» в сумме 28,7 тыс. рублей – средства бюджета автономного округа. </w:t>
      </w:r>
    </w:p>
    <w:p w:rsidR="00F20611" w:rsidRDefault="00F20611" w:rsidP="00F20611">
      <w:pPr>
        <w:spacing w:after="0"/>
        <w:ind w:right="-2" w:firstLine="708"/>
        <w:jc w:val="both"/>
        <w:rPr>
          <w:rFonts w:eastAsia="Arial Unicode MS"/>
          <w:sz w:val="28"/>
          <w:szCs w:val="28"/>
        </w:rPr>
      </w:pPr>
      <w:r>
        <w:rPr>
          <w:rFonts w:eastAsia="Arial Unicode MS"/>
          <w:sz w:val="28"/>
          <w:szCs w:val="28"/>
        </w:rPr>
        <w:t xml:space="preserve">Общий объем бюджетных инвестиций в объекты муниципальной собственности по муниципальной программе составил 1 055 060,5 тыс. рублей, </w:t>
      </w:r>
      <w:r w:rsidRPr="0029770A">
        <w:rPr>
          <w:rFonts w:eastAsia="Arial Unicode MS"/>
          <w:sz w:val="28"/>
          <w:szCs w:val="28"/>
        </w:rPr>
        <w:t xml:space="preserve">в том числе средства окружного бюджета – </w:t>
      </w:r>
      <w:r>
        <w:rPr>
          <w:rFonts w:eastAsia="Arial Unicode MS"/>
          <w:sz w:val="28"/>
          <w:szCs w:val="28"/>
        </w:rPr>
        <w:t>874 164,4</w:t>
      </w:r>
      <w:r w:rsidRPr="0029770A">
        <w:rPr>
          <w:rFonts w:eastAsia="Arial Unicode MS"/>
          <w:sz w:val="28"/>
          <w:szCs w:val="28"/>
        </w:rPr>
        <w:t xml:space="preserve"> тыс. рублей, средства бюджета города Ханты-Мансийска – </w:t>
      </w:r>
      <w:r>
        <w:rPr>
          <w:rFonts w:eastAsia="Arial Unicode MS"/>
          <w:sz w:val="28"/>
          <w:szCs w:val="28"/>
        </w:rPr>
        <w:t>180 896,1</w:t>
      </w:r>
      <w:r w:rsidRPr="0029770A">
        <w:rPr>
          <w:rFonts w:eastAsia="Arial Unicode MS"/>
          <w:sz w:val="28"/>
          <w:szCs w:val="28"/>
        </w:rPr>
        <w:t xml:space="preserve"> тыс. рублей</w:t>
      </w:r>
      <w:r>
        <w:rPr>
          <w:rFonts w:eastAsia="Arial Unicode MS"/>
          <w:sz w:val="28"/>
          <w:szCs w:val="28"/>
        </w:rPr>
        <w:t>. Указанные средства направлены на реализацию полномочий в области жилищных отношений.</w:t>
      </w:r>
    </w:p>
    <w:p w:rsidR="00F20611" w:rsidRPr="00D92B40" w:rsidRDefault="00F20611" w:rsidP="00F07DD4">
      <w:pPr>
        <w:spacing w:after="0"/>
        <w:ind w:firstLine="709"/>
        <w:jc w:val="both"/>
        <w:rPr>
          <w:rFonts w:eastAsia="Times New Roman"/>
          <w:bCs/>
          <w:sz w:val="28"/>
          <w:szCs w:val="28"/>
          <w:highlight w:val="yellow"/>
        </w:rPr>
      </w:pPr>
      <w:bookmarkStart w:id="4" w:name="_GoBack"/>
      <w:bookmarkEnd w:id="4"/>
    </w:p>
    <w:sectPr w:rsidR="00F20611" w:rsidRPr="00D92B40"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0E" w:rsidRDefault="00A16D0E" w:rsidP="00FF5332">
      <w:pPr>
        <w:spacing w:after="0" w:line="240" w:lineRule="auto"/>
      </w:pPr>
      <w:r>
        <w:separator/>
      </w:r>
    </w:p>
  </w:endnote>
  <w:endnote w:type="continuationSeparator" w:id="0">
    <w:p w:rsidR="00A16D0E" w:rsidRDefault="00A16D0E"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0E" w:rsidRDefault="00A16D0E" w:rsidP="00FF5332">
      <w:pPr>
        <w:spacing w:after="0" w:line="240" w:lineRule="auto"/>
      </w:pPr>
      <w:r>
        <w:separator/>
      </w:r>
    </w:p>
  </w:footnote>
  <w:footnote w:type="continuationSeparator" w:id="0">
    <w:p w:rsidR="00A16D0E" w:rsidRDefault="00A16D0E"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16D0E"/>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766"/>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C54D3-A14C-4B43-8970-86A2CA86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2025-04-03T06:25:00Z</dcterms:created>
  <dcterms:modified xsi:type="dcterms:W3CDTF">2025-04-03T06:25:00Z</dcterms:modified>
</cp:coreProperties>
</file>