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Pr="00AE4AB3" w:rsidRDefault="005E6A14" w:rsidP="00DA6FA2">
      <w:pPr>
        <w:pStyle w:val="1"/>
      </w:pPr>
      <w:bookmarkStart w:id="0" w:name="_Toc508869948"/>
      <w:bookmarkStart w:id="1" w:name="_Toc509924552"/>
      <w:bookmarkStart w:id="2" w:name="_Toc3795539"/>
      <w:bookmarkStart w:id="3" w:name="_Toc4056101"/>
      <w:bookmarkStart w:id="4" w:name="_Toc508869933"/>
      <w:bookmarkStart w:id="5" w:name="_Toc509924537"/>
      <w:bookmarkStart w:id="6" w:name="_Toc3795524"/>
      <w:bookmarkStart w:id="7" w:name="_Toc4056086"/>
      <w:bookmarkStart w:id="8" w:name="_Toc98506075"/>
      <w:r w:rsidRPr="00AE4AB3">
        <w:t>Муниципальная программа «Развитие</w:t>
      </w:r>
      <w:r>
        <w:t xml:space="preserve"> </w:t>
      </w:r>
      <w:r w:rsidRPr="00AE4AB3">
        <w:t>жилищно-коммунального комплекса и повышение энергетической эффективности в городе Ханты-Мансийске</w:t>
      </w:r>
      <w:bookmarkEnd w:id="4"/>
      <w:bookmarkEnd w:id="5"/>
      <w:r w:rsidRPr="00AE4AB3">
        <w:t>»</w:t>
      </w:r>
      <w:bookmarkEnd w:id="6"/>
      <w:bookmarkEnd w:id="7"/>
      <w:bookmarkEnd w:id="8"/>
    </w:p>
    <w:p w:rsidR="005E6A14" w:rsidRPr="00D673C2" w:rsidRDefault="005E6A14" w:rsidP="005E6A14">
      <w:pPr>
        <w:pStyle w:val="ConsPlusTitle"/>
        <w:spacing w:line="276" w:lineRule="auto"/>
        <w:ind w:firstLine="708"/>
        <w:jc w:val="both"/>
        <w:rPr>
          <w:rFonts w:ascii="Times New Roman" w:hAnsi="Times New Roman" w:cs="Times New Roman"/>
          <w:b w:val="0"/>
          <w:sz w:val="28"/>
          <w:szCs w:val="28"/>
        </w:rPr>
      </w:pPr>
    </w:p>
    <w:p w:rsidR="005E6A14" w:rsidRPr="004F34FC" w:rsidRDefault="005E6A14" w:rsidP="005E6A14">
      <w:pPr>
        <w:pStyle w:val="ConsPlusTitle"/>
        <w:spacing w:line="276" w:lineRule="auto"/>
        <w:ind w:firstLine="708"/>
        <w:jc w:val="both"/>
        <w:rPr>
          <w:rFonts w:ascii="Times New Roman" w:hAnsi="Times New Roman" w:cs="Times New Roman"/>
          <w:b w:val="0"/>
          <w:sz w:val="28"/>
          <w:szCs w:val="28"/>
        </w:rPr>
      </w:pPr>
      <w:r w:rsidRPr="004F34FC">
        <w:rPr>
          <w:rFonts w:ascii="Times New Roman" w:hAnsi="Times New Roman" w:cs="Times New Roman"/>
          <w:b w:val="0"/>
          <w:sz w:val="28"/>
          <w:szCs w:val="28"/>
        </w:rPr>
        <w:t xml:space="preserve">Муниципальная программа утверждена постановлением Администрации города Ханты-Мансийска от 17.10.2013 № 1325 «Об утверждении муниципальной программы «Развитие жилищно-коммунального комплекса и повышение энергетической эффективности в городе Ханты-Мансийске». </w:t>
      </w:r>
    </w:p>
    <w:p w:rsidR="005E6A14" w:rsidRPr="004F34FC" w:rsidRDefault="005E6A14" w:rsidP="005E6A14">
      <w:pPr>
        <w:spacing w:after="0"/>
        <w:ind w:firstLine="709"/>
        <w:jc w:val="both"/>
        <w:rPr>
          <w:sz w:val="28"/>
          <w:szCs w:val="28"/>
        </w:rPr>
      </w:pPr>
      <w:r w:rsidRPr="004F34FC">
        <w:rPr>
          <w:sz w:val="28"/>
          <w:szCs w:val="28"/>
        </w:rPr>
        <w:t>Разработчиком и координатором муниципальной программы является Департамент городского хозяйства Администрации города Ханты-Мансийска</w:t>
      </w:r>
    </w:p>
    <w:p w:rsidR="005E6A14" w:rsidRPr="004F34FC" w:rsidRDefault="005E6A14" w:rsidP="005E6A14">
      <w:pPr>
        <w:pStyle w:val="ConsPlusNormal"/>
        <w:spacing w:line="276" w:lineRule="auto"/>
        <w:ind w:firstLine="708"/>
        <w:jc w:val="both"/>
        <w:rPr>
          <w:rFonts w:ascii="Times New Roman" w:hAnsi="Times New Roman" w:cs="Times New Roman"/>
          <w:sz w:val="28"/>
          <w:szCs w:val="28"/>
        </w:rPr>
      </w:pPr>
      <w:r w:rsidRPr="004F34FC">
        <w:rPr>
          <w:rFonts w:ascii="Times New Roman" w:hAnsi="Times New Roman" w:cs="Times New Roman"/>
          <w:sz w:val="28"/>
          <w:szCs w:val="28"/>
        </w:rPr>
        <w:t>Целью муниципальной программы являются:</w:t>
      </w:r>
    </w:p>
    <w:p w:rsidR="005E6A14" w:rsidRPr="004F34FC" w:rsidRDefault="005E6A14" w:rsidP="005E6A14">
      <w:pPr>
        <w:pStyle w:val="ConsPlusNormal"/>
        <w:spacing w:line="276" w:lineRule="auto"/>
        <w:ind w:firstLine="708"/>
        <w:jc w:val="both"/>
        <w:rPr>
          <w:rFonts w:ascii="Times New Roman" w:hAnsi="Times New Roman" w:cs="Times New Roman"/>
          <w:sz w:val="28"/>
          <w:szCs w:val="28"/>
        </w:rPr>
      </w:pPr>
      <w:r w:rsidRPr="004F34FC">
        <w:rPr>
          <w:rFonts w:ascii="Times New Roman" w:hAnsi="Times New Roman" w:cs="Times New Roman"/>
          <w:sz w:val="28"/>
          <w:szCs w:val="28"/>
        </w:rPr>
        <w:t>1. Повышение надежности и качества предоставления жилищно-коммунальных услуг.</w:t>
      </w:r>
    </w:p>
    <w:p w:rsidR="005E6A14" w:rsidRPr="004F34FC" w:rsidRDefault="005E6A14" w:rsidP="005E6A14">
      <w:pPr>
        <w:pStyle w:val="ConsPlusNormal"/>
        <w:spacing w:line="276" w:lineRule="auto"/>
        <w:ind w:firstLine="708"/>
        <w:jc w:val="both"/>
        <w:rPr>
          <w:rFonts w:ascii="Times New Roman" w:hAnsi="Times New Roman" w:cs="Times New Roman"/>
          <w:sz w:val="28"/>
          <w:szCs w:val="28"/>
        </w:rPr>
      </w:pPr>
      <w:r w:rsidRPr="004F34FC">
        <w:rPr>
          <w:rFonts w:ascii="Times New Roman" w:hAnsi="Times New Roman" w:cs="Times New Roman"/>
          <w:sz w:val="28"/>
          <w:szCs w:val="28"/>
        </w:rPr>
        <w:t xml:space="preserve">2. Развитие энергосбережения и повышение </w:t>
      </w:r>
      <w:proofErr w:type="spellStart"/>
      <w:r w:rsidRPr="004F34FC">
        <w:rPr>
          <w:rFonts w:ascii="Times New Roman" w:hAnsi="Times New Roman" w:cs="Times New Roman"/>
          <w:sz w:val="28"/>
          <w:szCs w:val="28"/>
        </w:rPr>
        <w:t>энергоэффективности</w:t>
      </w:r>
      <w:proofErr w:type="spellEnd"/>
      <w:r w:rsidRPr="004F34FC">
        <w:rPr>
          <w:rFonts w:ascii="Times New Roman" w:hAnsi="Times New Roman" w:cs="Times New Roman"/>
          <w:sz w:val="28"/>
          <w:szCs w:val="28"/>
        </w:rPr>
        <w:t>.</w:t>
      </w:r>
    </w:p>
    <w:p w:rsidR="005E6A14" w:rsidRPr="004F34FC" w:rsidRDefault="005E6A14" w:rsidP="005E6A14">
      <w:pPr>
        <w:pStyle w:val="ConsPlusNormal"/>
        <w:spacing w:line="276" w:lineRule="auto"/>
        <w:ind w:firstLine="708"/>
        <w:jc w:val="both"/>
        <w:rPr>
          <w:rFonts w:ascii="Times New Roman" w:hAnsi="Times New Roman" w:cs="Times New Roman"/>
          <w:sz w:val="28"/>
          <w:szCs w:val="28"/>
        </w:rPr>
      </w:pPr>
      <w:r w:rsidRPr="004F34FC">
        <w:rPr>
          <w:rFonts w:ascii="Times New Roman" w:hAnsi="Times New Roman" w:cs="Times New Roman"/>
          <w:sz w:val="28"/>
          <w:szCs w:val="28"/>
        </w:rPr>
        <w:t>3.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p w:rsidR="005E6A14" w:rsidRPr="004F34FC" w:rsidRDefault="005E6A14" w:rsidP="005E6A14">
      <w:pPr>
        <w:pStyle w:val="ConsPlusNormal"/>
        <w:spacing w:line="276" w:lineRule="auto"/>
        <w:jc w:val="both"/>
        <w:rPr>
          <w:rFonts w:ascii="Times New Roman" w:hAnsi="Times New Roman" w:cs="Times New Roman"/>
          <w:sz w:val="28"/>
          <w:szCs w:val="28"/>
        </w:rPr>
      </w:pPr>
      <w:r w:rsidRPr="004F34FC">
        <w:rPr>
          <w:rFonts w:ascii="Times New Roman" w:hAnsi="Times New Roman" w:cs="Times New Roman"/>
          <w:sz w:val="28"/>
          <w:szCs w:val="28"/>
        </w:rPr>
        <w:t>Задачи программы:</w:t>
      </w:r>
    </w:p>
    <w:p w:rsidR="005E6A14" w:rsidRPr="004F34FC" w:rsidRDefault="005E6A14" w:rsidP="005E6A14">
      <w:pPr>
        <w:pStyle w:val="ConsPlusNormal"/>
        <w:spacing w:line="276" w:lineRule="auto"/>
        <w:ind w:firstLine="708"/>
        <w:jc w:val="both"/>
        <w:rPr>
          <w:rFonts w:ascii="Times New Roman" w:hAnsi="Times New Roman" w:cs="Times New Roman"/>
          <w:sz w:val="28"/>
          <w:szCs w:val="28"/>
        </w:rPr>
      </w:pPr>
      <w:r w:rsidRPr="004F34FC">
        <w:rPr>
          <w:rFonts w:ascii="Times New Roman" w:hAnsi="Times New Roman" w:cs="Times New Roman"/>
          <w:sz w:val="28"/>
          <w:szCs w:val="28"/>
        </w:rPr>
        <w:t>1. Развитие и модернизация коммунальной инфраструктуры.</w:t>
      </w:r>
    </w:p>
    <w:p w:rsidR="005E6A14" w:rsidRPr="004F34FC" w:rsidRDefault="005E6A14" w:rsidP="005E6A14">
      <w:pPr>
        <w:pStyle w:val="ConsPlusNormal"/>
        <w:tabs>
          <w:tab w:val="left" w:pos="993"/>
        </w:tabs>
        <w:spacing w:line="276" w:lineRule="auto"/>
        <w:ind w:firstLine="708"/>
        <w:jc w:val="both"/>
        <w:rPr>
          <w:rFonts w:ascii="Times New Roman" w:hAnsi="Times New Roman" w:cs="Times New Roman"/>
          <w:sz w:val="28"/>
          <w:szCs w:val="28"/>
        </w:rPr>
      </w:pPr>
      <w:r w:rsidRPr="004F34FC">
        <w:rPr>
          <w:rFonts w:ascii="Times New Roman" w:hAnsi="Times New Roman" w:cs="Times New Roman"/>
          <w:sz w:val="28"/>
          <w:szCs w:val="28"/>
        </w:rPr>
        <w:t xml:space="preserve">2. Повышение </w:t>
      </w:r>
      <w:proofErr w:type="spellStart"/>
      <w:r w:rsidRPr="004F34FC">
        <w:rPr>
          <w:rFonts w:ascii="Times New Roman" w:hAnsi="Times New Roman" w:cs="Times New Roman"/>
          <w:sz w:val="28"/>
          <w:szCs w:val="28"/>
        </w:rPr>
        <w:t>энергоэффективности</w:t>
      </w:r>
      <w:proofErr w:type="spellEnd"/>
      <w:r w:rsidRPr="004F34FC">
        <w:rPr>
          <w:rFonts w:ascii="Times New Roman" w:hAnsi="Times New Roman" w:cs="Times New Roman"/>
          <w:sz w:val="28"/>
          <w:szCs w:val="28"/>
        </w:rPr>
        <w:t xml:space="preserve"> при производстве и передаче энергетических ресурсов.</w:t>
      </w:r>
    </w:p>
    <w:p w:rsidR="005E6A14" w:rsidRPr="004F34FC" w:rsidRDefault="005E6A14" w:rsidP="005E6A14">
      <w:pPr>
        <w:pStyle w:val="ConsPlusNormal"/>
        <w:spacing w:line="276" w:lineRule="auto"/>
        <w:ind w:firstLine="708"/>
        <w:jc w:val="both"/>
        <w:rPr>
          <w:rFonts w:ascii="Times New Roman" w:hAnsi="Times New Roman" w:cs="Times New Roman"/>
          <w:sz w:val="28"/>
          <w:szCs w:val="28"/>
        </w:rPr>
      </w:pPr>
      <w:r w:rsidRPr="004F34FC">
        <w:rPr>
          <w:rFonts w:ascii="Times New Roman" w:hAnsi="Times New Roman" w:cs="Times New Roman"/>
          <w:sz w:val="28"/>
          <w:szCs w:val="28"/>
        </w:rPr>
        <w:t>3.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w:t>
      </w:r>
    </w:p>
    <w:p w:rsidR="005E6A14" w:rsidRPr="004F34FC" w:rsidRDefault="005E6A14" w:rsidP="005E6A14">
      <w:pPr>
        <w:pStyle w:val="ConsPlusNonformat"/>
        <w:spacing w:line="276" w:lineRule="auto"/>
        <w:ind w:firstLine="708"/>
        <w:jc w:val="both"/>
        <w:rPr>
          <w:rFonts w:ascii="Times New Roman" w:hAnsi="Times New Roman" w:cs="Times New Roman"/>
          <w:sz w:val="28"/>
          <w:szCs w:val="28"/>
        </w:rPr>
      </w:pPr>
      <w:r w:rsidRPr="004F34FC">
        <w:rPr>
          <w:rFonts w:ascii="Times New Roman" w:hAnsi="Times New Roman" w:cs="Times New Roman"/>
          <w:sz w:val="28"/>
          <w:szCs w:val="28"/>
        </w:rPr>
        <w:t>4.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Строительство новых сооружений системы водоотведения.</w:t>
      </w:r>
    </w:p>
    <w:p w:rsidR="005E6A14" w:rsidRPr="004F34FC" w:rsidRDefault="005E6A14" w:rsidP="005E6A14">
      <w:pPr>
        <w:pStyle w:val="ConsPlusTitle"/>
        <w:spacing w:line="276" w:lineRule="auto"/>
        <w:ind w:firstLine="708"/>
        <w:jc w:val="both"/>
        <w:rPr>
          <w:rFonts w:ascii="Times New Roman" w:hAnsi="Times New Roman" w:cs="Times New Roman"/>
          <w:b w:val="0"/>
          <w:bCs w:val="0"/>
          <w:sz w:val="28"/>
          <w:szCs w:val="28"/>
        </w:rPr>
      </w:pPr>
      <w:r w:rsidRPr="004F34FC">
        <w:rPr>
          <w:rFonts w:ascii="Times New Roman" w:hAnsi="Times New Roman" w:cs="Times New Roman"/>
          <w:b w:val="0"/>
          <w:bCs w:val="0"/>
          <w:sz w:val="28"/>
          <w:szCs w:val="28"/>
        </w:rPr>
        <w:t xml:space="preserve">На финансирование муниципальной программы в 2021 году предусмотрены средства бюджета города Ханты-Мансийска в объеме 95 596,7 тыс. рублей.  </w:t>
      </w:r>
    </w:p>
    <w:p w:rsidR="005E6A14" w:rsidRPr="004F34FC" w:rsidRDefault="005E6A14" w:rsidP="005E6A14">
      <w:pPr>
        <w:pStyle w:val="ConsPlusTitle"/>
        <w:spacing w:line="276" w:lineRule="auto"/>
        <w:ind w:firstLine="708"/>
        <w:jc w:val="both"/>
        <w:rPr>
          <w:rFonts w:ascii="Times New Roman" w:hAnsi="Times New Roman" w:cs="Times New Roman"/>
          <w:b w:val="0"/>
          <w:bCs w:val="0"/>
          <w:sz w:val="28"/>
          <w:szCs w:val="28"/>
        </w:rPr>
      </w:pPr>
      <w:r w:rsidRPr="004F34FC">
        <w:rPr>
          <w:rFonts w:ascii="Times New Roman" w:hAnsi="Times New Roman" w:cs="Times New Roman"/>
          <w:b w:val="0"/>
          <w:bCs w:val="0"/>
          <w:sz w:val="28"/>
          <w:szCs w:val="28"/>
        </w:rPr>
        <w:t xml:space="preserve">Исполнение </w:t>
      </w:r>
      <w:r w:rsidRPr="004F34FC">
        <w:rPr>
          <w:rFonts w:ascii="Times New Roman" w:hAnsi="Times New Roman" w:cs="Times New Roman"/>
          <w:b w:val="0"/>
          <w:sz w:val="28"/>
          <w:szCs w:val="28"/>
        </w:rPr>
        <w:t>муниципальной программы</w:t>
      </w:r>
      <w:r w:rsidRPr="004F34FC">
        <w:rPr>
          <w:rFonts w:ascii="Times New Roman" w:hAnsi="Times New Roman" w:cs="Times New Roman"/>
          <w:b w:val="0"/>
          <w:bCs w:val="0"/>
          <w:sz w:val="28"/>
          <w:szCs w:val="28"/>
        </w:rPr>
        <w:t xml:space="preserve"> на отчетную дату составляет 95 596,7 тыс. рублей или 100 % от годового объема финансирования. </w:t>
      </w:r>
    </w:p>
    <w:p w:rsidR="005E6A14" w:rsidRPr="004F34FC" w:rsidRDefault="005E6A14" w:rsidP="005E6A14">
      <w:pPr>
        <w:pStyle w:val="ConsPlusTitle"/>
        <w:spacing w:line="276" w:lineRule="auto"/>
        <w:ind w:firstLine="708"/>
        <w:jc w:val="right"/>
        <w:rPr>
          <w:rFonts w:ascii="Times New Roman" w:hAnsi="Times New Roman" w:cs="Times New Roman"/>
          <w:b w:val="0"/>
          <w:bCs w:val="0"/>
          <w:sz w:val="24"/>
          <w:szCs w:val="24"/>
        </w:rPr>
      </w:pPr>
    </w:p>
    <w:p w:rsidR="005E6A14" w:rsidRPr="004F34FC" w:rsidRDefault="005E6A14" w:rsidP="005E6A14">
      <w:pPr>
        <w:pStyle w:val="ConsPlusTitle"/>
        <w:spacing w:line="276" w:lineRule="auto"/>
        <w:ind w:firstLine="708"/>
        <w:jc w:val="right"/>
        <w:rPr>
          <w:rFonts w:ascii="Times New Roman" w:hAnsi="Times New Roman" w:cs="Times New Roman"/>
          <w:b w:val="0"/>
          <w:bCs w:val="0"/>
          <w:sz w:val="24"/>
          <w:szCs w:val="24"/>
        </w:rPr>
      </w:pPr>
      <w:r w:rsidRPr="004F34FC">
        <w:rPr>
          <w:rFonts w:ascii="Times New Roman" w:hAnsi="Times New Roman" w:cs="Times New Roman"/>
          <w:b w:val="0"/>
          <w:bCs w:val="0"/>
          <w:sz w:val="24"/>
          <w:szCs w:val="24"/>
        </w:rPr>
        <w:t>Рисунок 3.8.1.</w:t>
      </w:r>
    </w:p>
    <w:p w:rsidR="005E6A14" w:rsidRPr="004F34FC" w:rsidRDefault="005E6A14" w:rsidP="005E6A14">
      <w:pPr>
        <w:pStyle w:val="ConsPlusTitle"/>
        <w:spacing w:line="276" w:lineRule="auto"/>
        <w:ind w:firstLine="709"/>
        <w:jc w:val="center"/>
        <w:rPr>
          <w:rFonts w:ascii="Times New Roman" w:hAnsi="Times New Roman" w:cs="Times New Roman"/>
          <w:sz w:val="28"/>
          <w:szCs w:val="28"/>
        </w:rPr>
      </w:pPr>
      <w:r w:rsidRPr="004F34FC">
        <w:rPr>
          <w:rFonts w:ascii="Times New Roman" w:hAnsi="Times New Roman" w:cs="Times New Roman"/>
          <w:bCs w:val="0"/>
          <w:sz w:val="28"/>
          <w:szCs w:val="28"/>
        </w:rPr>
        <w:lastRenderedPageBreak/>
        <w:t xml:space="preserve">Объёмы ассигнований на реализацию муниципальной программы </w:t>
      </w:r>
      <w:r w:rsidRPr="004F34FC">
        <w:rPr>
          <w:rFonts w:ascii="Times New Roman" w:hAnsi="Times New Roman" w:cs="Times New Roman"/>
          <w:sz w:val="28"/>
          <w:szCs w:val="28"/>
        </w:rPr>
        <w:t>«Развитие жилищно-коммунального комплекса и повышение энергетической эффективности в городе Ханты-Мансийске», тыс. рублей</w:t>
      </w:r>
    </w:p>
    <w:p w:rsidR="005E6A14" w:rsidRPr="004F34FC" w:rsidRDefault="005E6A14" w:rsidP="005E6A14">
      <w:pPr>
        <w:pStyle w:val="ConsPlusTitle"/>
        <w:spacing w:line="276" w:lineRule="auto"/>
        <w:ind w:right="424" w:firstLine="709"/>
        <w:jc w:val="center"/>
        <w:rPr>
          <w:rFonts w:ascii="Times New Roman" w:hAnsi="Times New Roman" w:cs="Times New Roman"/>
          <w:sz w:val="28"/>
          <w:szCs w:val="28"/>
        </w:rPr>
      </w:pPr>
    </w:p>
    <w:p w:rsidR="005E6A14" w:rsidRPr="004F34FC" w:rsidRDefault="005E6A14" w:rsidP="005E6A14">
      <w:pPr>
        <w:pStyle w:val="ConsPlusTitle"/>
        <w:spacing w:line="276" w:lineRule="auto"/>
        <w:ind w:right="424"/>
        <w:jc w:val="center"/>
        <w:rPr>
          <w:rFonts w:ascii="Times New Roman" w:hAnsi="Times New Roman" w:cs="Times New Roman"/>
          <w:bCs w:val="0"/>
          <w:sz w:val="28"/>
          <w:szCs w:val="28"/>
        </w:rPr>
      </w:pPr>
      <w:r w:rsidRPr="004F34FC">
        <w:rPr>
          <w:rFonts w:ascii="Times New Roman" w:hAnsi="Times New Roman" w:cs="Times New Roman"/>
          <w:bCs w:val="0"/>
          <w:noProof/>
          <w:sz w:val="28"/>
          <w:szCs w:val="28"/>
        </w:rPr>
        <w:drawing>
          <wp:inline distT="0" distB="0" distL="0" distR="0" wp14:anchorId="29FF886B" wp14:editId="4B2139C7">
            <wp:extent cx="6120765" cy="15119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1511935"/>
                    </a:xfrm>
                    <a:prstGeom prst="rect">
                      <a:avLst/>
                    </a:prstGeom>
                    <a:noFill/>
                  </pic:spPr>
                </pic:pic>
              </a:graphicData>
            </a:graphic>
          </wp:inline>
        </w:drawing>
      </w:r>
    </w:p>
    <w:p w:rsidR="005E6A14" w:rsidRPr="004F34FC" w:rsidRDefault="005E6A14" w:rsidP="005E6A14">
      <w:pPr>
        <w:pStyle w:val="ConsPlusTitle"/>
        <w:spacing w:line="276" w:lineRule="auto"/>
        <w:ind w:right="424" w:firstLine="708"/>
        <w:jc w:val="right"/>
        <w:rPr>
          <w:rFonts w:ascii="Times New Roman" w:hAnsi="Times New Roman" w:cs="Times New Roman"/>
          <w:b w:val="0"/>
          <w:bCs w:val="0"/>
          <w:sz w:val="24"/>
          <w:szCs w:val="24"/>
        </w:rPr>
      </w:pPr>
    </w:p>
    <w:p w:rsidR="005E6A14" w:rsidRDefault="005E6A14" w:rsidP="005E6A14">
      <w:pPr>
        <w:pStyle w:val="ae"/>
        <w:tabs>
          <w:tab w:val="left" w:pos="0"/>
        </w:tabs>
        <w:suppressAutoHyphens/>
        <w:spacing w:before="0" w:beforeAutospacing="0" w:after="240" w:afterAutospacing="0" w:line="360" w:lineRule="auto"/>
        <w:ind w:right="-2" w:firstLine="709"/>
        <w:jc w:val="left"/>
        <w:rPr>
          <w:sz w:val="28"/>
          <w:szCs w:val="28"/>
        </w:rPr>
      </w:pPr>
      <w:r w:rsidRPr="004F34FC">
        <w:rPr>
          <w:sz w:val="28"/>
          <w:szCs w:val="28"/>
        </w:rPr>
        <w:t>Объемы бюджетных ассигнований распределены следующим образом:</w:t>
      </w:r>
    </w:p>
    <w:p w:rsidR="005E6A14" w:rsidRPr="004F34FC" w:rsidRDefault="005E6A14" w:rsidP="005E6A14">
      <w:pPr>
        <w:spacing w:after="0"/>
        <w:ind w:right="-2"/>
        <w:rPr>
          <w:sz w:val="24"/>
          <w:szCs w:val="24"/>
        </w:rPr>
      </w:pPr>
      <w:r w:rsidRPr="004F34FC">
        <w:rPr>
          <w:sz w:val="24"/>
          <w:szCs w:val="24"/>
        </w:rPr>
        <w:t>Таблица 3.8.1</w:t>
      </w:r>
    </w:p>
    <w:p w:rsidR="005E6A14" w:rsidRPr="004F34FC" w:rsidRDefault="005E6A14" w:rsidP="005E6A14">
      <w:pPr>
        <w:pStyle w:val="ae"/>
        <w:tabs>
          <w:tab w:val="left" w:pos="459"/>
        </w:tabs>
        <w:suppressAutoHyphens/>
        <w:spacing w:before="0" w:beforeAutospacing="0" w:after="0" w:afterAutospacing="0" w:line="276" w:lineRule="auto"/>
        <w:ind w:right="-2"/>
        <w:jc w:val="center"/>
      </w:pPr>
      <w:r w:rsidRPr="004F34FC">
        <w:rPr>
          <w:b/>
          <w:sz w:val="28"/>
          <w:szCs w:val="28"/>
        </w:rPr>
        <w:t xml:space="preserve">Объем бюджетных ассигнований за 2021 год по основному исполнителю и соисполнителям муниципальной программы «Развитие жилищно-коммунального комплекса и повышение энергетической эффективности в городе Ханты-Мансийске» </w:t>
      </w:r>
    </w:p>
    <w:p w:rsidR="005E6A14" w:rsidRPr="004F34FC" w:rsidRDefault="005E6A14" w:rsidP="005E6A14">
      <w:pPr>
        <w:pStyle w:val="ae"/>
        <w:tabs>
          <w:tab w:val="left" w:pos="459"/>
        </w:tabs>
        <w:suppressAutoHyphens/>
        <w:spacing w:before="0" w:beforeAutospacing="0" w:after="0" w:afterAutospacing="0" w:line="276" w:lineRule="auto"/>
        <w:ind w:right="-2"/>
      </w:pPr>
      <w:r w:rsidRPr="004F34FC">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1417"/>
        <w:gridCol w:w="1418"/>
        <w:gridCol w:w="1559"/>
        <w:gridCol w:w="1418"/>
      </w:tblGrid>
      <w:tr w:rsidR="005E6A14" w:rsidRPr="004F34FC" w:rsidTr="005E6A14">
        <w:trPr>
          <w:trHeight w:val="300"/>
        </w:trPr>
        <w:tc>
          <w:tcPr>
            <w:tcW w:w="567" w:type="dxa"/>
            <w:vMerge w:val="restart"/>
            <w:shd w:val="clear" w:color="auto" w:fill="auto"/>
          </w:tcPr>
          <w:p w:rsidR="005E6A14" w:rsidRPr="004F34FC" w:rsidRDefault="005E6A14" w:rsidP="005E6A14">
            <w:pPr>
              <w:spacing w:after="0" w:line="240" w:lineRule="auto"/>
              <w:jc w:val="center"/>
              <w:rPr>
                <w:b/>
                <w:bCs/>
                <w:sz w:val="20"/>
                <w:szCs w:val="20"/>
              </w:rPr>
            </w:pPr>
            <w:r w:rsidRPr="004F34FC">
              <w:rPr>
                <w:bCs/>
                <w:sz w:val="20"/>
                <w:szCs w:val="20"/>
              </w:rPr>
              <w:t>№ п/п</w:t>
            </w:r>
          </w:p>
        </w:tc>
        <w:tc>
          <w:tcPr>
            <w:tcW w:w="2977" w:type="dxa"/>
            <w:vMerge w:val="restart"/>
            <w:shd w:val="clear" w:color="auto" w:fill="auto"/>
            <w:hideMark/>
          </w:tcPr>
          <w:p w:rsidR="005E6A14" w:rsidRPr="004F34FC" w:rsidRDefault="005E6A14" w:rsidP="005E6A14">
            <w:pPr>
              <w:spacing w:after="0" w:line="240" w:lineRule="auto"/>
              <w:jc w:val="center"/>
              <w:rPr>
                <w:b/>
                <w:bCs/>
                <w:sz w:val="20"/>
                <w:szCs w:val="20"/>
              </w:rPr>
            </w:pPr>
            <w:r w:rsidRPr="004F34FC">
              <w:rPr>
                <w:bCs/>
                <w:sz w:val="20"/>
                <w:szCs w:val="20"/>
              </w:rPr>
              <w:t>Наименование основного исполнителя, соисполнителя муниципальной программы</w:t>
            </w:r>
          </w:p>
        </w:tc>
        <w:tc>
          <w:tcPr>
            <w:tcW w:w="1417" w:type="dxa"/>
            <w:vMerge w:val="restart"/>
            <w:shd w:val="clear" w:color="auto" w:fill="auto"/>
            <w:noWrap/>
            <w:hideMark/>
          </w:tcPr>
          <w:p w:rsidR="005E6A14" w:rsidRPr="004F34FC" w:rsidRDefault="005E6A14" w:rsidP="005E6A14">
            <w:pPr>
              <w:spacing w:after="0" w:line="240" w:lineRule="auto"/>
              <w:jc w:val="center"/>
              <w:rPr>
                <w:b/>
                <w:bCs/>
                <w:sz w:val="20"/>
                <w:szCs w:val="20"/>
              </w:rPr>
            </w:pPr>
            <w:r w:rsidRPr="004F34FC">
              <w:rPr>
                <w:bCs/>
                <w:sz w:val="20"/>
                <w:szCs w:val="20"/>
              </w:rPr>
              <w:t>2020 год (отчет)</w:t>
            </w:r>
          </w:p>
        </w:tc>
        <w:tc>
          <w:tcPr>
            <w:tcW w:w="4395" w:type="dxa"/>
            <w:gridSpan w:val="3"/>
            <w:shd w:val="clear" w:color="auto" w:fill="auto"/>
            <w:noWrap/>
            <w:hideMark/>
          </w:tcPr>
          <w:p w:rsidR="005E6A14" w:rsidRPr="004F34FC" w:rsidRDefault="005E6A14" w:rsidP="005E6A14">
            <w:pPr>
              <w:spacing w:after="0" w:line="240" w:lineRule="auto"/>
              <w:jc w:val="center"/>
              <w:rPr>
                <w:b/>
                <w:bCs/>
                <w:sz w:val="20"/>
                <w:szCs w:val="20"/>
              </w:rPr>
            </w:pPr>
            <w:r w:rsidRPr="004F34FC">
              <w:rPr>
                <w:bCs/>
                <w:sz w:val="20"/>
                <w:szCs w:val="20"/>
              </w:rPr>
              <w:t xml:space="preserve">2021 год </w:t>
            </w:r>
          </w:p>
        </w:tc>
      </w:tr>
      <w:tr w:rsidR="005E6A14" w:rsidRPr="004F34FC" w:rsidTr="005E6A14">
        <w:trPr>
          <w:trHeight w:val="499"/>
        </w:trPr>
        <w:tc>
          <w:tcPr>
            <w:tcW w:w="567" w:type="dxa"/>
            <w:vMerge/>
            <w:shd w:val="clear" w:color="auto" w:fill="auto"/>
          </w:tcPr>
          <w:p w:rsidR="005E6A14" w:rsidRPr="004F34FC" w:rsidRDefault="005E6A14" w:rsidP="005E6A14">
            <w:pPr>
              <w:spacing w:after="0" w:line="240" w:lineRule="auto"/>
              <w:rPr>
                <w:b/>
                <w:bCs/>
                <w:sz w:val="20"/>
                <w:szCs w:val="20"/>
              </w:rPr>
            </w:pPr>
          </w:p>
        </w:tc>
        <w:tc>
          <w:tcPr>
            <w:tcW w:w="2977" w:type="dxa"/>
            <w:vMerge/>
            <w:shd w:val="clear" w:color="auto" w:fill="auto"/>
            <w:hideMark/>
          </w:tcPr>
          <w:p w:rsidR="005E6A14" w:rsidRPr="004F34FC" w:rsidRDefault="005E6A14" w:rsidP="005E6A14">
            <w:pPr>
              <w:spacing w:after="0" w:line="240" w:lineRule="auto"/>
              <w:rPr>
                <w:sz w:val="20"/>
                <w:szCs w:val="20"/>
              </w:rPr>
            </w:pPr>
          </w:p>
        </w:tc>
        <w:tc>
          <w:tcPr>
            <w:tcW w:w="1417" w:type="dxa"/>
            <w:vMerge/>
            <w:shd w:val="clear" w:color="auto" w:fill="auto"/>
            <w:hideMark/>
          </w:tcPr>
          <w:p w:rsidR="005E6A14" w:rsidRPr="004F34FC" w:rsidRDefault="005E6A14" w:rsidP="005E6A14">
            <w:pPr>
              <w:spacing w:after="0" w:line="240" w:lineRule="auto"/>
              <w:rPr>
                <w:sz w:val="20"/>
                <w:szCs w:val="20"/>
              </w:rPr>
            </w:pPr>
          </w:p>
        </w:tc>
        <w:tc>
          <w:tcPr>
            <w:tcW w:w="1418"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Уточненный план</w:t>
            </w:r>
          </w:p>
        </w:tc>
        <w:tc>
          <w:tcPr>
            <w:tcW w:w="1559"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Исполнение</w:t>
            </w:r>
          </w:p>
        </w:tc>
        <w:tc>
          <w:tcPr>
            <w:tcW w:w="1418"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 исполнения</w:t>
            </w:r>
          </w:p>
        </w:tc>
      </w:tr>
      <w:tr w:rsidR="005E6A14" w:rsidRPr="004F34FC" w:rsidTr="005E6A14">
        <w:trPr>
          <w:trHeight w:val="300"/>
        </w:trPr>
        <w:tc>
          <w:tcPr>
            <w:tcW w:w="567" w:type="dxa"/>
            <w:shd w:val="clear" w:color="auto" w:fill="auto"/>
          </w:tcPr>
          <w:p w:rsidR="005E6A14" w:rsidRPr="004F34FC" w:rsidRDefault="005E6A14" w:rsidP="005E6A14">
            <w:pPr>
              <w:spacing w:after="0" w:line="240" w:lineRule="auto"/>
              <w:rPr>
                <w:b/>
                <w:bCs/>
                <w:sz w:val="20"/>
                <w:szCs w:val="20"/>
              </w:rPr>
            </w:pPr>
          </w:p>
        </w:tc>
        <w:tc>
          <w:tcPr>
            <w:tcW w:w="2977" w:type="dxa"/>
            <w:shd w:val="clear" w:color="auto" w:fill="auto"/>
            <w:hideMark/>
          </w:tcPr>
          <w:p w:rsidR="005E6A14" w:rsidRPr="004F34FC" w:rsidRDefault="005E6A14" w:rsidP="005E6A14">
            <w:pPr>
              <w:spacing w:after="0" w:line="240" w:lineRule="auto"/>
              <w:jc w:val="left"/>
              <w:rPr>
                <w:sz w:val="20"/>
                <w:szCs w:val="20"/>
              </w:rPr>
            </w:pPr>
            <w:r w:rsidRPr="004F34FC">
              <w:rPr>
                <w:sz w:val="20"/>
                <w:szCs w:val="20"/>
              </w:rPr>
              <w:t>Всего по муниципальной программе, в том числе:</w:t>
            </w:r>
          </w:p>
        </w:tc>
        <w:tc>
          <w:tcPr>
            <w:tcW w:w="1417" w:type="dxa"/>
            <w:shd w:val="clear" w:color="auto" w:fill="auto"/>
            <w:hideMark/>
          </w:tcPr>
          <w:p w:rsidR="005E6A14" w:rsidRPr="004F34FC" w:rsidRDefault="005E6A14" w:rsidP="005E6A14">
            <w:pPr>
              <w:jc w:val="center"/>
              <w:rPr>
                <w:sz w:val="20"/>
                <w:szCs w:val="20"/>
              </w:rPr>
            </w:pPr>
            <w:r w:rsidRPr="004F34FC">
              <w:rPr>
                <w:sz w:val="20"/>
                <w:szCs w:val="20"/>
              </w:rPr>
              <w:t>72 507,1</w:t>
            </w:r>
          </w:p>
        </w:tc>
        <w:tc>
          <w:tcPr>
            <w:tcW w:w="1418" w:type="dxa"/>
            <w:shd w:val="clear" w:color="auto" w:fill="auto"/>
          </w:tcPr>
          <w:p w:rsidR="005E6A14" w:rsidRPr="004F34FC" w:rsidRDefault="005E6A14" w:rsidP="005E6A14">
            <w:pPr>
              <w:spacing w:after="0" w:line="240" w:lineRule="auto"/>
              <w:jc w:val="center"/>
              <w:rPr>
                <w:sz w:val="20"/>
                <w:szCs w:val="20"/>
              </w:rPr>
            </w:pPr>
            <w:r w:rsidRPr="004F34FC">
              <w:rPr>
                <w:sz w:val="20"/>
                <w:szCs w:val="20"/>
              </w:rPr>
              <w:t>95 596,7</w:t>
            </w:r>
          </w:p>
        </w:tc>
        <w:tc>
          <w:tcPr>
            <w:tcW w:w="1559" w:type="dxa"/>
            <w:shd w:val="clear" w:color="auto" w:fill="auto"/>
          </w:tcPr>
          <w:p w:rsidR="005E6A14" w:rsidRPr="004F34FC" w:rsidRDefault="005E6A14" w:rsidP="005E6A14">
            <w:pPr>
              <w:spacing w:after="0" w:line="240" w:lineRule="auto"/>
              <w:jc w:val="center"/>
              <w:rPr>
                <w:sz w:val="20"/>
                <w:szCs w:val="20"/>
              </w:rPr>
            </w:pPr>
            <w:r w:rsidRPr="004F34FC">
              <w:rPr>
                <w:sz w:val="20"/>
                <w:szCs w:val="20"/>
              </w:rPr>
              <w:t>95 596,7</w:t>
            </w:r>
          </w:p>
        </w:tc>
        <w:tc>
          <w:tcPr>
            <w:tcW w:w="1418"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100%</w:t>
            </w:r>
          </w:p>
        </w:tc>
      </w:tr>
      <w:tr w:rsidR="005E6A14" w:rsidRPr="004F34FC" w:rsidTr="005E6A14">
        <w:trPr>
          <w:trHeight w:val="568"/>
        </w:trPr>
        <w:tc>
          <w:tcPr>
            <w:tcW w:w="567" w:type="dxa"/>
            <w:shd w:val="clear" w:color="auto" w:fill="auto"/>
          </w:tcPr>
          <w:p w:rsidR="005E6A14" w:rsidRPr="004F34FC" w:rsidRDefault="005E6A14" w:rsidP="005E6A14">
            <w:pPr>
              <w:spacing w:after="0" w:line="240" w:lineRule="auto"/>
              <w:jc w:val="center"/>
              <w:rPr>
                <w:b/>
                <w:bCs/>
                <w:sz w:val="20"/>
                <w:szCs w:val="20"/>
              </w:rPr>
            </w:pPr>
            <w:r w:rsidRPr="004F34FC">
              <w:rPr>
                <w:bCs/>
                <w:sz w:val="20"/>
                <w:szCs w:val="20"/>
              </w:rPr>
              <w:t>1</w:t>
            </w:r>
          </w:p>
        </w:tc>
        <w:tc>
          <w:tcPr>
            <w:tcW w:w="2977" w:type="dxa"/>
            <w:shd w:val="clear" w:color="auto" w:fill="auto"/>
            <w:hideMark/>
          </w:tcPr>
          <w:p w:rsidR="005E6A14" w:rsidRPr="004F34FC" w:rsidRDefault="005E6A14" w:rsidP="005E6A14">
            <w:pPr>
              <w:spacing w:after="0" w:line="240" w:lineRule="auto"/>
              <w:jc w:val="left"/>
              <w:rPr>
                <w:bCs/>
                <w:sz w:val="20"/>
                <w:szCs w:val="20"/>
              </w:rPr>
            </w:pPr>
            <w:r w:rsidRPr="004F34FC">
              <w:rPr>
                <w:bCs/>
                <w:sz w:val="20"/>
                <w:szCs w:val="20"/>
              </w:rPr>
              <w:t>Департамент городского хозяйства Администрации города Ханты-Мансийска</w:t>
            </w:r>
          </w:p>
        </w:tc>
        <w:tc>
          <w:tcPr>
            <w:tcW w:w="1417" w:type="dxa"/>
            <w:shd w:val="clear" w:color="auto" w:fill="auto"/>
            <w:hideMark/>
          </w:tcPr>
          <w:p w:rsidR="005E6A14" w:rsidRPr="004F34FC" w:rsidRDefault="005E6A14" w:rsidP="005E6A14">
            <w:pPr>
              <w:jc w:val="center"/>
              <w:rPr>
                <w:sz w:val="20"/>
                <w:szCs w:val="20"/>
              </w:rPr>
            </w:pPr>
            <w:r w:rsidRPr="004F34FC">
              <w:rPr>
                <w:sz w:val="20"/>
                <w:szCs w:val="20"/>
              </w:rPr>
              <w:t>56 554,7</w:t>
            </w:r>
          </w:p>
        </w:tc>
        <w:tc>
          <w:tcPr>
            <w:tcW w:w="1418" w:type="dxa"/>
            <w:shd w:val="clear" w:color="auto" w:fill="auto"/>
          </w:tcPr>
          <w:p w:rsidR="005E6A14" w:rsidRPr="004F34FC" w:rsidRDefault="005E6A14" w:rsidP="005E6A14">
            <w:pPr>
              <w:spacing w:after="0" w:line="240" w:lineRule="auto"/>
              <w:jc w:val="center"/>
              <w:rPr>
                <w:sz w:val="20"/>
                <w:szCs w:val="20"/>
              </w:rPr>
            </w:pPr>
            <w:r w:rsidRPr="004F34FC">
              <w:rPr>
                <w:sz w:val="20"/>
                <w:szCs w:val="20"/>
              </w:rPr>
              <w:t>93 787,7</w:t>
            </w:r>
          </w:p>
        </w:tc>
        <w:tc>
          <w:tcPr>
            <w:tcW w:w="1559" w:type="dxa"/>
            <w:shd w:val="clear" w:color="auto" w:fill="auto"/>
          </w:tcPr>
          <w:p w:rsidR="005E6A14" w:rsidRPr="004F34FC" w:rsidRDefault="005E6A14" w:rsidP="005E6A14">
            <w:pPr>
              <w:spacing w:after="0" w:line="240" w:lineRule="auto"/>
              <w:jc w:val="center"/>
              <w:rPr>
                <w:sz w:val="20"/>
                <w:szCs w:val="20"/>
              </w:rPr>
            </w:pPr>
            <w:r w:rsidRPr="004F34FC">
              <w:rPr>
                <w:sz w:val="20"/>
                <w:szCs w:val="20"/>
              </w:rPr>
              <w:t>93 787,7</w:t>
            </w:r>
          </w:p>
        </w:tc>
        <w:tc>
          <w:tcPr>
            <w:tcW w:w="1418"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100%</w:t>
            </w:r>
          </w:p>
        </w:tc>
      </w:tr>
      <w:tr w:rsidR="005E6A14" w:rsidRPr="004F34FC" w:rsidTr="005E6A14">
        <w:trPr>
          <w:trHeight w:val="449"/>
        </w:trPr>
        <w:tc>
          <w:tcPr>
            <w:tcW w:w="567" w:type="dxa"/>
            <w:shd w:val="clear" w:color="auto" w:fill="auto"/>
          </w:tcPr>
          <w:p w:rsidR="005E6A14" w:rsidRPr="004F34FC" w:rsidRDefault="005E6A14" w:rsidP="005E6A14">
            <w:pPr>
              <w:spacing w:after="0" w:line="240" w:lineRule="auto"/>
              <w:jc w:val="center"/>
              <w:rPr>
                <w:b/>
                <w:bCs/>
                <w:sz w:val="20"/>
                <w:szCs w:val="20"/>
              </w:rPr>
            </w:pPr>
            <w:r w:rsidRPr="004F34FC">
              <w:rPr>
                <w:sz w:val="20"/>
                <w:szCs w:val="20"/>
              </w:rPr>
              <w:t>2</w:t>
            </w:r>
          </w:p>
        </w:tc>
        <w:tc>
          <w:tcPr>
            <w:tcW w:w="2977" w:type="dxa"/>
            <w:shd w:val="clear" w:color="auto" w:fill="auto"/>
            <w:hideMark/>
          </w:tcPr>
          <w:p w:rsidR="005E6A14" w:rsidRPr="004F34FC" w:rsidRDefault="005E6A14" w:rsidP="005E6A14">
            <w:pPr>
              <w:spacing w:after="0" w:line="240" w:lineRule="auto"/>
              <w:jc w:val="left"/>
              <w:rPr>
                <w:bCs/>
                <w:sz w:val="20"/>
                <w:szCs w:val="20"/>
              </w:rPr>
            </w:pPr>
            <w:r w:rsidRPr="004F34FC">
              <w:rPr>
                <w:bCs/>
                <w:sz w:val="20"/>
                <w:szCs w:val="20"/>
              </w:rPr>
              <w:t>МКУ «Служба муниципального заказа в ЖКХ»</w:t>
            </w:r>
          </w:p>
        </w:tc>
        <w:tc>
          <w:tcPr>
            <w:tcW w:w="1417" w:type="dxa"/>
            <w:shd w:val="clear" w:color="auto" w:fill="auto"/>
            <w:hideMark/>
          </w:tcPr>
          <w:p w:rsidR="005E6A14" w:rsidRPr="004F34FC" w:rsidRDefault="005E6A14" w:rsidP="005E6A14">
            <w:pPr>
              <w:jc w:val="center"/>
              <w:rPr>
                <w:sz w:val="20"/>
                <w:szCs w:val="20"/>
              </w:rPr>
            </w:pPr>
            <w:r w:rsidRPr="004F34FC">
              <w:rPr>
                <w:sz w:val="20"/>
                <w:szCs w:val="20"/>
              </w:rPr>
              <w:t>15 952,4</w:t>
            </w:r>
          </w:p>
        </w:tc>
        <w:tc>
          <w:tcPr>
            <w:tcW w:w="1418" w:type="dxa"/>
            <w:shd w:val="clear" w:color="auto" w:fill="auto"/>
          </w:tcPr>
          <w:p w:rsidR="005E6A14" w:rsidRPr="004F34FC" w:rsidRDefault="005E6A14" w:rsidP="005E6A14">
            <w:pPr>
              <w:spacing w:after="0" w:line="240" w:lineRule="auto"/>
              <w:jc w:val="center"/>
              <w:rPr>
                <w:bCs/>
                <w:sz w:val="20"/>
                <w:szCs w:val="20"/>
              </w:rPr>
            </w:pPr>
            <w:r w:rsidRPr="004F34FC">
              <w:rPr>
                <w:bCs/>
                <w:sz w:val="20"/>
                <w:szCs w:val="20"/>
              </w:rPr>
              <w:t>1 809,0</w:t>
            </w:r>
          </w:p>
        </w:tc>
        <w:tc>
          <w:tcPr>
            <w:tcW w:w="1559" w:type="dxa"/>
            <w:shd w:val="clear" w:color="auto" w:fill="auto"/>
          </w:tcPr>
          <w:p w:rsidR="005E6A14" w:rsidRPr="004F34FC" w:rsidRDefault="005E6A14" w:rsidP="005E6A14">
            <w:pPr>
              <w:spacing w:after="0" w:line="240" w:lineRule="auto"/>
              <w:jc w:val="center"/>
              <w:rPr>
                <w:bCs/>
                <w:sz w:val="20"/>
                <w:szCs w:val="20"/>
              </w:rPr>
            </w:pPr>
            <w:r w:rsidRPr="004F34FC">
              <w:rPr>
                <w:bCs/>
                <w:sz w:val="20"/>
                <w:szCs w:val="20"/>
              </w:rPr>
              <w:t>1 809,0</w:t>
            </w:r>
          </w:p>
        </w:tc>
        <w:tc>
          <w:tcPr>
            <w:tcW w:w="1418" w:type="dxa"/>
            <w:shd w:val="clear" w:color="auto" w:fill="auto"/>
            <w:hideMark/>
          </w:tcPr>
          <w:p w:rsidR="005E6A14" w:rsidRPr="004F34FC" w:rsidRDefault="005E6A14" w:rsidP="005E6A14">
            <w:pPr>
              <w:spacing w:after="0" w:line="240" w:lineRule="auto"/>
              <w:jc w:val="center"/>
              <w:rPr>
                <w:bCs/>
                <w:sz w:val="20"/>
                <w:szCs w:val="20"/>
              </w:rPr>
            </w:pPr>
            <w:r w:rsidRPr="004F34FC">
              <w:rPr>
                <w:bCs/>
                <w:sz w:val="20"/>
                <w:szCs w:val="20"/>
              </w:rPr>
              <w:t>100%</w:t>
            </w:r>
          </w:p>
        </w:tc>
      </w:tr>
    </w:tbl>
    <w:p w:rsidR="005E6A14" w:rsidRPr="004F34FC" w:rsidRDefault="005E6A14" w:rsidP="005E6A14">
      <w:pPr>
        <w:ind w:right="424"/>
        <w:rPr>
          <w:sz w:val="24"/>
          <w:szCs w:val="24"/>
        </w:rPr>
      </w:pPr>
    </w:p>
    <w:p w:rsidR="005E6A14" w:rsidRPr="004F34FC" w:rsidRDefault="005E6A14" w:rsidP="005E6A14">
      <w:pPr>
        <w:ind w:right="424"/>
        <w:rPr>
          <w:sz w:val="24"/>
          <w:szCs w:val="24"/>
        </w:rPr>
      </w:pPr>
      <w:r w:rsidRPr="004F34FC">
        <w:rPr>
          <w:sz w:val="24"/>
          <w:szCs w:val="24"/>
        </w:rPr>
        <w:t>Рисунок 3.8.2.</w:t>
      </w:r>
    </w:p>
    <w:p w:rsidR="005E6A14" w:rsidRPr="004F34FC" w:rsidRDefault="005E6A14" w:rsidP="005E6A14">
      <w:pPr>
        <w:spacing w:after="0"/>
        <w:ind w:right="424"/>
        <w:jc w:val="center"/>
        <w:rPr>
          <w:b/>
          <w:sz w:val="28"/>
          <w:szCs w:val="28"/>
        </w:rPr>
      </w:pPr>
      <w:r w:rsidRPr="004F34FC">
        <w:rPr>
          <w:b/>
          <w:sz w:val="28"/>
          <w:szCs w:val="28"/>
        </w:rPr>
        <w:t>Структура расходов муниципальной программы</w:t>
      </w:r>
    </w:p>
    <w:p w:rsidR="005E6A14" w:rsidRPr="004F34FC" w:rsidRDefault="005E6A14" w:rsidP="005E6A14">
      <w:pPr>
        <w:spacing w:after="0"/>
        <w:ind w:right="424"/>
        <w:jc w:val="center"/>
        <w:rPr>
          <w:b/>
          <w:sz w:val="28"/>
          <w:szCs w:val="28"/>
        </w:rPr>
      </w:pPr>
      <w:r w:rsidRPr="004F34FC">
        <w:rPr>
          <w:b/>
          <w:sz w:val="28"/>
          <w:szCs w:val="28"/>
        </w:rPr>
        <w:t>«Развитие жилищно-коммунального комплекса и повышение энергетической эффективности в городе Ханты-Мансийске</w:t>
      </w:r>
      <w:r w:rsidRPr="004F34FC">
        <w:rPr>
          <w:b/>
        </w:rPr>
        <w:t xml:space="preserve">», </w:t>
      </w:r>
      <w:r w:rsidRPr="004F34FC">
        <w:rPr>
          <w:b/>
          <w:sz w:val="28"/>
          <w:szCs w:val="28"/>
        </w:rPr>
        <w:t>тыс. рублей</w:t>
      </w:r>
    </w:p>
    <w:p w:rsidR="005E6A14" w:rsidRPr="004F34FC" w:rsidRDefault="005E6A14" w:rsidP="005E6A14">
      <w:pPr>
        <w:spacing w:after="0"/>
        <w:ind w:right="424"/>
        <w:jc w:val="center"/>
        <w:rPr>
          <w:b/>
          <w:sz w:val="28"/>
          <w:szCs w:val="28"/>
        </w:rPr>
      </w:pPr>
      <w:r w:rsidRPr="004F34FC">
        <w:rPr>
          <w:b/>
          <w:noProof/>
          <w:sz w:val="28"/>
          <w:szCs w:val="28"/>
        </w:rPr>
        <w:lastRenderedPageBreak/>
        <w:drawing>
          <wp:inline distT="0" distB="0" distL="0" distR="0" wp14:anchorId="54B25704" wp14:editId="58C1187B">
            <wp:extent cx="5640070" cy="2524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0070" cy="2524125"/>
                    </a:xfrm>
                    <a:prstGeom prst="rect">
                      <a:avLst/>
                    </a:prstGeom>
                    <a:noFill/>
                  </pic:spPr>
                </pic:pic>
              </a:graphicData>
            </a:graphic>
          </wp:inline>
        </w:drawing>
      </w:r>
    </w:p>
    <w:p w:rsidR="005E6A14" w:rsidRPr="004F34FC" w:rsidRDefault="005E6A14" w:rsidP="005E6A14">
      <w:pPr>
        <w:ind w:right="-2"/>
        <w:rPr>
          <w:sz w:val="24"/>
          <w:szCs w:val="24"/>
        </w:rPr>
      </w:pPr>
      <w:r w:rsidRPr="004F34FC">
        <w:rPr>
          <w:sz w:val="24"/>
          <w:szCs w:val="24"/>
        </w:rPr>
        <w:t>Таблица 3.8.2</w:t>
      </w:r>
    </w:p>
    <w:p w:rsidR="005E6A14" w:rsidRPr="004F34FC" w:rsidRDefault="005E6A14" w:rsidP="005E6A14">
      <w:pPr>
        <w:spacing w:after="0"/>
        <w:ind w:right="-2"/>
        <w:jc w:val="center"/>
        <w:rPr>
          <w:b/>
          <w:sz w:val="28"/>
          <w:szCs w:val="28"/>
        </w:rPr>
      </w:pPr>
      <w:r w:rsidRPr="004F34FC">
        <w:rPr>
          <w:b/>
          <w:sz w:val="28"/>
          <w:szCs w:val="28"/>
        </w:rPr>
        <w:t>Структура расходов муниципальной программы</w:t>
      </w:r>
    </w:p>
    <w:p w:rsidR="005E6A14" w:rsidRPr="004F34FC" w:rsidRDefault="005E6A14" w:rsidP="005E6A14">
      <w:pPr>
        <w:spacing w:after="0"/>
        <w:ind w:right="-2"/>
        <w:jc w:val="center"/>
        <w:rPr>
          <w:b/>
        </w:rPr>
      </w:pPr>
      <w:r w:rsidRPr="004F34FC">
        <w:rPr>
          <w:b/>
          <w:sz w:val="28"/>
          <w:szCs w:val="28"/>
        </w:rPr>
        <w:t>«Развитие жилищно-коммунального комплекса и повышение энергетической эффективности в городе Ханты-Мансийске</w:t>
      </w:r>
      <w:r w:rsidRPr="004F34FC">
        <w:rPr>
          <w:b/>
        </w:rPr>
        <w:t>»</w:t>
      </w:r>
    </w:p>
    <w:p w:rsidR="005E6A14" w:rsidRPr="004F34FC" w:rsidRDefault="005E6A14" w:rsidP="005E6A14">
      <w:pPr>
        <w:pStyle w:val="ae"/>
        <w:tabs>
          <w:tab w:val="left" w:pos="459"/>
        </w:tabs>
        <w:suppressAutoHyphens/>
        <w:spacing w:before="0" w:beforeAutospacing="0" w:after="0" w:afterAutospacing="0" w:line="360" w:lineRule="auto"/>
        <w:ind w:right="-2"/>
      </w:pPr>
      <w:r w:rsidRPr="004F34FC">
        <w:t xml:space="preserve">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1276"/>
        <w:gridCol w:w="1417"/>
        <w:gridCol w:w="1373"/>
        <w:gridCol w:w="1327"/>
      </w:tblGrid>
      <w:tr w:rsidR="005E6A14" w:rsidRPr="004F34FC" w:rsidTr="005E6A14">
        <w:trPr>
          <w:trHeight w:val="300"/>
          <w:tblHeader/>
        </w:trPr>
        <w:tc>
          <w:tcPr>
            <w:tcW w:w="3963" w:type="dxa"/>
            <w:vMerge w:val="restart"/>
            <w:shd w:val="clear" w:color="auto" w:fill="auto"/>
            <w:hideMark/>
          </w:tcPr>
          <w:p w:rsidR="005E6A14" w:rsidRPr="004F34FC" w:rsidRDefault="005E6A14" w:rsidP="005E6A14">
            <w:pPr>
              <w:spacing w:after="0" w:line="240" w:lineRule="auto"/>
              <w:ind w:right="106"/>
              <w:jc w:val="center"/>
              <w:rPr>
                <w:bCs/>
                <w:sz w:val="20"/>
                <w:szCs w:val="20"/>
              </w:rPr>
            </w:pPr>
            <w:r w:rsidRPr="004F34FC">
              <w:rPr>
                <w:bCs/>
                <w:sz w:val="20"/>
                <w:szCs w:val="20"/>
              </w:rPr>
              <w:t>Наименование муниципальной программы, подпрограммы муниципальной программы, мероприятия муниципальной программы</w:t>
            </w:r>
          </w:p>
        </w:tc>
        <w:tc>
          <w:tcPr>
            <w:tcW w:w="1276" w:type="dxa"/>
            <w:vMerge w:val="restart"/>
            <w:shd w:val="clear" w:color="auto" w:fill="auto"/>
            <w:noWrap/>
            <w:hideMark/>
          </w:tcPr>
          <w:p w:rsidR="005E6A14" w:rsidRPr="004F34FC" w:rsidRDefault="005E6A14" w:rsidP="005E6A14">
            <w:pPr>
              <w:spacing w:after="0" w:line="240" w:lineRule="auto"/>
              <w:ind w:right="106"/>
              <w:jc w:val="center"/>
              <w:rPr>
                <w:bCs/>
                <w:sz w:val="20"/>
                <w:szCs w:val="20"/>
              </w:rPr>
            </w:pPr>
          </w:p>
          <w:p w:rsidR="005E6A14" w:rsidRPr="004F34FC" w:rsidRDefault="005E6A14" w:rsidP="005E6A14">
            <w:pPr>
              <w:spacing w:after="0" w:line="240" w:lineRule="auto"/>
              <w:ind w:right="106"/>
              <w:jc w:val="center"/>
              <w:rPr>
                <w:bCs/>
                <w:sz w:val="20"/>
                <w:szCs w:val="20"/>
              </w:rPr>
            </w:pPr>
            <w:r w:rsidRPr="004F34FC">
              <w:rPr>
                <w:bCs/>
                <w:sz w:val="20"/>
                <w:szCs w:val="20"/>
              </w:rPr>
              <w:t>2020 год (отчет)</w:t>
            </w:r>
          </w:p>
        </w:tc>
        <w:tc>
          <w:tcPr>
            <w:tcW w:w="4117" w:type="dxa"/>
            <w:gridSpan w:val="3"/>
            <w:shd w:val="clear" w:color="auto" w:fill="auto"/>
            <w:noWrap/>
            <w:hideMark/>
          </w:tcPr>
          <w:p w:rsidR="005E6A14" w:rsidRPr="004F34FC" w:rsidRDefault="005E6A14" w:rsidP="005E6A14">
            <w:pPr>
              <w:spacing w:after="0" w:line="240" w:lineRule="auto"/>
              <w:ind w:right="106"/>
              <w:jc w:val="center"/>
              <w:rPr>
                <w:bCs/>
                <w:sz w:val="20"/>
                <w:szCs w:val="20"/>
              </w:rPr>
            </w:pPr>
            <w:r w:rsidRPr="004F34FC">
              <w:rPr>
                <w:bCs/>
                <w:sz w:val="20"/>
                <w:szCs w:val="20"/>
              </w:rPr>
              <w:t xml:space="preserve">2021 год </w:t>
            </w:r>
          </w:p>
        </w:tc>
      </w:tr>
      <w:tr w:rsidR="005E6A14" w:rsidRPr="004F34FC" w:rsidTr="005E6A14">
        <w:trPr>
          <w:trHeight w:val="571"/>
          <w:tblHeader/>
        </w:trPr>
        <w:tc>
          <w:tcPr>
            <w:tcW w:w="3963" w:type="dxa"/>
            <w:vMerge/>
            <w:shd w:val="clear" w:color="auto" w:fill="auto"/>
            <w:hideMark/>
          </w:tcPr>
          <w:p w:rsidR="005E6A14" w:rsidRPr="004F34FC" w:rsidRDefault="005E6A14" w:rsidP="005E6A14">
            <w:pPr>
              <w:spacing w:after="0" w:line="240" w:lineRule="auto"/>
              <w:ind w:right="106"/>
              <w:rPr>
                <w:bCs/>
                <w:sz w:val="20"/>
                <w:szCs w:val="20"/>
              </w:rPr>
            </w:pPr>
          </w:p>
        </w:tc>
        <w:tc>
          <w:tcPr>
            <w:tcW w:w="1276" w:type="dxa"/>
            <w:vMerge/>
            <w:shd w:val="clear" w:color="auto" w:fill="auto"/>
            <w:hideMark/>
          </w:tcPr>
          <w:p w:rsidR="005E6A14" w:rsidRPr="004F34FC" w:rsidRDefault="005E6A14" w:rsidP="005E6A14">
            <w:pPr>
              <w:spacing w:after="0" w:line="240" w:lineRule="auto"/>
              <w:ind w:right="106"/>
              <w:rPr>
                <w:bCs/>
                <w:sz w:val="20"/>
                <w:szCs w:val="20"/>
              </w:rPr>
            </w:pPr>
          </w:p>
        </w:tc>
        <w:tc>
          <w:tcPr>
            <w:tcW w:w="1417" w:type="dxa"/>
            <w:shd w:val="clear" w:color="auto" w:fill="auto"/>
            <w:hideMark/>
          </w:tcPr>
          <w:p w:rsidR="005E6A14" w:rsidRPr="004F34FC" w:rsidRDefault="005E6A14" w:rsidP="005E6A14">
            <w:pPr>
              <w:spacing w:after="0" w:line="240" w:lineRule="auto"/>
              <w:ind w:right="106"/>
              <w:jc w:val="center"/>
              <w:rPr>
                <w:bCs/>
                <w:sz w:val="20"/>
                <w:szCs w:val="20"/>
              </w:rPr>
            </w:pPr>
            <w:r w:rsidRPr="004F34FC">
              <w:rPr>
                <w:bCs/>
                <w:sz w:val="20"/>
                <w:szCs w:val="20"/>
              </w:rPr>
              <w:t>Уточненный план</w:t>
            </w:r>
          </w:p>
        </w:tc>
        <w:tc>
          <w:tcPr>
            <w:tcW w:w="1373" w:type="dxa"/>
            <w:shd w:val="clear" w:color="auto" w:fill="auto"/>
            <w:hideMark/>
          </w:tcPr>
          <w:p w:rsidR="005E6A14" w:rsidRPr="004F34FC" w:rsidRDefault="005E6A14" w:rsidP="005E6A14">
            <w:pPr>
              <w:spacing w:after="0" w:line="240" w:lineRule="auto"/>
              <w:ind w:right="106"/>
              <w:jc w:val="center"/>
              <w:rPr>
                <w:bCs/>
                <w:sz w:val="20"/>
                <w:szCs w:val="20"/>
              </w:rPr>
            </w:pPr>
            <w:r w:rsidRPr="004F34FC">
              <w:rPr>
                <w:bCs/>
                <w:sz w:val="20"/>
                <w:szCs w:val="20"/>
              </w:rPr>
              <w:t>Исполнение</w:t>
            </w:r>
          </w:p>
        </w:tc>
        <w:tc>
          <w:tcPr>
            <w:tcW w:w="1327" w:type="dxa"/>
            <w:shd w:val="clear" w:color="auto" w:fill="auto"/>
            <w:hideMark/>
          </w:tcPr>
          <w:p w:rsidR="005E6A14" w:rsidRPr="004F34FC" w:rsidRDefault="005E6A14" w:rsidP="005E6A14">
            <w:pPr>
              <w:spacing w:after="0" w:line="240" w:lineRule="auto"/>
              <w:ind w:right="106"/>
              <w:jc w:val="center"/>
              <w:rPr>
                <w:bCs/>
                <w:sz w:val="20"/>
                <w:szCs w:val="20"/>
              </w:rPr>
            </w:pPr>
            <w:r w:rsidRPr="004F34FC">
              <w:rPr>
                <w:bCs/>
                <w:sz w:val="20"/>
                <w:szCs w:val="20"/>
              </w:rPr>
              <w:t>% исполнения</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sz w:val="20"/>
                <w:szCs w:val="20"/>
              </w:rPr>
            </w:pPr>
            <w:r w:rsidRPr="004F34FC">
              <w:rPr>
                <w:sz w:val="20"/>
                <w:szCs w:val="20"/>
              </w:rPr>
              <w:t xml:space="preserve">Всего по муниципальной программе, </w:t>
            </w:r>
            <w:r w:rsidRPr="004F34FC">
              <w:rPr>
                <w:bCs/>
                <w:sz w:val="20"/>
                <w:szCs w:val="20"/>
              </w:rPr>
              <w:t>всего, в том числе:</w:t>
            </w:r>
          </w:p>
        </w:tc>
        <w:tc>
          <w:tcPr>
            <w:tcW w:w="1276" w:type="dxa"/>
            <w:shd w:val="clear" w:color="auto" w:fill="auto"/>
            <w:hideMark/>
          </w:tcPr>
          <w:p w:rsidR="005E6A14" w:rsidRPr="004F34FC" w:rsidRDefault="005E6A14" w:rsidP="005E6A14">
            <w:pPr>
              <w:spacing w:after="0" w:line="240" w:lineRule="auto"/>
              <w:ind w:right="-17"/>
              <w:jc w:val="center"/>
              <w:rPr>
                <w:bCs/>
                <w:sz w:val="20"/>
                <w:szCs w:val="20"/>
              </w:rPr>
            </w:pPr>
            <w:r w:rsidRPr="004F34FC">
              <w:rPr>
                <w:bCs/>
                <w:sz w:val="20"/>
                <w:szCs w:val="20"/>
              </w:rPr>
              <w:t>72 507,1</w:t>
            </w:r>
          </w:p>
        </w:tc>
        <w:tc>
          <w:tcPr>
            <w:tcW w:w="1417" w:type="dxa"/>
            <w:shd w:val="clear" w:color="auto" w:fill="auto"/>
          </w:tcPr>
          <w:p w:rsidR="005E6A14" w:rsidRPr="004F34FC" w:rsidRDefault="005E6A14" w:rsidP="005E6A14">
            <w:pPr>
              <w:spacing w:after="0" w:line="240" w:lineRule="auto"/>
              <w:jc w:val="center"/>
              <w:rPr>
                <w:sz w:val="20"/>
                <w:szCs w:val="20"/>
              </w:rPr>
            </w:pPr>
            <w:r w:rsidRPr="004F34FC">
              <w:rPr>
                <w:sz w:val="20"/>
                <w:szCs w:val="20"/>
              </w:rPr>
              <w:t>95 596,7</w:t>
            </w:r>
          </w:p>
        </w:tc>
        <w:tc>
          <w:tcPr>
            <w:tcW w:w="1373" w:type="dxa"/>
            <w:shd w:val="clear" w:color="auto" w:fill="auto"/>
          </w:tcPr>
          <w:p w:rsidR="005E6A14" w:rsidRPr="004F34FC" w:rsidRDefault="005E6A14" w:rsidP="005E6A14">
            <w:pPr>
              <w:spacing w:after="0" w:line="240" w:lineRule="auto"/>
              <w:jc w:val="center"/>
              <w:rPr>
                <w:sz w:val="20"/>
                <w:szCs w:val="20"/>
              </w:rPr>
            </w:pPr>
            <w:r w:rsidRPr="004F34FC">
              <w:rPr>
                <w:sz w:val="20"/>
                <w:szCs w:val="20"/>
              </w:rPr>
              <w:t>95 596,7</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100%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xml:space="preserve">- федеральный бюджет </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417" w:type="dxa"/>
            <w:shd w:val="clear" w:color="auto" w:fill="auto"/>
            <w:hideMark/>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0,0</w:t>
            </w:r>
          </w:p>
        </w:tc>
        <w:tc>
          <w:tcPr>
            <w:tcW w:w="1373"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xml:space="preserve">- бюджет автономного округа </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52 867,3</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75 030,2</w:t>
            </w:r>
          </w:p>
        </w:tc>
        <w:tc>
          <w:tcPr>
            <w:tcW w:w="1373"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75 030,2</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100%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бюджет города</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19 639,8</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20 566,5</w:t>
            </w:r>
          </w:p>
        </w:tc>
        <w:tc>
          <w:tcPr>
            <w:tcW w:w="1373"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20 566,5</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100%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xml:space="preserve">Подпрограмма «Создание условий для обеспечения качественными коммунальными услугами» </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72 507,1</w:t>
            </w:r>
          </w:p>
        </w:tc>
        <w:tc>
          <w:tcPr>
            <w:tcW w:w="1417" w:type="dxa"/>
            <w:shd w:val="clear" w:color="auto" w:fill="auto"/>
          </w:tcPr>
          <w:p w:rsidR="005E6A14" w:rsidRPr="004F34FC" w:rsidRDefault="005E6A14" w:rsidP="005E6A14">
            <w:pPr>
              <w:spacing w:after="0" w:line="240" w:lineRule="auto"/>
              <w:jc w:val="center"/>
              <w:rPr>
                <w:sz w:val="20"/>
                <w:szCs w:val="20"/>
              </w:rPr>
            </w:pPr>
            <w:r w:rsidRPr="004F34FC">
              <w:rPr>
                <w:sz w:val="20"/>
                <w:szCs w:val="20"/>
              </w:rPr>
              <w:t>95 596,7</w:t>
            </w:r>
          </w:p>
        </w:tc>
        <w:tc>
          <w:tcPr>
            <w:tcW w:w="1373" w:type="dxa"/>
            <w:shd w:val="clear" w:color="auto" w:fill="auto"/>
          </w:tcPr>
          <w:p w:rsidR="005E6A14" w:rsidRPr="004F34FC" w:rsidRDefault="005E6A14" w:rsidP="005E6A14">
            <w:pPr>
              <w:spacing w:after="0" w:line="240" w:lineRule="auto"/>
              <w:jc w:val="center"/>
              <w:rPr>
                <w:sz w:val="20"/>
                <w:szCs w:val="20"/>
              </w:rPr>
            </w:pPr>
            <w:r w:rsidRPr="004F34FC">
              <w:rPr>
                <w:sz w:val="20"/>
                <w:szCs w:val="20"/>
              </w:rPr>
              <w:t>95 596,7</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100%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xml:space="preserve">- федеральный бюджет </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0,0</w:t>
            </w:r>
          </w:p>
        </w:tc>
        <w:tc>
          <w:tcPr>
            <w:tcW w:w="1373" w:type="dxa"/>
            <w:shd w:val="clear" w:color="auto" w:fill="auto"/>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0%</w:t>
            </w:r>
          </w:p>
        </w:tc>
      </w:tr>
      <w:tr w:rsidR="005E6A14" w:rsidRPr="004F34FC" w:rsidTr="005E6A14">
        <w:trPr>
          <w:trHeight w:val="258"/>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xml:space="preserve">- бюджет автономного округа </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52 867,3</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75 030,2</w:t>
            </w:r>
          </w:p>
        </w:tc>
        <w:tc>
          <w:tcPr>
            <w:tcW w:w="1373"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75 030,2</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100%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бюджет города</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19 639,8</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20 566,5</w:t>
            </w:r>
          </w:p>
        </w:tc>
        <w:tc>
          <w:tcPr>
            <w:tcW w:w="1373"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20 566,5</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100%</w:t>
            </w:r>
          </w:p>
        </w:tc>
      </w:tr>
      <w:tr w:rsidR="005E6A14" w:rsidRPr="004F34FC" w:rsidTr="005E6A14">
        <w:trPr>
          <w:trHeight w:val="904"/>
        </w:trPr>
        <w:tc>
          <w:tcPr>
            <w:tcW w:w="3963" w:type="dxa"/>
            <w:shd w:val="clear" w:color="auto" w:fill="auto"/>
            <w:hideMark/>
          </w:tcPr>
          <w:p w:rsidR="005E6A14" w:rsidRPr="004F34FC" w:rsidRDefault="005E6A14" w:rsidP="005E6A14">
            <w:pPr>
              <w:pStyle w:val="afffa"/>
              <w:ind w:right="106"/>
              <w:rPr>
                <w:rFonts w:ascii="Times New Roman" w:hAnsi="Times New Roman" w:cs="Times New Roman"/>
                <w:bCs/>
                <w:sz w:val="20"/>
                <w:szCs w:val="20"/>
              </w:rPr>
            </w:pPr>
            <w:r w:rsidRPr="004F34FC">
              <w:rPr>
                <w:rFonts w:ascii="Times New Roman" w:hAnsi="Times New Roman" w:cs="Times New Roman"/>
                <w:bCs/>
                <w:sz w:val="20"/>
                <w:szCs w:val="20"/>
              </w:rPr>
              <w:t xml:space="preserve">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 всего, в том числе: </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66 148,2</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93 787,7</w:t>
            </w:r>
          </w:p>
        </w:tc>
        <w:tc>
          <w:tcPr>
            <w:tcW w:w="1373"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93 787,7</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100%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xml:space="preserve">- федеральный бюджет </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417" w:type="dxa"/>
            <w:shd w:val="clear" w:color="auto" w:fill="auto"/>
            <w:hideMark/>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0,0</w:t>
            </w:r>
          </w:p>
        </w:tc>
        <w:tc>
          <w:tcPr>
            <w:tcW w:w="1373" w:type="dxa"/>
            <w:shd w:val="clear" w:color="auto" w:fill="auto"/>
            <w:hideMark/>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0,0</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xml:space="preserve">- бюджет автономного округа </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52 867,3</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75 030,2</w:t>
            </w:r>
          </w:p>
        </w:tc>
        <w:tc>
          <w:tcPr>
            <w:tcW w:w="1373"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75 030,2</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100%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бюджет города</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13 280,9</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18 757,5</w:t>
            </w:r>
          </w:p>
        </w:tc>
        <w:tc>
          <w:tcPr>
            <w:tcW w:w="1373"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18 757,5</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100%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ЖКХ города Ханты-Мансийска», всего, в том числе:</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2 359,6</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0,0</w:t>
            </w:r>
          </w:p>
        </w:tc>
        <w:tc>
          <w:tcPr>
            <w:tcW w:w="1373" w:type="dxa"/>
            <w:shd w:val="clear" w:color="auto" w:fill="auto"/>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lastRenderedPageBreak/>
              <w:t xml:space="preserve">- федеральный бюджет </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417" w:type="dxa"/>
            <w:shd w:val="clear" w:color="auto" w:fill="auto"/>
            <w:hideMark/>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0,0</w:t>
            </w:r>
          </w:p>
        </w:tc>
        <w:tc>
          <w:tcPr>
            <w:tcW w:w="1373"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xml:space="preserve">- бюджет автономного округа </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417" w:type="dxa"/>
            <w:shd w:val="clear" w:color="auto" w:fill="auto"/>
            <w:hideMark/>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0,0</w:t>
            </w:r>
          </w:p>
        </w:tc>
        <w:tc>
          <w:tcPr>
            <w:tcW w:w="1373"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бюджет города</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2 359,6</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0,0</w:t>
            </w:r>
          </w:p>
        </w:tc>
        <w:tc>
          <w:tcPr>
            <w:tcW w:w="1373" w:type="dxa"/>
            <w:shd w:val="clear" w:color="auto" w:fill="auto"/>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Основное мероприятие «Переключение муниципального жилого фонда на канализационный коллектор и ликвидация выгребов», всего, в том числе:</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3 999,3</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0,0</w:t>
            </w:r>
          </w:p>
        </w:tc>
        <w:tc>
          <w:tcPr>
            <w:tcW w:w="1373" w:type="dxa"/>
            <w:shd w:val="clear" w:color="auto" w:fill="auto"/>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xml:space="preserve">- федеральный бюджет </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417" w:type="dxa"/>
            <w:shd w:val="clear" w:color="auto" w:fill="auto"/>
            <w:hideMark/>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0,0</w:t>
            </w:r>
          </w:p>
        </w:tc>
        <w:tc>
          <w:tcPr>
            <w:tcW w:w="1373"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xml:space="preserve">- бюджет автономного округа </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417" w:type="dxa"/>
            <w:shd w:val="clear" w:color="auto" w:fill="auto"/>
            <w:hideMark/>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0,0</w:t>
            </w:r>
          </w:p>
        </w:tc>
        <w:tc>
          <w:tcPr>
            <w:tcW w:w="1373"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бюджет города</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3 999,3</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0,0</w:t>
            </w:r>
          </w:p>
        </w:tc>
        <w:tc>
          <w:tcPr>
            <w:tcW w:w="1373" w:type="dxa"/>
            <w:shd w:val="clear" w:color="auto" w:fill="auto"/>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Основное мероприятие «Актуализация схем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r w:rsidRPr="004F34FC">
              <w:rPr>
                <w:bCs/>
                <w:i/>
                <w:sz w:val="20"/>
                <w:szCs w:val="20"/>
              </w:rPr>
              <w:t xml:space="preserve">» </w:t>
            </w:r>
            <w:r w:rsidRPr="004F34FC">
              <w:rPr>
                <w:bCs/>
                <w:sz w:val="20"/>
                <w:szCs w:val="20"/>
              </w:rPr>
              <w:t>всего, в том числе:</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669,0</w:t>
            </w:r>
          </w:p>
        </w:tc>
        <w:tc>
          <w:tcPr>
            <w:tcW w:w="1373" w:type="dxa"/>
            <w:shd w:val="clear" w:color="auto" w:fill="auto"/>
          </w:tcPr>
          <w:p w:rsidR="005E6A14" w:rsidRPr="004F34FC" w:rsidRDefault="005E6A14" w:rsidP="005E6A14">
            <w:pPr>
              <w:spacing w:after="0" w:line="240" w:lineRule="auto"/>
              <w:ind w:right="-17"/>
              <w:jc w:val="center"/>
              <w:rPr>
                <w:sz w:val="20"/>
                <w:szCs w:val="20"/>
              </w:rPr>
            </w:pPr>
            <w:r w:rsidRPr="004F34FC">
              <w:rPr>
                <w:sz w:val="20"/>
                <w:szCs w:val="20"/>
              </w:rPr>
              <w:t>669,0</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100%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xml:space="preserve">- федеральный бюджет </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417" w:type="dxa"/>
            <w:shd w:val="clear" w:color="auto" w:fill="auto"/>
            <w:hideMark/>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0,0</w:t>
            </w:r>
          </w:p>
        </w:tc>
        <w:tc>
          <w:tcPr>
            <w:tcW w:w="1373"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xml:space="preserve">- бюджет автономного округа </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417" w:type="dxa"/>
            <w:shd w:val="clear" w:color="auto" w:fill="auto"/>
            <w:hideMark/>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0,0</w:t>
            </w:r>
          </w:p>
        </w:tc>
        <w:tc>
          <w:tcPr>
            <w:tcW w:w="1373"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0%</w:t>
            </w:r>
          </w:p>
        </w:tc>
      </w:tr>
      <w:tr w:rsidR="005E6A14" w:rsidRPr="004F34FC" w:rsidTr="005E6A14">
        <w:trPr>
          <w:trHeight w:val="300"/>
        </w:trPr>
        <w:tc>
          <w:tcPr>
            <w:tcW w:w="3963" w:type="dxa"/>
            <w:shd w:val="clear" w:color="auto" w:fill="auto"/>
            <w:hideMark/>
          </w:tcPr>
          <w:p w:rsidR="005E6A14" w:rsidRPr="004F34FC" w:rsidRDefault="005E6A14" w:rsidP="005E6A14">
            <w:pPr>
              <w:spacing w:after="0" w:line="240" w:lineRule="auto"/>
              <w:ind w:right="106"/>
              <w:jc w:val="left"/>
              <w:rPr>
                <w:bCs/>
                <w:sz w:val="20"/>
                <w:szCs w:val="20"/>
              </w:rPr>
            </w:pPr>
            <w:r w:rsidRPr="004F34FC">
              <w:rPr>
                <w:bCs/>
                <w:sz w:val="20"/>
                <w:szCs w:val="20"/>
              </w:rPr>
              <w:t>- бюджет города</w:t>
            </w:r>
          </w:p>
        </w:tc>
        <w:tc>
          <w:tcPr>
            <w:tcW w:w="1276"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417" w:type="dxa"/>
            <w:shd w:val="clear" w:color="auto" w:fill="auto"/>
            <w:hideMark/>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669,0</w:t>
            </w:r>
          </w:p>
        </w:tc>
        <w:tc>
          <w:tcPr>
            <w:tcW w:w="1373" w:type="dxa"/>
            <w:shd w:val="clear" w:color="auto" w:fill="auto"/>
            <w:hideMark/>
          </w:tcPr>
          <w:p w:rsidR="005E6A14" w:rsidRPr="004F34FC" w:rsidRDefault="005E6A14" w:rsidP="005E6A14">
            <w:pPr>
              <w:spacing w:after="0" w:line="240" w:lineRule="auto"/>
              <w:ind w:right="-17"/>
              <w:jc w:val="center"/>
              <w:rPr>
                <w:sz w:val="20"/>
                <w:szCs w:val="20"/>
              </w:rPr>
            </w:pPr>
            <w:r w:rsidRPr="004F34FC">
              <w:rPr>
                <w:sz w:val="20"/>
                <w:szCs w:val="20"/>
              </w:rPr>
              <w:t>669,0</w:t>
            </w:r>
          </w:p>
        </w:tc>
        <w:tc>
          <w:tcPr>
            <w:tcW w:w="1327" w:type="dxa"/>
            <w:shd w:val="clear" w:color="auto" w:fill="auto"/>
            <w:hideMark/>
          </w:tcPr>
          <w:p w:rsidR="005E6A14" w:rsidRPr="004F34FC" w:rsidRDefault="005E6A14" w:rsidP="005E6A14">
            <w:pPr>
              <w:spacing w:after="0" w:line="240" w:lineRule="auto"/>
              <w:jc w:val="center"/>
              <w:rPr>
                <w:sz w:val="20"/>
                <w:szCs w:val="20"/>
              </w:rPr>
            </w:pPr>
            <w:r w:rsidRPr="004F34FC">
              <w:rPr>
                <w:sz w:val="20"/>
                <w:szCs w:val="20"/>
              </w:rPr>
              <w:t>100%</w:t>
            </w:r>
          </w:p>
        </w:tc>
      </w:tr>
      <w:tr w:rsidR="005E6A14" w:rsidRPr="004F34FC" w:rsidTr="005E6A14">
        <w:trPr>
          <w:trHeight w:val="300"/>
        </w:trPr>
        <w:tc>
          <w:tcPr>
            <w:tcW w:w="3963" w:type="dxa"/>
            <w:shd w:val="clear" w:color="auto" w:fill="auto"/>
          </w:tcPr>
          <w:p w:rsidR="005E6A14" w:rsidRPr="004F34FC" w:rsidRDefault="005E6A14" w:rsidP="005E6A14">
            <w:pPr>
              <w:spacing w:after="0" w:line="240" w:lineRule="auto"/>
              <w:ind w:right="106"/>
              <w:jc w:val="left"/>
              <w:rPr>
                <w:bCs/>
                <w:sz w:val="20"/>
                <w:szCs w:val="20"/>
              </w:rPr>
            </w:pPr>
            <w:r w:rsidRPr="004F34FC">
              <w:rPr>
                <w:bCs/>
                <w:sz w:val="20"/>
                <w:szCs w:val="20"/>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2017-2032гг.»  всего, в том числе:</w:t>
            </w:r>
          </w:p>
        </w:tc>
        <w:tc>
          <w:tcPr>
            <w:tcW w:w="1276" w:type="dxa"/>
            <w:shd w:val="clear" w:color="auto" w:fill="auto"/>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1 140,0</w:t>
            </w:r>
          </w:p>
        </w:tc>
        <w:tc>
          <w:tcPr>
            <w:tcW w:w="1373" w:type="dxa"/>
            <w:shd w:val="clear" w:color="auto" w:fill="auto"/>
          </w:tcPr>
          <w:p w:rsidR="005E6A14" w:rsidRPr="004F34FC" w:rsidRDefault="005E6A14" w:rsidP="005E6A14">
            <w:pPr>
              <w:spacing w:after="0" w:line="240" w:lineRule="auto"/>
              <w:ind w:right="-17"/>
              <w:jc w:val="center"/>
              <w:rPr>
                <w:sz w:val="20"/>
                <w:szCs w:val="20"/>
              </w:rPr>
            </w:pPr>
            <w:r w:rsidRPr="004F34FC">
              <w:rPr>
                <w:sz w:val="20"/>
                <w:szCs w:val="20"/>
              </w:rPr>
              <w:t>1 140,0</w:t>
            </w:r>
          </w:p>
        </w:tc>
        <w:tc>
          <w:tcPr>
            <w:tcW w:w="1327" w:type="dxa"/>
            <w:shd w:val="clear" w:color="auto" w:fill="auto"/>
          </w:tcPr>
          <w:p w:rsidR="005E6A14" w:rsidRPr="004F34FC" w:rsidRDefault="005E6A14" w:rsidP="005E6A14">
            <w:pPr>
              <w:spacing w:after="0" w:line="240" w:lineRule="auto"/>
              <w:jc w:val="center"/>
              <w:rPr>
                <w:sz w:val="20"/>
                <w:szCs w:val="20"/>
              </w:rPr>
            </w:pPr>
            <w:r w:rsidRPr="004F34FC">
              <w:rPr>
                <w:sz w:val="20"/>
                <w:szCs w:val="20"/>
              </w:rPr>
              <w:t>100%</w:t>
            </w:r>
          </w:p>
        </w:tc>
      </w:tr>
      <w:tr w:rsidR="005E6A14" w:rsidRPr="004F34FC" w:rsidTr="005E6A14">
        <w:trPr>
          <w:trHeight w:val="300"/>
        </w:trPr>
        <w:tc>
          <w:tcPr>
            <w:tcW w:w="3963" w:type="dxa"/>
            <w:shd w:val="clear" w:color="auto" w:fill="auto"/>
          </w:tcPr>
          <w:p w:rsidR="005E6A14" w:rsidRPr="004F34FC" w:rsidRDefault="005E6A14" w:rsidP="005E6A14">
            <w:pPr>
              <w:spacing w:after="0" w:line="240" w:lineRule="auto"/>
              <w:ind w:right="106"/>
              <w:jc w:val="left"/>
              <w:rPr>
                <w:bCs/>
                <w:sz w:val="20"/>
                <w:szCs w:val="20"/>
              </w:rPr>
            </w:pPr>
            <w:r w:rsidRPr="004F34FC">
              <w:rPr>
                <w:bCs/>
                <w:sz w:val="20"/>
                <w:szCs w:val="20"/>
              </w:rPr>
              <w:t xml:space="preserve">- федеральный бюджет </w:t>
            </w:r>
          </w:p>
        </w:tc>
        <w:tc>
          <w:tcPr>
            <w:tcW w:w="1276" w:type="dxa"/>
            <w:shd w:val="clear" w:color="auto" w:fill="auto"/>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0,0</w:t>
            </w:r>
          </w:p>
        </w:tc>
        <w:tc>
          <w:tcPr>
            <w:tcW w:w="1373" w:type="dxa"/>
            <w:shd w:val="clear" w:color="auto" w:fill="auto"/>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327" w:type="dxa"/>
            <w:shd w:val="clear" w:color="auto" w:fill="auto"/>
          </w:tcPr>
          <w:p w:rsidR="005E6A14" w:rsidRPr="004F34FC" w:rsidRDefault="005E6A14" w:rsidP="005E6A14">
            <w:pPr>
              <w:spacing w:after="0" w:line="240" w:lineRule="auto"/>
              <w:jc w:val="center"/>
              <w:rPr>
                <w:sz w:val="20"/>
                <w:szCs w:val="20"/>
              </w:rPr>
            </w:pPr>
            <w:r w:rsidRPr="004F34FC">
              <w:rPr>
                <w:sz w:val="20"/>
                <w:szCs w:val="20"/>
              </w:rPr>
              <w:t>0%</w:t>
            </w:r>
          </w:p>
        </w:tc>
      </w:tr>
      <w:tr w:rsidR="005E6A14" w:rsidRPr="004F34FC" w:rsidTr="005E6A14">
        <w:trPr>
          <w:trHeight w:val="300"/>
        </w:trPr>
        <w:tc>
          <w:tcPr>
            <w:tcW w:w="3963" w:type="dxa"/>
            <w:shd w:val="clear" w:color="auto" w:fill="auto"/>
          </w:tcPr>
          <w:p w:rsidR="005E6A14" w:rsidRPr="004F34FC" w:rsidRDefault="005E6A14" w:rsidP="005E6A14">
            <w:pPr>
              <w:spacing w:after="0" w:line="240" w:lineRule="auto"/>
              <w:ind w:right="106"/>
              <w:jc w:val="left"/>
              <w:rPr>
                <w:bCs/>
                <w:sz w:val="20"/>
                <w:szCs w:val="20"/>
              </w:rPr>
            </w:pPr>
            <w:r w:rsidRPr="004F34FC">
              <w:rPr>
                <w:bCs/>
                <w:sz w:val="20"/>
                <w:szCs w:val="20"/>
              </w:rPr>
              <w:t xml:space="preserve">- бюджет автономного округа </w:t>
            </w:r>
          </w:p>
        </w:tc>
        <w:tc>
          <w:tcPr>
            <w:tcW w:w="1276" w:type="dxa"/>
            <w:shd w:val="clear" w:color="auto" w:fill="auto"/>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0,0</w:t>
            </w:r>
          </w:p>
        </w:tc>
        <w:tc>
          <w:tcPr>
            <w:tcW w:w="1373" w:type="dxa"/>
            <w:shd w:val="clear" w:color="auto" w:fill="auto"/>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327" w:type="dxa"/>
            <w:shd w:val="clear" w:color="auto" w:fill="auto"/>
          </w:tcPr>
          <w:p w:rsidR="005E6A14" w:rsidRPr="004F34FC" w:rsidRDefault="005E6A14" w:rsidP="005E6A14">
            <w:pPr>
              <w:spacing w:after="0" w:line="240" w:lineRule="auto"/>
              <w:jc w:val="center"/>
              <w:rPr>
                <w:sz w:val="20"/>
                <w:szCs w:val="20"/>
              </w:rPr>
            </w:pPr>
            <w:r w:rsidRPr="004F34FC">
              <w:rPr>
                <w:sz w:val="20"/>
                <w:szCs w:val="20"/>
              </w:rPr>
              <w:t>0%</w:t>
            </w:r>
          </w:p>
        </w:tc>
      </w:tr>
      <w:tr w:rsidR="005E6A14" w:rsidRPr="004F34FC" w:rsidTr="005E6A14">
        <w:trPr>
          <w:trHeight w:val="300"/>
        </w:trPr>
        <w:tc>
          <w:tcPr>
            <w:tcW w:w="3963" w:type="dxa"/>
            <w:shd w:val="clear" w:color="auto" w:fill="auto"/>
          </w:tcPr>
          <w:p w:rsidR="005E6A14" w:rsidRPr="004F34FC" w:rsidRDefault="005E6A14" w:rsidP="005E6A14">
            <w:pPr>
              <w:spacing w:after="0" w:line="240" w:lineRule="auto"/>
              <w:ind w:right="106"/>
              <w:jc w:val="left"/>
              <w:rPr>
                <w:bCs/>
                <w:sz w:val="20"/>
                <w:szCs w:val="20"/>
              </w:rPr>
            </w:pPr>
            <w:r w:rsidRPr="004F34FC">
              <w:rPr>
                <w:bCs/>
                <w:sz w:val="20"/>
                <w:szCs w:val="20"/>
              </w:rPr>
              <w:t>- бюджет города</w:t>
            </w:r>
          </w:p>
        </w:tc>
        <w:tc>
          <w:tcPr>
            <w:tcW w:w="1276" w:type="dxa"/>
            <w:shd w:val="clear" w:color="auto" w:fill="auto"/>
          </w:tcPr>
          <w:p w:rsidR="005E6A14" w:rsidRPr="004F34FC" w:rsidRDefault="005E6A14" w:rsidP="005E6A14">
            <w:pPr>
              <w:spacing w:after="0" w:line="240" w:lineRule="auto"/>
              <w:ind w:right="-17"/>
              <w:jc w:val="center"/>
              <w:rPr>
                <w:sz w:val="20"/>
                <w:szCs w:val="20"/>
              </w:rPr>
            </w:pPr>
            <w:r w:rsidRPr="004F34FC">
              <w:rPr>
                <w:sz w:val="20"/>
                <w:szCs w:val="20"/>
              </w:rPr>
              <w:t>0,0</w:t>
            </w:r>
          </w:p>
        </w:tc>
        <w:tc>
          <w:tcPr>
            <w:tcW w:w="1417" w:type="dxa"/>
            <w:shd w:val="clear" w:color="auto" w:fill="auto"/>
          </w:tcPr>
          <w:p w:rsidR="005E6A14" w:rsidRPr="004F34FC" w:rsidRDefault="005E6A14" w:rsidP="005E6A14">
            <w:pPr>
              <w:tabs>
                <w:tab w:val="left" w:pos="890"/>
              </w:tabs>
              <w:spacing w:after="0" w:line="240" w:lineRule="auto"/>
              <w:ind w:right="27"/>
              <w:jc w:val="center"/>
              <w:rPr>
                <w:sz w:val="20"/>
                <w:szCs w:val="20"/>
              </w:rPr>
            </w:pPr>
            <w:r w:rsidRPr="004F34FC">
              <w:rPr>
                <w:sz w:val="20"/>
                <w:szCs w:val="20"/>
              </w:rPr>
              <w:t>1 140,0</w:t>
            </w:r>
          </w:p>
        </w:tc>
        <w:tc>
          <w:tcPr>
            <w:tcW w:w="1373" w:type="dxa"/>
            <w:shd w:val="clear" w:color="auto" w:fill="auto"/>
          </w:tcPr>
          <w:p w:rsidR="005E6A14" w:rsidRPr="004F34FC" w:rsidRDefault="005E6A14" w:rsidP="005E6A14">
            <w:pPr>
              <w:spacing w:after="0" w:line="240" w:lineRule="auto"/>
              <w:ind w:right="-17"/>
              <w:jc w:val="center"/>
              <w:rPr>
                <w:sz w:val="20"/>
                <w:szCs w:val="20"/>
              </w:rPr>
            </w:pPr>
            <w:r w:rsidRPr="004F34FC">
              <w:rPr>
                <w:sz w:val="20"/>
                <w:szCs w:val="20"/>
              </w:rPr>
              <w:t>1 140,0</w:t>
            </w:r>
          </w:p>
        </w:tc>
        <w:tc>
          <w:tcPr>
            <w:tcW w:w="1327" w:type="dxa"/>
            <w:shd w:val="clear" w:color="auto" w:fill="auto"/>
          </w:tcPr>
          <w:p w:rsidR="005E6A14" w:rsidRPr="004F34FC" w:rsidRDefault="005E6A14" w:rsidP="005E6A14">
            <w:pPr>
              <w:spacing w:after="0" w:line="240" w:lineRule="auto"/>
              <w:jc w:val="center"/>
              <w:rPr>
                <w:sz w:val="20"/>
                <w:szCs w:val="20"/>
              </w:rPr>
            </w:pPr>
            <w:r w:rsidRPr="004F34FC">
              <w:rPr>
                <w:sz w:val="20"/>
                <w:szCs w:val="20"/>
              </w:rPr>
              <w:t>100%</w:t>
            </w:r>
          </w:p>
        </w:tc>
      </w:tr>
    </w:tbl>
    <w:p w:rsidR="005E6A14" w:rsidRPr="004F34FC" w:rsidRDefault="005E6A14" w:rsidP="005E6A14">
      <w:pPr>
        <w:spacing w:after="0" w:line="360" w:lineRule="auto"/>
        <w:ind w:right="424" w:firstLine="708"/>
        <w:rPr>
          <w:sz w:val="24"/>
          <w:szCs w:val="24"/>
        </w:rPr>
      </w:pPr>
    </w:p>
    <w:p w:rsidR="005E6A14" w:rsidRPr="004F34FC" w:rsidRDefault="005E6A14" w:rsidP="005E6A14">
      <w:pPr>
        <w:autoSpaceDE w:val="0"/>
        <w:autoSpaceDN w:val="0"/>
        <w:adjustRightInd w:val="0"/>
        <w:spacing w:after="0"/>
        <w:ind w:right="-2" w:firstLine="709"/>
        <w:jc w:val="both"/>
        <w:rPr>
          <w:sz w:val="28"/>
          <w:szCs w:val="28"/>
        </w:rPr>
      </w:pPr>
      <w:r w:rsidRPr="004F34FC">
        <w:rPr>
          <w:sz w:val="28"/>
          <w:szCs w:val="28"/>
        </w:rPr>
        <w:t>В 2021 году на реализацию мероприятий муниципальной программы «Развитие жилищно-коммунального комплекса и повышение энергетической эффективности в городе Ханты-Мансийске» выделено 95 596,7 тыс. рублей, в том числе средства бюджета автономного округа 75 030,2 тыс. рублей, средства городского бюджета 20 566,5 тыс. рублей.</w:t>
      </w:r>
    </w:p>
    <w:p w:rsidR="005E6A14" w:rsidRPr="004F34FC" w:rsidRDefault="005E6A14" w:rsidP="005E6A14">
      <w:pPr>
        <w:autoSpaceDE w:val="0"/>
        <w:autoSpaceDN w:val="0"/>
        <w:adjustRightInd w:val="0"/>
        <w:spacing w:after="0"/>
        <w:ind w:right="-2" w:firstLine="709"/>
        <w:jc w:val="both"/>
        <w:rPr>
          <w:sz w:val="28"/>
          <w:szCs w:val="28"/>
        </w:rPr>
      </w:pPr>
      <w:r w:rsidRPr="004F34FC">
        <w:rPr>
          <w:sz w:val="28"/>
          <w:szCs w:val="28"/>
        </w:rPr>
        <w:t>Программа предусматривает реализацию следующих мероприятий:</w:t>
      </w:r>
    </w:p>
    <w:p w:rsidR="005E6A14" w:rsidRPr="004F34FC" w:rsidRDefault="005E6A14" w:rsidP="005E6A14">
      <w:pPr>
        <w:tabs>
          <w:tab w:val="left" w:pos="0"/>
        </w:tabs>
        <w:spacing w:after="0"/>
        <w:ind w:right="-2"/>
        <w:jc w:val="both"/>
        <w:rPr>
          <w:sz w:val="28"/>
          <w:szCs w:val="28"/>
        </w:rPr>
      </w:pPr>
      <w:r w:rsidRPr="004F34FC">
        <w:rPr>
          <w:sz w:val="24"/>
          <w:szCs w:val="24"/>
        </w:rPr>
        <w:tab/>
      </w:r>
      <w:r w:rsidRPr="004F34FC">
        <w:rPr>
          <w:sz w:val="28"/>
          <w:szCs w:val="28"/>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 при плане 93 787,7 тыс. рублей, кассовое исполнение составило 100%, в том числе 75 030,2 тыс. рублей -  средства бюджета автономного округа, 18 757,5 тыс. рублей – городской бюджет.</w:t>
      </w:r>
    </w:p>
    <w:p w:rsidR="005E6A14" w:rsidRPr="004F34FC" w:rsidRDefault="005E6A14" w:rsidP="005E6A14">
      <w:pPr>
        <w:spacing w:after="0"/>
        <w:ind w:firstLine="567"/>
        <w:jc w:val="both"/>
        <w:rPr>
          <w:sz w:val="28"/>
          <w:szCs w:val="28"/>
        </w:rPr>
      </w:pPr>
      <w:r w:rsidRPr="004F34FC">
        <w:rPr>
          <w:sz w:val="28"/>
          <w:szCs w:val="28"/>
        </w:rPr>
        <w:t xml:space="preserve">Выполнены работы по капитальному ремонту (с заменой) систем газораспределения, теплоснабжения, водоснабжения и водоотведения, в том </w:t>
      </w:r>
      <w:r w:rsidRPr="004F34FC">
        <w:rPr>
          <w:sz w:val="28"/>
          <w:szCs w:val="28"/>
        </w:rPr>
        <w:lastRenderedPageBreak/>
        <w:t>числе с применением композитных материалов на улицах города: ул. Пионерская, 69, ул. Гагарина 133а, ул. Гагарина 131 - общей протяженностью 491,5 м, в том числе теплоснабжение 240 м, водоснабжение 251,5 м;</w:t>
      </w:r>
    </w:p>
    <w:p w:rsidR="005E6A14" w:rsidRPr="004F34FC" w:rsidRDefault="005E6A14" w:rsidP="005E6A14">
      <w:pPr>
        <w:spacing w:after="0"/>
        <w:ind w:firstLine="567"/>
        <w:jc w:val="both"/>
        <w:rPr>
          <w:sz w:val="28"/>
          <w:szCs w:val="28"/>
        </w:rPr>
      </w:pPr>
      <w:r w:rsidRPr="004F34FC">
        <w:rPr>
          <w:sz w:val="28"/>
          <w:szCs w:val="28"/>
        </w:rPr>
        <w:t>- капитальный ремонт напорной канализации от КНС-19 (1 этап) – 298 м;</w:t>
      </w:r>
    </w:p>
    <w:p w:rsidR="005E6A14" w:rsidRPr="004F34FC" w:rsidRDefault="005E6A14" w:rsidP="005E6A14">
      <w:pPr>
        <w:spacing w:after="0"/>
        <w:ind w:firstLine="567"/>
        <w:jc w:val="both"/>
        <w:rPr>
          <w:sz w:val="28"/>
          <w:szCs w:val="28"/>
        </w:rPr>
      </w:pPr>
      <w:r w:rsidRPr="004F34FC">
        <w:rPr>
          <w:sz w:val="28"/>
          <w:szCs w:val="28"/>
        </w:rPr>
        <w:t>- капитальный ремонт напорной канализации от КНС-19 (2 этап) – 310 м;</w:t>
      </w:r>
    </w:p>
    <w:p w:rsidR="005E6A14" w:rsidRPr="004F34FC" w:rsidRDefault="005E6A14" w:rsidP="005E6A14">
      <w:pPr>
        <w:spacing w:after="0"/>
        <w:ind w:firstLine="567"/>
        <w:jc w:val="both"/>
        <w:rPr>
          <w:sz w:val="28"/>
          <w:szCs w:val="28"/>
        </w:rPr>
      </w:pPr>
      <w:r w:rsidRPr="004F34FC">
        <w:rPr>
          <w:sz w:val="28"/>
          <w:szCs w:val="28"/>
        </w:rPr>
        <w:t xml:space="preserve">- ремонт теплообменного оборудования на котельных (котлы, горелки, насосы, арматура, накопительные емкости, дымовая труба) – 14 ед.; </w:t>
      </w:r>
    </w:p>
    <w:p w:rsidR="005E6A14" w:rsidRPr="004F34FC" w:rsidRDefault="005E6A14" w:rsidP="005E6A14">
      <w:pPr>
        <w:spacing w:after="0"/>
        <w:ind w:firstLine="567"/>
        <w:jc w:val="both"/>
        <w:rPr>
          <w:sz w:val="28"/>
          <w:szCs w:val="28"/>
        </w:rPr>
      </w:pPr>
      <w:r w:rsidRPr="004F34FC">
        <w:rPr>
          <w:sz w:val="28"/>
          <w:szCs w:val="28"/>
        </w:rPr>
        <w:t>- капитальный ремонт котельной № 2 по ул. Дзержинского 41а;</w:t>
      </w:r>
    </w:p>
    <w:p w:rsidR="005E6A14" w:rsidRPr="004F34FC" w:rsidRDefault="005E6A14" w:rsidP="005E6A14">
      <w:pPr>
        <w:spacing w:after="0"/>
        <w:ind w:firstLine="567"/>
        <w:jc w:val="both"/>
        <w:rPr>
          <w:sz w:val="28"/>
          <w:szCs w:val="28"/>
        </w:rPr>
      </w:pPr>
      <w:r w:rsidRPr="004F34FC">
        <w:rPr>
          <w:sz w:val="28"/>
          <w:szCs w:val="28"/>
        </w:rPr>
        <w:t>- капитальный ремонт котельной № 39 по ул. Кооперативная 36б;</w:t>
      </w:r>
    </w:p>
    <w:p w:rsidR="005E6A14" w:rsidRPr="004F34FC" w:rsidRDefault="005E6A14" w:rsidP="005E6A14">
      <w:pPr>
        <w:spacing w:after="0"/>
        <w:ind w:firstLine="567"/>
        <w:jc w:val="both"/>
        <w:rPr>
          <w:sz w:val="28"/>
          <w:szCs w:val="28"/>
        </w:rPr>
      </w:pPr>
      <w:r w:rsidRPr="004F34FC">
        <w:rPr>
          <w:sz w:val="28"/>
          <w:szCs w:val="28"/>
        </w:rPr>
        <w:t>- капитальный ремонт котельной 35 МВт по ул. Пионерская 119;</w:t>
      </w:r>
    </w:p>
    <w:p w:rsidR="005E6A14" w:rsidRPr="004F34FC" w:rsidRDefault="005E6A14" w:rsidP="005E6A14">
      <w:pPr>
        <w:spacing w:after="0"/>
        <w:ind w:firstLine="567"/>
        <w:jc w:val="both"/>
        <w:rPr>
          <w:sz w:val="28"/>
          <w:szCs w:val="28"/>
        </w:rPr>
      </w:pPr>
      <w:r w:rsidRPr="004F34FC">
        <w:rPr>
          <w:sz w:val="28"/>
          <w:szCs w:val="28"/>
        </w:rPr>
        <w:t xml:space="preserve">- капитальный ремонт котельной школа № 6 по ул. </w:t>
      </w:r>
      <w:proofErr w:type="spellStart"/>
      <w:r w:rsidRPr="004F34FC">
        <w:rPr>
          <w:sz w:val="28"/>
          <w:szCs w:val="28"/>
        </w:rPr>
        <w:t>Рознина</w:t>
      </w:r>
      <w:proofErr w:type="spellEnd"/>
      <w:r w:rsidRPr="004F34FC">
        <w:rPr>
          <w:sz w:val="28"/>
          <w:szCs w:val="28"/>
        </w:rPr>
        <w:t xml:space="preserve"> 36;</w:t>
      </w:r>
    </w:p>
    <w:p w:rsidR="005E6A14" w:rsidRDefault="005E6A14" w:rsidP="005E6A14">
      <w:pPr>
        <w:spacing w:after="0"/>
        <w:ind w:firstLine="567"/>
        <w:jc w:val="both"/>
        <w:rPr>
          <w:sz w:val="28"/>
          <w:szCs w:val="28"/>
        </w:rPr>
      </w:pPr>
      <w:r w:rsidRPr="004F34FC">
        <w:rPr>
          <w:sz w:val="28"/>
          <w:szCs w:val="28"/>
        </w:rPr>
        <w:t xml:space="preserve">- ремонт канализационного коллектора по ул. </w:t>
      </w:r>
      <w:proofErr w:type="spellStart"/>
      <w:r w:rsidRPr="004F34FC">
        <w:rPr>
          <w:sz w:val="28"/>
          <w:szCs w:val="28"/>
        </w:rPr>
        <w:t>Рознина</w:t>
      </w:r>
      <w:proofErr w:type="spellEnd"/>
      <w:r w:rsidRPr="004F34FC">
        <w:rPr>
          <w:sz w:val="28"/>
          <w:szCs w:val="28"/>
        </w:rPr>
        <w:t xml:space="preserve"> на участке от ул. Дзержинского до ул. Карла Маркса – 170 м.</w:t>
      </w:r>
    </w:p>
    <w:p w:rsidR="005E6A14" w:rsidRPr="00954E5B" w:rsidRDefault="005E6A14" w:rsidP="005E6A14">
      <w:pPr>
        <w:spacing w:after="0"/>
        <w:ind w:firstLine="709"/>
        <w:jc w:val="both"/>
        <w:rPr>
          <w:sz w:val="28"/>
          <w:szCs w:val="28"/>
        </w:rPr>
      </w:pPr>
      <w:r w:rsidRPr="00954E5B">
        <w:rPr>
          <w:sz w:val="28"/>
          <w:szCs w:val="28"/>
        </w:rPr>
        <w:t>Гарантирующей организацией по предоставлению услуг централизованно</w:t>
      </w:r>
      <w:r>
        <w:rPr>
          <w:sz w:val="28"/>
          <w:szCs w:val="28"/>
        </w:rPr>
        <w:t>го</w:t>
      </w:r>
      <w:r w:rsidRPr="00954E5B">
        <w:rPr>
          <w:sz w:val="28"/>
          <w:szCs w:val="28"/>
        </w:rPr>
        <w:t xml:space="preserve"> водоснабжени</w:t>
      </w:r>
      <w:r>
        <w:rPr>
          <w:sz w:val="28"/>
          <w:szCs w:val="28"/>
        </w:rPr>
        <w:t>я</w:t>
      </w:r>
      <w:r w:rsidRPr="00954E5B">
        <w:rPr>
          <w:sz w:val="28"/>
          <w:szCs w:val="28"/>
        </w:rPr>
        <w:t xml:space="preserve"> и водоотведени</w:t>
      </w:r>
      <w:r>
        <w:rPr>
          <w:sz w:val="28"/>
          <w:szCs w:val="28"/>
        </w:rPr>
        <w:t>я</w:t>
      </w:r>
      <w:r w:rsidRPr="00954E5B">
        <w:rPr>
          <w:sz w:val="28"/>
          <w:szCs w:val="28"/>
        </w:rPr>
        <w:t xml:space="preserve"> на территории города является муниципальное </w:t>
      </w:r>
      <w:proofErr w:type="spellStart"/>
      <w:r w:rsidRPr="00954E5B">
        <w:rPr>
          <w:sz w:val="28"/>
          <w:szCs w:val="28"/>
        </w:rPr>
        <w:t>водоканализационное</w:t>
      </w:r>
      <w:proofErr w:type="spellEnd"/>
      <w:r w:rsidRPr="00954E5B">
        <w:rPr>
          <w:sz w:val="28"/>
          <w:szCs w:val="28"/>
        </w:rPr>
        <w:t xml:space="preserve"> предприятие (далее – МП «Водоканал»), которое располагает высококвалифицированным персоналом, высокой степенью автоматизации производства и осуществляет свою деятельность с положительным финансовым результатом.</w:t>
      </w:r>
    </w:p>
    <w:p w:rsidR="005E6A14" w:rsidRDefault="005E6A14" w:rsidP="005E6A14">
      <w:pPr>
        <w:spacing w:after="0"/>
        <w:ind w:firstLine="709"/>
        <w:jc w:val="both"/>
        <w:rPr>
          <w:sz w:val="28"/>
          <w:szCs w:val="28"/>
        </w:rPr>
      </w:pPr>
      <w:r w:rsidRPr="00954E5B">
        <w:rPr>
          <w:sz w:val="28"/>
          <w:szCs w:val="28"/>
        </w:rPr>
        <w:t>Мощность городского водозабора составляет 16 тыс.</w:t>
      </w:r>
      <w:r>
        <w:rPr>
          <w:sz w:val="28"/>
          <w:szCs w:val="28"/>
        </w:rPr>
        <w:t xml:space="preserve"> </w:t>
      </w:r>
      <w:r w:rsidRPr="00954E5B">
        <w:rPr>
          <w:sz w:val="28"/>
          <w:szCs w:val="28"/>
        </w:rPr>
        <w:t>м</w:t>
      </w:r>
      <w:r w:rsidRPr="00954E5B">
        <w:rPr>
          <w:sz w:val="28"/>
          <w:szCs w:val="28"/>
          <w:vertAlign w:val="superscript"/>
        </w:rPr>
        <w:t>3</w:t>
      </w:r>
      <w:r w:rsidRPr="00954E5B">
        <w:rPr>
          <w:sz w:val="28"/>
          <w:szCs w:val="28"/>
        </w:rPr>
        <w:t>/</w:t>
      </w:r>
      <w:proofErr w:type="spellStart"/>
      <w:r w:rsidRPr="00954E5B">
        <w:rPr>
          <w:sz w:val="28"/>
          <w:szCs w:val="28"/>
        </w:rPr>
        <w:t>сут</w:t>
      </w:r>
      <w:proofErr w:type="spellEnd"/>
      <w:r w:rsidRPr="00954E5B">
        <w:rPr>
          <w:sz w:val="28"/>
          <w:szCs w:val="28"/>
        </w:rPr>
        <w:t>. Объем поданной воды в 2021 году составил 5,38 млн м</w:t>
      </w:r>
      <w:r w:rsidRPr="00954E5B">
        <w:rPr>
          <w:sz w:val="28"/>
          <w:szCs w:val="28"/>
          <w:vertAlign w:val="superscript"/>
        </w:rPr>
        <w:t>3</w:t>
      </w:r>
      <w:r>
        <w:rPr>
          <w:sz w:val="28"/>
          <w:szCs w:val="28"/>
        </w:rPr>
        <w:t xml:space="preserve">, </w:t>
      </w:r>
      <w:r w:rsidRPr="00954E5B">
        <w:rPr>
          <w:sz w:val="28"/>
          <w:szCs w:val="28"/>
        </w:rPr>
        <w:t>или 14,74 тыс.</w:t>
      </w:r>
      <w:r>
        <w:rPr>
          <w:sz w:val="28"/>
          <w:szCs w:val="28"/>
        </w:rPr>
        <w:t xml:space="preserve"> </w:t>
      </w:r>
      <w:r w:rsidRPr="00954E5B">
        <w:rPr>
          <w:sz w:val="28"/>
          <w:szCs w:val="28"/>
        </w:rPr>
        <w:t>м</w:t>
      </w:r>
      <w:r w:rsidRPr="00954E5B">
        <w:rPr>
          <w:sz w:val="28"/>
          <w:szCs w:val="28"/>
          <w:vertAlign w:val="superscript"/>
        </w:rPr>
        <w:t>3</w:t>
      </w:r>
      <w:r w:rsidRPr="00954E5B">
        <w:rPr>
          <w:sz w:val="28"/>
          <w:szCs w:val="28"/>
        </w:rPr>
        <w:t>/</w:t>
      </w:r>
      <w:proofErr w:type="spellStart"/>
      <w:r w:rsidRPr="00954E5B">
        <w:rPr>
          <w:sz w:val="28"/>
          <w:szCs w:val="28"/>
        </w:rPr>
        <w:t>сут</w:t>
      </w:r>
      <w:proofErr w:type="spellEnd"/>
      <w:r w:rsidRPr="00954E5B">
        <w:rPr>
          <w:sz w:val="28"/>
          <w:szCs w:val="28"/>
        </w:rPr>
        <w:t>. Качество холодного водоснабжения в городе Ханты-Мансийске соответствует требованиям СанПиН «Питьевая вода».</w:t>
      </w:r>
    </w:p>
    <w:p w:rsidR="005E6A14" w:rsidRPr="00954E5B" w:rsidRDefault="005E6A14" w:rsidP="005E6A14">
      <w:pPr>
        <w:spacing w:after="0"/>
        <w:ind w:firstLine="709"/>
        <w:jc w:val="both"/>
        <w:rPr>
          <w:sz w:val="28"/>
          <w:szCs w:val="32"/>
        </w:rPr>
      </w:pPr>
      <w:r w:rsidRPr="00954E5B">
        <w:rPr>
          <w:sz w:val="28"/>
          <w:szCs w:val="28"/>
        </w:rPr>
        <w:t xml:space="preserve"> Целевой показатель национального проекта «Экология» выполнен с опережением</w:t>
      </w:r>
      <w:r>
        <w:rPr>
          <w:sz w:val="28"/>
          <w:szCs w:val="28"/>
        </w:rPr>
        <w:t xml:space="preserve"> – в 2021 году он составляет</w:t>
      </w:r>
      <w:r w:rsidRPr="00954E5B">
        <w:rPr>
          <w:sz w:val="28"/>
          <w:szCs w:val="32"/>
        </w:rPr>
        <w:t xml:space="preserve"> </w:t>
      </w:r>
      <w:r>
        <w:rPr>
          <w:sz w:val="28"/>
          <w:szCs w:val="32"/>
        </w:rPr>
        <w:t>100</w:t>
      </w:r>
      <w:r w:rsidRPr="00954E5B">
        <w:rPr>
          <w:sz w:val="28"/>
          <w:szCs w:val="32"/>
        </w:rPr>
        <w:t>%, что выше целевого показателя 2024 года – 99%.</w:t>
      </w:r>
    </w:p>
    <w:p w:rsidR="005E6A14" w:rsidRDefault="005E6A14" w:rsidP="005E6A14">
      <w:pPr>
        <w:spacing w:after="0"/>
        <w:ind w:firstLine="708"/>
        <w:jc w:val="both"/>
        <w:rPr>
          <w:sz w:val="28"/>
          <w:szCs w:val="28"/>
        </w:rPr>
      </w:pPr>
      <w:r w:rsidRPr="00954E5B">
        <w:rPr>
          <w:sz w:val="28"/>
          <w:szCs w:val="28"/>
        </w:rPr>
        <w:t xml:space="preserve">В 2021 году протяженность городских сетей централизованного водоснабжения увеличилась на 2,5% и </w:t>
      </w:r>
      <w:r>
        <w:rPr>
          <w:sz w:val="28"/>
          <w:szCs w:val="28"/>
        </w:rPr>
        <w:t>составляет</w:t>
      </w:r>
      <w:r w:rsidRPr="00954E5B">
        <w:rPr>
          <w:sz w:val="28"/>
          <w:szCs w:val="28"/>
        </w:rPr>
        <w:t xml:space="preserve"> 190,5 км. </w:t>
      </w:r>
    </w:p>
    <w:p w:rsidR="005E6A14" w:rsidRPr="00954E5B" w:rsidRDefault="005E6A14" w:rsidP="005E6A14">
      <w:pPr>
        <w:spacing w:after="0"/>
        <w:ind w:firstLine="708"/>
        <w:jc w:val="both"/>
        <w:rPr>
          <w:rFonts w:eastAsia="Courier New"/>
          <w:color w:val="000000"/>
          <w:sz w:val="28"/>
          <w:szCs w:val="28"/>
        </w:rPr>
      </w:pPr>
      <w:r w:rsidRPr="00954E5B">
        <w:rPr>
          <w:sz w:val="28"/>
          <w:szCs w:val="28"/>
        </w:rPr>
        <w:t xml:space="preserve">К </w:t>
      </w:r>
      <w:r w:rsidRPr="00954E5B">
        <w:rPr>
          <w:rFonts w:eastAsia="Courier New"/>
          <w:color w:val="000000"/>
          <w:sz w:val="28"/>
          <w:szCs w:val="28"/>
        </w:rPr>
        <w:t>централизованным сетям водоснабжения в отчетном периоде подключено 125 объектов, в том числе 10 многоквартирных жилых домов, 114 индивидуальных жилых домов, а также 1 объект юридического лица. Построено более 8,7 км сетей.</w:t>
      </w:r>
      <w:r w:rsidRPr="00954E5B">
        <w:rPr>
          <w:sz w:val="28"/>
          <w:szCs w:val="28"/>
        </w:rPr>
        <w:t xml:space="preserve"> Выполнение данных мероприятий позволило ввести в эксплуатацию 11</w:t>
      </w:r>
      <w:r>
        <w:rPr>
          <w:sz w:val="28"/>
          <w:szCs w:val="28"/>
        </w:rPr>
        <w:t>4,6</w:t>
      </w:r>
      <w:r w:rsidRPr="00954E5B">
        <w:rPr>
          <w:sz w:val="28"/>
          <w:szCs w:val="28"/>
        </w:rPr>
        <w:t xml:space="preserve"> тыс.</w:t>
      </w:r>
      <w:r>
        <w:rPr>
          <w:sz w:val="28"/>
          <w:szCs w:val="28"/>
        </w:rPr>
        <w:t xml:space="preserve"> кв. м</w:t>
      </w:r>
      <w:r w:rsidRPr="00954E5B">
        <w:rPr>
          <w:sz w:val="28"/>
          <w:szCs w:val="28"/>
        </w:rPr>
        <w:t xml:space="preserve"> площади жилых многоквартирных домов и социально-значимых объектов. </w:t>
      </w:r>
    </w:p>
    <w:p w:rsidR="005E6A14" w:rsidRPr="00954E5B" w:rsidRDefault="005E6A14" w:rsidP="005E6A14">
      <w:pPr>
        <w:spacing w:after="0"/>
        <w:ind w:firstLine="709"/>
        <w:jc w:val="both"/>
        <w:rPr>
          <w:sz w:val="28"/>
          <w:szCs w:val="28"/>
        </w:rPr>
      </w:pPr>
      <w:r w:rsidRPr="00954E5B">
        <w:rPr>
          <w:sz w:val="28"/>
          <w:szCs w:val="32"/>
        </w:rPr>
        <w:t xml:space="preserve">В 2021 году заменено 8% ветхих сетей водоснабжения, что выше установленного целевого показателя </w:t>
      </w:r>
      <w:r>
        <w:rPr>
          <w:sz w:val="28"/>
          <w:szCs w:val="32"/>
        </w:rPr>
        <w:t>(</w:t>
      </w:r>
      <w:r w:rsidRPr="00954E5B">
        <w:rPr>
          <w:sz w:val="28"/>
          <w:szCs w:val="32"/>
        </w:rPr>
        <w:t>5%</w:t>
      </w:r>
      <w:r>
        <w:rPr>
          <w:sz w:val="28"/>
          <w:szCs w:val="32"/>
        </w:rPr>
        <w:t>)</w:t>
      </w:r>
      <w:r w:rsidRPr="00954E5B">
        <w:rPr>
          <w:sz w:val="28"/>
          <w:szCs w:val="32"/>
        </w:rPr>
        <w:t>. При этом капитальный ремонт сетей водоснабжения проводится с применением композитных материалов.</w:t>
      </w:r>
      <w:r w:rsidRPr="00954E5B">
        <w:rPr>
          <w:sz w:val="28"/>
          <w:szCs w:val="28"/>
        </w:rPr>
        <w:t xml:space="preserve"> Данные мероприятия позволяют продлить срок безремонтной эксплуатации сетей водоснабжения до 50 лет.</w:t>
      </w:r>
    </w:p>
    <w:p w:rsidR="005E6A14" w:rsidRPr="00954E5B" w:rsidRDefault="005E6A14" w:rsidP="005E6A14">
      <w:pPr>
        <w:spacing w:after="0"/>
        <w:ind w:firstLine="709"/>
        <w:jc w:val="both"/>
        <w:rPr>
          <w:sz w:val="28"/>
          <w:szCs w:val="28"/>
        </w:rPr>
      </w:pPr>
      <w:r w:rsidRPr="00954E5B">
        <w:rPr>
          <w:color w:val="000000"/>
          <w:sz w:val="28"/>
          <w:szCs w:val="28"/>
        </w:rPr>
        <w:lastRenderedPageBreak/>
        <w:t xml:space="preserve">В рамках исполнения требований по энергосбережению и </w:t>
      </w:r>
      <w:proofErr w:type="spellStart"/>
      <w:r w:rsidRPr="00954E5B">
        <w:rPr>
          <w:color w:val="000000"/>
          <w:sz w:val="28"/>
          <w:szCs w:val="28"/>
        </w:rPr>
        <w:t>энергоэффективности</w:t>
      </w:r>
      <w:proofErr w:type="spellEnd"/>
      <w:r w:rsidRPr="00954E5B">
        <w:rPr>
          <w:color w:val="000000"/>
          <w:sz w:val="28"/>
          <w:szCs w:val="28"/>
        </w:rPr>
        <w:t xml:space="preserve"> доля объема холодной воды, расчеты за которую осуществляются с использованием приборов учета, составляет 100%.</w:t>
      </w:r>
    </w:p>
    <w:p w:rsidR="005E6A14" w:rsidRDefault="005E6A14" w:rsidP="005E6A14">
      <w:pPr>
        <w:spacing w:after="0"/>
        <w:ind w:firstLine="709"/>
        <w:jc w:val="both"/>
        <w:rPr>
          <w:sz w:val="28"/>
          <w:szCs w:val="28"/>
        </w:rPr>
      </w:pPr>
      <w:r w:rsidRPr="00954E5B">
        <w:rPr>
          <w:sz w:val="28"/>
          <w:szCs w:val="28"/>
        </w:rPr>
        <w:t>Водоотведение бытовых сточных вод осуществляется через канализационные очистные сооружения города мощностью 18 тыс.</w:t>
      </w:r>
      <w:r>
        <w:rPr>
          <w:sz w:val="28"/>
          <w:szCs w:val="28"/>
        </w:rPr>
        <w:t xml:space="preserve"> </w:t>
      </w:r>
      <w:r w:rsidRPr="00954E5B">
        <w:rPr>
          <w:sz w:val="28"/>
          <w:szCs w:val="28"/>
        </w:rPr>
        <w:t>м</w:t>
      </w:r>
      <w:r w:rsidRPr="00954E5B">
        <w:rPr>
          <w:sz w:val="28"/>
          <w:szCs w:val="28"/>
          <w:vertAlign w:val="superscript"/>
        </w:rPr>
        <w:t>3</w:t>
      </w:r>
      <w:r w:rsidRPr="00954E5B">
        <w:rPr>
          <w:sz w:val="28"/>
          <w:szCs w:val="28"/>
        </w:rPr>
        <w:t>/</w:t>
      </w:r>
      <w:proofErr w:type="spellStart"/>
      <w:r w:rsidRPr="00954E5B">
        <w:rPr>
          <w:sz w:val="28"/>
          <w:szCs w:val="28"/>
        </w:rPr>
        <w:t>сут</w:t>
      </w:r>
      <w:proofErr w:type="spellEnd"/>
      <w:r w:rsidRPr="00954E5B">
        <w:rPr>
          <w:sz w:val="28"/>
          <w:szCs w:val="28"/>
        </w:rPr>
        <w:t xml:space="preserve">. В 2021 году фактический объем принятых, очищенных в соответствии с требованиями нормативов допустимых сбросов и сброшенных сточных вод </w:t>
      </w:r>
      <w:r>
        <w:rPr>
          <w:sz w:val="28"/>
          <w:szCs w:val="28"/>
        </w:rPr>
        <w:t>составляет</w:t>
      </w:r>
      <w:r w:rsidRPr="00954E5B">
        <w:rPr>
          <w:sz w:val="28"/>
          <w:szCs w:val="28"/>
        </w:rPr>
        <w:t xml:space="preserve"> 5,1 млн м</w:t>
      </w:r>
      <w:r w:rsidRPr="00954E5B">
        <w:rPr>
          <w:sz w:val="28"/>
          <w:szCs w:val="28"/>
          <w:vertAlign w:val="superscript"/>
        </w:rPr>
        <w:t>3</w:t>
      </w:r>
      <w:r w:rsidRPr="00954E5B">
        <w:rPr>
          <w:sz w:val="28"/>
          <w:szCs w:val="28"/>
        </w:rPr>
        <w:t>, или 14,22 тыс.</w:t>
      </w:r>
      <w:r>
        <w:rPr>
          <w:sz w:val="28"/>
          <w:szCs w:val="28"/>
        </w:rPr>
        <w:t xml:space="preserve"> </w:t>
      </w:r>
      <w:r w:rsidRPr="00954E5B">
        <w:rPr>
          <w:sz w:val="28"/>
          <w:szCs w:val="28"/>
        </w:rPr>
        <w:t>м</w:t>
      </w:r>
      <w:r w:rsidRPr="00954E5B">
        <w:rPr>
          <w:sz w:val="28"/>
          <w:szCs w:val="28"/>
          <w:vertAlign w:val="superscript"/>
        </w:rPr>
        <w:t>3</w:t>
      </w:r>
      <w:r w:rsidRPr="00954E5B">
        <w:rPr>
          <w:sz w:val="28"/>
          <w:szCs w:val="28"/>
        </w:rPr>
        <w:t>/</w:t>
      </w:r>
      <w:proofErr w:type="spellStart"/>
      <w:r w:rsidRPr="00954E5B">
        <w:rPr>
          <w:sz w:val="28"/>
          <w:szCs w:val="28"/>
        </w:rPr>
        <w:t>сут</w:t>
      </w:r>
      <w:proofErr w:type="spellEnd"/>
      <w:r w:rsidRPr="00954E5B">
        <w:rPr>
          <w:sz w:val="28"/>
          <w:szCs w:val="28"/>
        </w:rPr>
        <w:t>.</w:t>
      </w:r>
      <w:r>
        <w:rPr>
          <w:sz w:val="28"/>
          <w:szCs w:val="28"/>
        </w:rPr>
        <w:t xml:space="preserve"> </w:t>
      </w:r>
    </w:p>
    <w:p w:rsidR="005E6A14" w:rsidRPr="00954E5B" w:rsidRDefault="005E6A14" w:rsidP="005E6A14">
      <w:pPr>
        <w:spacing w:after="0"/>
        <w:ind w:firstLine="709"/>
        <w:jc w:val="both"/>
        <w:rPr>
          <w:sz w:val="28"/>
          <w:szCs w:val="28"/>
        </w:rPr>
      </w:pPr>
      <w:r w:rsidRPr="00954E5B">
        <w:rPr>
          <w:sz w:val="28"/>
          <w:szCs w:val="28"/>
        </w:rPr>
        <w:t xml:space="preserve">Перекачка и транспортировка сточных вод на территории города Ханты-Мансийска осуществляются 50 канализационно-насосными станциями, которые оснащены системой удаленного диспетчерского контроля и функционируют без постоянного присутствия обслуживающего персонала. В 2021 году </w:t>
      </w:r>
      <w:r w:rsidRPr="00954E5B">
        <w:rPr>
          <w:rFonts w:eastAsia="Courier New"/>
          <w:color w:val="000000"/>
          <w:sz w:val="28"/>
          <w:szCs w:val="28"/>
        </w:rPr>
        <w:t>протяженность городских канализационных сетей</w:t>
      </w:r>
      <w:r w:rsidRPr="00954E5B">
        <w:rPr>
          <w:sz w:val="28"/>
          <w:szCs w:val="28"/>
        </w:rPr>
        <w:t xml:space="preserve"> составила </w:t>
      </w:r>
      <w:r w:rsidRPr="00954E5B">
        <w:rPr>
          <w:rFonts w:eastAsia="Courier New"/>
          <w:color w:val="000000"/>
          <w:sz w:val="28"/>
          <w:szCs w:val="28"/>
        </w:rPr>
        <w:t>132,9 км</w:t>
      </w:r>
      <w:r w:rsidRPr="00954E5B">
        <w:rPr>
          <w:sz w:val="28"/>
          <w:szCs w:val="28"/>
        </w:rPr>
        <w:t>.</w:t>
      </w:r>
    </w:p>
    <w:p w:rsidR="005E6A14" w:rsidRPr="00F33E27" w:rsidRDefault="005E6A14" w:rsidP="005E6A14">
      <w:pPr>
        <w:spacing w:after="0"/>
        <w:ind w:firstLine="708"/>
        <w:jc w:val="both"/>
        <w:rPr>
          <w:rFonts w:eastAsia="Courier New"/>
          <w:color w:val="000000"/>
          <w:sz w:val="28"/>
          <w:szCs w:val="28"/>
        </w:rPr>
      </w:pPr>
      <w:r w:rsidRPr="00954E5B">
        <w:rPr>
          <w:sz w:val="28"/>
          <w:szCs w:val="28"/>
        </w:rPr>
        <w:t xml:space="preserve">К </w:t>
      </w:r>
      <w:r w:rsidRPr="00954E5B">
        <w:rPr>
          <w:rFonts w:eastAsia="Courier New"/>
          <w:color w:val="000000"/>
          <w:sz w:val="28"/>
          <w:szCs w:val="28"/>
        </w:rPr>
        <w:t>централизованным сетям водоотведения в отчетном периоде подключен</w:t>
      </w:r>
      <w:r>
        <w:rPr>
          <w:rFonts w:eastAsia="Courier New"/>
          <w:color w:val="000000"/>
          <w:sz w:val="28"/>
          <w:szCs w:val="28"/>
        </w:rPr>
        <w:t>ы</w:t>
      </w:r>
      <w:r w:rsidRPr="00954E5B">
        <w:rPr>
          <w:rFonts w:eastAsia="Courier New"/>
          <w:color w:val="000000"/>
          <w:sz w:val="28"/>
          <w:szCs w:val="28"/>
        </w:rPr>
        <w:t xml:space="preserve"> 72 объекта, </w:t>
      </w:r>
      <w:r w:rsidRPr="00954E5B">
        <w:rPr>
          <w:rFonts w:eastAsia="Courier New"/>
          <w:sz w:val="28"/>
          <w:szCs w:val="28"/>
        </w:rPr>
        <w:t xml:space="preserve">в том числе 10 многоквартирных жилых домов, 61 индивидуальный жилой дом, </w:t>
      </w:r>
      <w:r w:rsidRPr="00954E5B">
        <w:rPr>
          <w:rFonts w:eastAsia="Courier New"/>
          <w:color w:val="000000"/>
          <w:sz w:val="28"/>
          <w:szCs w:val="28"/>
        </w:rPr>
        <w:t>а также 1 объект юридического лица</w:t>
      </w:r>
      <w:r>
        <w:rPr>
          <w:rFonts w:eastAsia="Courier New"/>
          <w:color w:val="000000"/>
          <w:sz w:val="28"/>
          <w:szCs w:val="28"/>
        </w:rPr>
        <w:t>.</w:t>
      </w:r>
      <w:r w:rsidRPr="00954E5B">
        <w:rPr>
          <w:rFonts w:eastAsia="Courier New"/>
          <w:color w:val="000000"/>
          <w:sz w:val="28"/>
          <w:szCs w:val="28"/>
        </w:rPr>
        <w:t xml:space="preserve"> </w:t>
      </w:r>
      <w:r>
        <w:rPr>
          <w:rFonts w:eastAsia="Courier New"/>
          <w:color w:val="000000"/>
          <w:sz w:val="28"/>
          <w:szCs w:val="28"/>
        </w:rPr>
        <w:t>П</w:t>
      </w:r>
      <w:r w:rsidRPr="00954E5B">
        <w:rPr>
          <w:rFonts w:eastAsia="Courier New"/>
          <w:color w:val="000000"/>
          <w:sz w:val="28"/>
          <w:szCs w:val="28"/>
        </w:rPr>
        <w:t xml:space="preserve">остроено более 5,6 км сетей. </w:t>
      </w:r>
      <w:r>
        <w:rPr>
          <w:rFonts w:eastAsia="Courier New"/>
          <w:sz w:val="28"/>
          <w:szCs w:val="28"/>
        </w:rPr>
        <w:t>О</w:t>
      </w:r>
      <w:r w:rsidRPr="00954E5B">
        <w:rPr>
          <w:rFonts w:eastAsia="Courier New"/>
          <w:sz w:val="28"/>
          <w:szCs w:val="28"/>
        </w:rPr>
        <w:t xml:space="preserve">тремонтировано (с заменой) более 1,2 км ветхих сетей канализации в композитном исполнении, что составляет более 12% от их общего количества. </w:t>
      </w:r>
    </w:p>
    <w:p w:rsidR="005E6A14" w:rsidRPr="00954E5B" w:rsidRDefault="005E6A14" w:rsidP="005E6A14">
      <w:pPr>
        <w:spacing w:after="0"/>
        <w:ind w:firstLine="709"/>
        <w:jc w:val="both"/>
        <w:rPr>
          <w:rFonts w:eastAsia="Courier New"/>
          <w:color w:val="000000"/>
          <w:sz w:val="28"/>
          <w:szCs w:val="28"/>
        </w:rPr>
      </w:pPr>
      <w:r w:rsidRPr="00954E5B">
        <w:rPr>
          <w:rFonts w:eastAsia="Courier New"/>
          <w:color w:val="000000"/>
          <w:sz w:val="28"/>
          <w:szCs w:val="28"/>
        </w:rPr>
        <w:t>На территории города в 2021 году на объектах водоснабжения и водоотведения аварий и технологических сбоев не зафиксировано.</w:t>
      </w:r>
    </w:p>
    <w:p w:rsidR="005E6A14" w:rsidRPr="00954E5B" w:rsidRDefault="005E6A14" w:rsidP="005E6A14">
      <w:pPr>
        <w:spacing w:after="0"/>
        <w:ind w:firstLine="708"/>
        <w:jc w:val="both"/>
        <w:rPr>
          <w:rFonts w:eastAsia="Calibri"/>
          <w:sz w:val="28"/>
          <w:szCs w:val="28"/>
        </w:rPr>
      </w:pPr>
      <w:r w:rsidRPr="00954E5B">
        <w:rPr>
          <w:rFonts w:eastAsia="Calibri"/>
          <w:sz w:val="28"/>
          <w:szCs w:val="28"/>
        </w:rPr>
        <w:t>На территории города Ханты-Мансийска расположено 135 автоматизированных газовых котельных установок, на которых осуществляют свою деятельность 5 теплоснабжающих организаций:</w:t>
      </w:r>
    </w:p>
    <w:p w:rsidR="005E6A14" w:rsidRPr="00954E5B" w:rsidRDefault="005E6A14" w:rsidP="005E6A14">
      <w:pPr>
        <w:numPr>
          <w:ilvl w:val="0"/>
          <w:numId w:val="28"/>
        </w:numPr>
        <w:spacing w:after="0"/>
        <w:ind w:left="0" w:firstLine="709"/>
        <w:contextualSpacing/>
        <w:jc w:val="both"/>
        <w:rPr>
          <w:sz w:val="28"/>
          <w:szCs w:val="28"/>
        </w:rPr>
      </w:pPr>
      <w:r w:rsidRPr="00954E5B">
        <w:rPr>
          <w:sz w:val="28"/>
          <w:szCs w:val="28"/>
        </w:rPr>
        <w:t>акционерное общество «Управление теплоснабжения и инженерных сетей»;</w:t>
      </w:r>
    </w:p>
    <w:p w:rsidR="005E6A14" w:rsidRPr="00954E5B" w:rsidRDefault="005E6A14" w:rsidP="005E6A14">
      <w:pPr>
        <w:numPr>
          <w:ilvl w:val="0"/>
          <w:numId w:val="28"/>
        </w:numPr>
        <w:spacing w:after="0"/>
        <w:ind w:left="0" w:firstLine="709"/>
        <w:contextualSpacing/>
        <w:jc w:val="both"/>
        <w:rPr>
          <w:sz w:val="28"/>
          <w:szCs w:val="28"/>
        </w:rPr>
      </w:pPr>
      <w:r w:rsidRPr="00954E5B">
        <w:rPr>
          <w:sz w:val="28"/>
          <w:szCs w:val="28"/>
        </w:rPr>
        <w:t>муниципальное предприятие «Ханты-</w:t>
      </w:r>
      <w:proofErr w:type="spellStart"/>
      <w:r w:rsidRPr="00954E5B">
        <w:rPr>
          <w:sz w:val="28"/>
          <w:szCs w:val="28"/>
        </w:rPr>
        <w:t>Мансийскгаз</w:t>
      </w:r>
      <w:proofErr w:type="spellEnd"/>
      <w:r w:rsidRPr="00954E5B">
        <w:rPr>
          <w:sz w:val="28"/>
          <w:szCs w:val="28"/>
        </w:rPr>
        <w:t>»;</w:t>
      </w:r>
    </w:p>
    <w:p w:rsidR="005E6A14" w:rsidRPr="00954E5B" w:rsidRDefault="005E6A14" w:rsidP="005E6A14">
      <w:pPr>
        <w:numPr>
          <w:ilvl w:val="0"/>
          <w:numId w:val="28"/>
        </w:numPr>
        <w:spacing w:after="0"/>
        <w:ind w:left="0" w:firstLine="709"/>
        <w:contextualSpacing/>
        <w:jc w:val="both"/>
        <w:rPr>
          <w:sz w:val="28"/>
          <w:szCs w:val="28"/>
        </w:rPr>
      </w:pPr>
      <w:r w:rsidRPr="00954E5B">
        <w:rPr>
          <w:sz w:val="28"/>
          <w:szCs w:val="28"/>
        </w:rPr>
        <w:t>открытое акционерное общество «</w:t>
      </w:r>
      <w:proofErr w:type="spellStart"/>
      <w:r w:rsidRPr="00954E5B">
        <w:rPr>
          <w:sz w:val="28"/>
          <w:szCs w:val="28"/>
        </w:rPr>
        <w:t>Обьгаз</w:t>
      </w:r>
      <w:proofErr w:type="spellEnd"/>
      <w:r w:rsidRPr="00954E5B">
        <w:rPr>
          <w:sz w:val="28"/>
          <w:szCs w:val="28"/>
        </w:rPr>
        <w:t>»;</w:t>
      </w:r>
    </w:p>
    <w:p w:rsidR="005E6A14" w:rsidRPr="00954E5B" w:rsidRDefault="005E6A14" w:rsidP="005E6A14">
      <w:pPr>
        <w:numPr>
          <w:ilvl w:val="0"/>
          <w:numId w:val="28"/>
        </w:numPr>
        <w:spacing w:after="0"/>
        <w:ind w:left="0" w:firstLine="709"/>
        <w:contextualSpacing/>
        <w:jc w:val="both"/>
        <w:rPr>
          <w:sz w:val="28"/>
          <w:szCs w:val="28"/>
        </w:rPr>
      </w:pPr>
      <w:r w:rsidRPr="00954E5B">
        <w:rPr>
          <w:sz w:val="28"/>
          <w:szCs w:val="28"/>
        </w:rPr>
        <w:t>бюджетное учреждение Ханты-Мансийского автономного округа – Югры «Дирекция по эксплуатации служебных зданий»;</w:t>
      </w:r>
    </w:p>
    <w:p w:rsidR="005E6A14" w:rsidRPr="00954E5B" w:rsidRDefault="005E6A14" w:rsidP="005E6A14">
      <w:pPr>
        <w:numPr>
          <w:ilvl w:val="0"/>
          <w:numId w:val="28"/>
        </w:numPr>
        <w:suppressAutoHyphens/>
        <w:spacing w:after="0"/>
        <w:ind w:left="0" w:firstLine="709"/>
        <w:contextualSpacing/>
        <w:jc w:val="both"/>
        <w:rPr>
          <w:sz w:val="28"/>
          <w:szCs w:val="28"/>
        </w:rPr>
      </w:pPr>
      <w:r w:rsidRPr="00954E5B">
        <w:rPr>
          <w:sz w:val="28"/>
          <w:szCs w:val="28"/>
        </w:rPr>
        <w:t>акционерное общество «</w:t>
      </w:r>
      <w:proofErr w:type="spellStart"/>
      <w:r w:rsidRPr="00954E5B">
        <w:rPr>
          <w:sz w:val="28"/>
          <w:szCs w:val="28"/>
        </w:rPr>
        <w:t>Северавтодор</w:t>
      </w:r>
      <w:proofErr w:type="spellEnd"/>
      <w:r w:rsidRPr="00954E5B">
        <w:rPr>
          <w:sz w:val="28"/>
          <w:szCs w:val="28"/>
        </w:rPr>
        <w:t>», филиал №5.</w:t>
      </w:r>
    </w:p>
    <w:p w:rsidR="005E6A14" w:rsidRPr="00954E5B" w:rsidRDefault="005E6A14" w:rsidP="005E6A14">
      <w:pPr>
        <w:tabs>
          <w:tab w:val="left" w:pos="180"/>
        </w:tabs>
        <w:suppressAutoHyphens/>
        <w:spacing w:after="0"/>
        <w:ind w:firstLine="709"/>
        <w:jc w:val="both"/>
        <w:rPr>
          <w:sz w:val="28"/>
          <w:szCs w:val="28"/>
        </w:rPr>
      </w:pPr>
      <w:r w:rsidRPr="00954E5B">
        <w:rPr>
          <w:sz w:val="28"/>
          <w:szCs w:val="28"/>
        </w:rPr>
        <w:t xml:space="preserve">Объем подачи тепловой энергии за 2021 год </w:t>
      </w:r>
      <w:r w:rsidRPr="00632B7B">
        <w:rPr>
          <w:sz w:val="28"/>
          <w:szCs w:val="28"/>
        </w:rPr>
        <w:t>составляет</w:t>
      </w:r>
      <w:r w:rsidRPr="00954E5B">
        <w:rPr>
          <w:sz w:val="28"/>
          <w:szCs w:val="28"/>
        </w:rPr>
        <w:t xml:space="preserve"> 423 тыс.</w:t>
      </w:r>
      <w:r>
        <w:rPr>
          <w:sz w:val="28"/>
          <w:szCs w:val="28"/>
        </w:rPr>
        <w:t xml:space="preserve"> </w:t>
      </w:r>
      <w:r w:rsidRPr="00954E5B">
        <w:rPr>
          <w:sz w:val="28"/>
          <w:szCs w:val="28"/>
        </w:rPr>
        <w:t>Гкал, что на 3% ниже объема за аналогичный период прошлого года. Снижение обусловлено реализацией мероприятий</w:t>
      </w:r>
      <w:r>
        <w:rPr>
          <w:sz w:val="28"/>
          <w:szCs w:val="28"/>
        </w:rPr>
        <w:t>,</w:t>
      </w:r>
      <w:r w:rsidRPr="00954E5B">
        <w:rPr>
          <w:sz w:val="28"/>
          <w:szCs w:val="28"/>
        </w:rPr>
        <w:t xml:space="preserve"> направленных на энергосбережение и </w:t>
      </w:r>
      <w:proofErr w:type="spellStart"/>
      <w:r w:rsidRPr="00954E5B">
        <w:rPr>
          <w:sz w:val="28"/>
          <w:szCs w:val="28"/>
        </w:rPr>
        <w:t>энергоэффективность</w:t>
      </w:r>
      <w:proofErr w:type="spellEnd"/>
      <w:r w:rsidRPr="00954E5B">
        <w:rPr>
          <w:sz w:val="28"/>
          <w:szCs w:val="28"/>
        </w:rPr>
        <w:t>.</w:t>
      </w:r>
    </w:p>
    <w:p w:rsidR="005E6A14" w:rsidRPr="00954E5B" w:rsidRDefault="005E6A14" w:rsidP="005E6A14">
      <w:pPr>
        <w:spacing w:after="0"/>
        <w:ind w:firstLine="709"/>
        <w:jc w:val="both"/>
        <w:rPr>
          <w:sz w:val="28"/>
          <w:szCs w:val="28"/>
        </w:rPr>
      </w:pPr>
      <w:r w:rsidRPr="00954E5B">
        <w:rPr>
          <w:color w:val="000000"/>
          <w:sz w:val="28"/>
          <w:szCs w:val="28"/>
        </w:rPr>
        <w:t xml:space="preserve">В рамках исполнения требований по энергосбережению и </w:t>
      </w:r>
      <w:proofErr w:type="spellStart"/>
      <w:r w:rsidRPr="00954E5B">
        <w:rPr>
          <w:color w:val="000000"/>
          <w:sz w:val="28"/>
          <w:szCs w:val="28"/>
        </w:rPr>
        <w:t>энергоэффективности</w:t>
      </w:r>
      <w:proofErr w:type="spellEnd"/>
      <w:r w:rsidRPr="00954E5B">
        <w:rPr>
          <w:color w:val="000000"/>
          <w:sz w:val="28"/>
          <w:szCs w:val="28"/>
        </w:rPr>
        <w:t xml:space="preserve"> доля объема тепловой энергии, расчеты за которую осуществляются с использованием приборов учета, составляет 90%.</w:t>
      </w:r>
    </w:p>
    <w:p w:rsidR="005E6A14" w:rsidRPr="00954E5B" w:rsidRDefault="005E6A14" w:rsidP="005E6A14">
      <w:pPr>
        <w:suppressAutoHyphens/>
        <w:spacing w:after="0"/>
        <w:ind w:firstLine="708"/>
        <w:contextualSpacing/>
        <w:jc w:val="both"/>
        <w:rPr>
          <w:rFonts w:eastAsia="Calibri"/>
          <w:sz w:val="28"/>
          <w:szCs w:val="28"/>
        </w:rPr>
      </w:pPr>
      <w:r w:rsidRPr="00954E5B">
        <w:rPr>
          <w:rFonts w:eastAsia="Calibri"/>
          <w:sz w:val="28"/>
          <w:szCs w:val="28"/>
        </w:rPr>
        <w:t xml:space="preserve">Протяженность действующих тепловых сетей города составляет 136,9 км. </w:t>
      </w:r>
    </w:p>
    <w:p w:rsidR="005E6A14" w:rsidRPr="00954E5B" w:rsidRDefault="005E6A14" w:rsidP="005E6A14">
      <w:pPr>
        <w:tabs>
          <w:tab w:val="left" w:pos="180"/>
        </w:tabs>
        <w:suppressAutoHyphens/>
        <w:spacing w:after="0"/>
        <w:ind w:firstLine="709"/>
        <w:jc w:val="both"/>
        <w:rPr>
          <w:rFonts w:eastAsia="Calibri"/>
          <w:sz w:val="28"/>
          <w:szCs w:val="28"/>
        </w:rPr>
      </w:pPr>
      <w:r w:rsidRPr="00954E5B">
        <w:rPr>
          <w:rFonts w:eastAsia="Calibri"/>
          <w:sz w:val="28"/>
          <w:szCs w:val="28"/>
        </w:rPr>
        <w:lastRenderedPageBreak/>
        <w:t>Основной теплоснабжающей организацией (более 90% потребителей жилого фонда и социально значимых объектов) явля</w:t>
      </w:r>
      <w:r>
        <w:rPr>
          <w:rFonts w:eastAsia="Calibri"/>
          <w:sz w:val="28"/>
          <w:szCs w:val="28"/>
        </w:rPr>
        <w:t>е</w:t>
      </w:r>
      <w:r w:rsidRPr="00954E5B">
        <w:rPr>
          <w:rFonts w:eastAsia="Calibri"/>
          <w:sz w:val="28"/>
          <w:szCs w:val="28"/>
        </w:rPr>
        <w:t xml:space="preserve">тся акционерное общество «Управление теплоснабжения и инженерных сетей» (АО «УТС»). </w:t>
      </w:r>
    </w:p>
    <w:p w:rsidR="005E6A14" w:rsidRPr="00C041C2" w:rsidRDefault="005E6A14" w:rsidP="005E6A14">
      <w:pPr>
        <w:spacing w:after="0"/>
        <w:ind w:firstLine="709"/>
        <w:jc w:val="both"/>
        <w:rPr>
          <w:sz w:val="28"/>
          <w:szCs w:val="28"/>
        </w:rPr>
      </w:pPr>
      <w:r w:rsidRPr="00C041C2">
        <w:rPr>
          <w:rFonts w:eastAsia="Calibri"/>
          <w:sz w:val="28"/>
          <w:szCs w:val="28"/>
        </w:rPr>
        <w:t>В городе Ханты-Мансийске продолжа</w:t>
      </w:r>
      <w:r>
        <w:rPr>
          <w:rFonts w:eastAsia="Calibri"/>
          <w:sz w:val="28"/>
          <w:szCs w:val="28"/>
        </w:rPr>
        <w:t>ю</w:t>
      </w:r>
      <w:r w:rsidRPr="00C041C2">
        <w:rPr>
          <w:rFonts w:eastAsia="Calibri"/>
          <w:sz w:val="28"/>
          <w:szCs w:val="28"/>
        </w:rPr>
        <w:t xml:space="preserve">тся мероприятия по подключению объектов к сетям газораспределения. В 2021 году к сетям </w:t>
      </w:r>
      <w:r w:rsidRPr="00AF18A0">
        <w:rPr>
          <w:rFonts w:eastAsia="Calibri"/>
          <w:color w:val="000000"/>
          <w:sz w:val="28"/>
          <w:szCs w:val="28"/>
        </w:rPr>
        <w:t>подключены 74 объекта и построено более 1,5 км сетей газораспределения.</w:t>
      </w:r>
      <w:r w:rsidRPr="00C041C2">
        <w:rPr>
          <w:color w:val="000000"/>
          <w:sz w:val="28"/>
          <w:szCs w:val="28"/>
        </w:rPr>
        <w:t xml:space="preserve"> </w:t>
      </w:r>
      <w:r w:rsidRPr="00C041C2">
        <w:rPr>
          <w:rFonts w:eastAsia="Calibri"/>
          <w:sz w:val="28"/>
          <w:szCs w:val="28"/>
        </w:rPr>
        <w:t>Общая протяжённость сетей газо</w:t>
      </w:r>
      <w:r>
        <w:rPr>
          <w:rFonts w:eastAsia="Calibri"/>
          <w:sz w:val="28"/>
          <w:szCs w:val="28"/>
        </w:rPr>
        <w:t xml:space="preserve">снабжения составила 294,8 км, </w:t>
      </w:r>
      <w:r w:rsidRPr="00C041C2">
        <w:rPr>
          <w:rFonts w:eastAsia="Calibri"/>
          <w:sz w:val="28"/>
          <w:szCs w:val="28"/>
        </w:rPr>
        <w:t xml:space="preserve">обеспечена транспортировка природного газа в объеме </w:t>
      </w:r>
      <w:r w:rsidRPr="00C041C2">
        <w:rPr>
          <w:color w:val="333333"/>
          <w:sz w:val="28"/>
          <w:szCs w:val="28"/>
        </w:rPr>
        <w:t xml:space="preserve">106,46 </w:t>
      </w:r>
      <w:r w:rsidRPr="00C041C2">
        <w:rPr>
          <w:rFonts w:eastAsia="Calibri"/>
          <w:sz w:val="28"/>
          <w:szCs w:val="28"/>
        </w:rPr>
        <w:t xml:space="preserve">млн </w:t>
      </w:r>
      <w:r>
        <w:rPr>
          <w:rFonts w:eastAsia="Calibri"/>
          <w:sz w:val="28"/>
          <w:szCs w:val="28"/>
        </w:rPr>
        <w:t>куб. м</w:t>
      </w:r>
      <w:r w:rsidRPr="00C041C2">
        <w:rPr>
          <w:rFonts w:eastAsia="Calibri"/>
          <w:sz w:val="28"/>
          <w:szCs w:val="28"/>
        </w:rPr>
        <w:t>.</w:t>
      </w:r>
      <w:r>
        <w:rPr>
          <w:rFonts w:eastAsia="Calibri"/>
          <w:sz w:val="28"/>
          <w:szCs w:val="28"/>
        </w:rPr>
        <w:t xml:space="preserve"> </w:t>
      </w:r>
      <w:r w:rsidRPr="00C041C2">
        <w:rPr>
          <w:color w:val="000000"/>
          <w:sz w:val="28"/>
          <w:szCs w:val="28"/>
        </w:rPr>
        <w:t xml:space="preserve">В рамках исполнения требований по энергосбережению и </w:t>
      </w:r>
      <w:proofErr w:type="spellStart"/>
      <w:r w:rsidRPr="00C041C2">
        <w:rPr>
          <w:color w:val="000000"/>
          <w:sz w:val="28"/>
          <w:szCs w:val="28"/>
        </w:rPr>
        <w:t>энергоэффективности</w:t>
      </w:r>
      <w:proofErr w:type="spellEnd"/>
      <w:r w:rsidRPr="00C041C2">
        <w:rPr>
          <w:color w:val="000000"/>
          <w:sz w:val="28"/>
          <w:szCs w:val="28"/>
        </w:rPr>
        <w:t xml:space="preserve"> доля объема природного газа, расчеты за которую осуществляются с использованием приборов учета, составляет 100%.</w:t>
      </w:r>
    </w:p>
    <w:p w:rsidR="005E6A14" w:rsidRPr="004F34FC" w:rsidRDefault="005E6A14" w:rsidP="005E6A14">
      <w:pPr>
        <w:spacing w:after="0"/>
        <w:ind w:firstLine="567"/>
        <w:jc w:val="both"/>
        <w:rPr>
          <w:sz w:val="28"/>
          <w:szCs w:val="28"/>
        </w:rPr>
      </w:pPr>
      <w:r>
        <w:rPr>
          <w:rFonts w:eastAsia="Calibri"/>
          <w:sz w:val="28"/>
          <w:szCs w:val="28"/>
        </w:rPr>
        <w:t>В текущем году на 7</w:t>
      </w:r>
      <w:r w:rsidRPr="00C041C2">
        <w:rPr>
          <w:rFonts w:eastAsia="Calibri"/>
          <w:sz w:val="28"/>
          <w:szCs w:val="28"/>
        </w:rPr>
        <w:t>% увеличилось количество договоров технического обслуживания внутридомового и внутриквартирного газового оборудования</w:t>
      </w:r>
      <w:r>
        <w:rPr>
          <w:rFonts w:eastAsia="Calibri"/>
          <w:sz w:val="28"/>
          <w:szCs w:val="28"/>
        </w:rPr>
        <w:t>, составив 16 267 абонентов или 98</w:t>
      </w:r>
      <w:r w:rsidRPr="00C041C2">
        <w:rPr>
          <w:rFonts w:eastAsia="Calibri"/>
          <w:sz w:val="28"/>
          <w:szCs w:val="28"/>
        </w:rPr>
        <w:t>% от их общего количества.</w:t>
      </w:r>
    </w:p>
    <w:p w:rsidR="005E6A14" w:rsidRDefault="005E6A14" w:rsidP="005E6A14">
      <w:pPr>
        <w:spacing w:after="0"/>
        <w:ind w:firstLine="567"/>
        <w:jc w:val="both"/>
        <w:rPr>
          <w:sz w:val="28"/>
          <w:szCs w:val="28"/>
        </w:rPr>
      </w:pPr>
      <w:r w:rsidRPr="004F34FC">
        <w:rPr>
          <w:sz w:val="28"/>
          <w:szCs w:val="28"/>
        </w:rPr>
        <w:tab/>
        <w:t xml:space="preserve">Основное мероприятие «Актуализация схем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 при плане 669,0 тыс. рублей кассовое исполнение составило 100%, средства направлены на актуализацию схемы теплоснабжения муниципального образования города Ханты-Мансийска. </w:t>
      </w:r>
    </w:p>
    <w:p w:rsidR="005E6A14" w:rsidRPr="00954E5B" w:rsidRDefault="005E6A14" w:rsidP="005E6A14">
      <w:pPr>
        <w:spacing w:after="0"/>
        <w:ind w:firstLine="708"/>
        <w:jc w:val="both"/>
        <w:rPr>
          <w:rFonts w:eastAsia="Courier New"/>
          <w:color w:val="000000"/>
          <w:sz w:val="28"/>
          <w:szCs w:val="28"/>
        </w:rPr>
      </w:pPr>
      <w:r w:rsidRPr="00954E5B">
        <w:rPr>
          <w:sz w:val="28"/>
          <w:szCs w:val="28"/>
        </w:rPr>
        <w:t xml:space="preserve">К </w:t>
      </w:r>
      <w:r w:rsidRPr="00954E5B">
        <w:rPr>
          <w:rFonts w:eastAsia="Courier New"/>
          <w:color w:val="000000"/>
          <w:sz w:val="28"/>
          <w:szCs w:val="28"/>
        </w:rPr>
        <w:t xml:space="preserve">централизованным сетям тепло- и горячего водоснабжения в рамках технологического присоединения в отчетном периоде подключено 5 объектов, </w:t>
      </w:r>
      <w:r>
        <w:rPr>
          <w:rFonts w:eastAsia="Courier New"/>
          <w:color w:val="000000"/>
          <w:sz w:val="28"/>
          <w:szCs w:val="28"/>
        </w:rPr>
        <w:t>а именно</w:t>
      </w:r>
      <w:r w:rsidRPr="00954E5B">
        <w:rPr>
          <w:rFonts w:eastAsia="Courier New"/>
          <w:color w:val="000000"/>
          <w:sz w:val="28"/>
          <w:szCs w:val="28"/>
        </w:rPr>
        <w:t xml:space="preserve"> 4 многоквартирных жилых дом</w:t>
      </w:r>
      <w:r>
        <w:rPr>
          <w:rFonts w:eastAsia="Courier New"/>
          <w:color w:val="000000"/>
          <w:sz w:val="28"/>
          <w:szCs w:val="28"/>
        </w:rPr>
        <w:t>а</w:t>
      </w:r>
      <w:r w:rsidRPr="00954E5B">
        <w:rPr>
          <w:rFonts w:eastAsia="Courier New"/>
          <w:color w:val="000000"/>
          <w:sz w:val="28"/>
          <w:szCs w:val="28"/>
        </w:rPr>
        <w:t xml:space="preserve"> и 1 объект социального назначения. Построено 400 метров магистральных сетей.</w:t>
      </w:r>
    </w:p>
    <w:p w:rsidR="005E6A14" w:rsidRDefault="005E6A14" w:rsidP="005E6A14">
      <w:pPr>
        <w:tabs>
          <w:tab w:val="left" w:pos="0"/>
        </w:tabs>
        <w:spacing w:after="0"/>
        <w:ind w:right="-2"/>
        <w:jc w:val="both"/>
        <w:rPr>
          <w:sz w:val="28"/>
          <w:szCs w:val="28"/>
        </w:rPr>
      </w:pPr>
      <w:r w:rsidRPr="004F34FC">
        <w:rPr>
          <w:sz w:val="28"/>
          <w:szCs w:val="28"/>
        </w:rPr>
        <w:tab/>
        <w:t>Основное мероприятие «Корректировка (актуализация) программы Комплексное развитие систем коммунальной инфраструктуры города Ханты-Мансийска на 2017-2032гг.»  при плане 1 140,0 тыс. рублей кассовое исполнение составило 100%. Средства направлены на выполнение работ по корректировке (актуализации) программы «Комплексное развитие коммунальной инфраструктуры города Ханты-Мансийска».</w:t>
      </w:r>
    </w:p>
    <w:p w:rsidR="005E6A14" w:rsidRDefault="005E6A14" w:rsidP="005E6A14">
      <w:pPr>
        <w:tabs>
          <w:tab w:val="left" w:pos="0"/>
        </w:tabs>
        <w:spacing w:after="0"/>
        <w:ind w:right="-2"/>
        <w:jc w:val="both"/>
        <w:rPr>
          <w:sz w:val="28"/>
          <w:szCs w:val="28"/>
        </w:rPr>
      </w:pPr>
      <w:bookmarkStart w:id="9" w:name="_GoBack"/>
      <w:bookmarkEnd w:id="0"/>
      <w:bookmarkEnd w:id="1"/>
      <w:bookmarkEnd w:id="2"/>
      <w:bookmarkEnd w:id="3"/>
      <w:bookmarkEnd w:id="9"/>
    </w:p>
    <w:sectPr w:rsidR="005E6A14"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34" w:rsidRDefault="00191E34" w:rsidP="00FF5332">
      <w:pPr>
        <w:spacing w:after="0" w:line="240" w:lineRule="auto"/>
      </w:pPr>
      <w:r>
        <w:separator/>
      </w:r>
    </w:p>
  </w:endnote>
  <w:endnote w:type="continuationSeparator" w:id="0">
    <w:p w:rsidR="00191E34" w:rsidRDefault="00191E34"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34" w:rsidRDefault="00191E34" w:rsidP="00FF5332">
      <w:pPr>
        <w:spacing w:after="0" w:line="240" w:lineRule="auto"/>
      </w:pPr>
      <w:r>
        <w:separator/>
      </w:r>
    </w:p>
  </w:footnote>
  <w:footnote w:type="continuationSeparator" w:id="0">
    <w:p w:rsidR="00191E34" w:rsidRDefault="00191E34"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E86"/>
    <w:rsid w:val="00133237"/>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1E34"/>
    <w:rsid w:val="00192C68"/>
    <w:rsid w:val="001944A0"/>
    <w:rsid w:val="001944F6"/>
    <w:rsid w:val="00195A87"/>
    <w:rsid w:val="00195C1B"/>
    <w:rsid w:val="00197160"/>
    <w:rsid w:val="001972BF"/>
    <w:rsid w:val="001A1BC8"/>
    <w:rsid w:val="001A1DF9"/>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D74"/>
    <w:rsid w:val="001F4EC4"/>
    <w:rsid w:val="001F60F5"/>
    <w:rsid w:val="001F774F"/>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7025F"/>
    <w:rsid w:val="002703C5"/>
    <w:rsid w:val="00275DD1"/>
    <w:rsid w:val="00277177"/>
    <w:rsid w:val="0027788C"/>
    <w:rsid w:val="0027795F"/>
    <w:rsid w:val="00277A45"/>
    <w:rsid w:val="00277BBA"/>
    <w:rsid w:val="002801E6"/>
    <w:rsid w:val="002803B0"/>
    <w:rsid w:val="00282036"/>
    <w:rsid w:val="00283069"/>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A4D"/>
    <w:rsid w:val="002F5301"/>
    <w:rsid w:val="003005CB"/>
    <w:rsid w:val="00300A1A"/>
    <w:rsid w:val="00300BCF"/>
    <w:rsid w:val="0030104A"/>
    <w:rsid w:val="003019A6"/>
    <w:rsid w:val="0030352B"/>
    <w:rsid w:val="00303878"/>
    <w:rsid w:val="00303999"/>
    <w:rsid w:val="00303B3A"/>
    <w:rsid w:val="00303C03"/>
    <w:rsid w:val="0030462F"/>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45BC"/>
    <w:rsid w:val="003E4722"/>
    <w:rsid w:val="003E573F"/>
    <w:rsid w:val="003F069F"/>
    <w:rsid w:val="003F3087"/>
    <w:rsid w:val="003F3290"/>
    <w:rsid w:val="003F6408"/>
    <w:rsid w:val="003F66A2"/>
    <w:rsid w:val="003F6761"/>
    <w:rsid w:val="004002A9"/>
    <w:rsid w:val="00401D7D"/>
    <w:rsid w:val="00401EDD"/>
    <w:rsid w:val="0040437E"/>
    <w:rsid w:val="004062E1"/>
    <w:rsid w:val="0041013C"/>
    <w:rsid w:val="004103AB"/>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5CD6"/>
    <w:rsid w:val="004860E9"/>
    <w:rsid w:val="00492E8D"/>
    <w:rsid w:val="00494C67"/>
    <w:rsid w:val="00494CE7"/>
    <w:rsid w:val="00494FC7"/>
    <w:rsid w:val="004A0DD1"/>
    <w:rsid w:val="004A0DF1"/>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7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5F4A"/>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777B9"/>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13"/>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7181F"/>
    <w:rsid w:val="00E72467"/>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6A478A-C896-4815-A30A-529DD0D5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1944</Words>
  <Characters>11085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2</cp:revision>
  <cp:lastPrinted>2022-03-29T04:21:00Z</cp:lastPrinted>
  <dcterms:created xsi:type="dcterms:W3CDTF">2022-04-12T04:35:00Z</dcterms:created>
  <dcterms:modified xsi:type="dcterms:W3CDTF">2022-04-12T04:35:00Z</dcterms:modified>
</cp:coreProperties>
</file>