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EE" w:rsidRDefault="004649EE" w:rsidP="004649EE">
      <w:pPr>
        <w:keepNext/>
        <w:keepLines/>
        <w:spacing w:after="0" w:line="240" w:lineRule="auto"/>
        <w:ind w:right="424"/>
        <w:jc w:val="center"/>
        <w:outlineLvl w:val="0"/>
        <w:rPr>
          <w:rFonts w:eastAsiaTheme="majorEastAsia"/>
          <w:b/>
          <w:bCs/>
          <w:color w:val="C45911" w:themeColor="accent2" w:themeShade="BF"/>
          <w:sz w:val="32"/>
          <w:szCs w:val="32"/>
        </w:rPr>
      </w:pPr>
      <w:bookmarkStart w:id="0" w:name="_Toc192253435"/>
      <w:bookmarkStart w:id="1" w:name="_Toc161322868"/>
      <w:bookmarkStart w:id="2" w:name="_Toc508869933"/>
      <w:bookmarkStart w:id="3" w:name="_Toc509924537"/>
      <w:bookmarkStart w:id="4" w:name="_Toc3795524"/>
      <w:bookmarkStart w:id="5" w:name="_Toc4056086"/>
      <w:bookmarkStart w:id="6" w:name="_Toc130222739"/>
      <w:r w:rsidRPr="00F07DD4">
        <w:rPr>
          <w:rFonts w:eastAsiaTheme="majorEastAsia"/>
          <w:b/>
          <w:bCs/>
          <w:color w:val="C45911" w:themeColor="accent2" w:themeShade="BF"/>
          <w:sz w:val="32"/>
          <w:szCs w:val="32"/>
        </w:rPr>
        <w:t xml:space="preserve">Муниципальная программа </w:t>
      </w:r>
      <w:bookmarkStart w:id="7" w:name="_Toc131164260"/>
      <w:r w:rsidRPr="00F07DD4">
        <w:rPr>
          <w:rFonts w:eastAsiaTheme="majorEastAsia"/>
          <w:b/>
          <w:bCs/>
          <w:color w:val="C45911" w:themeColor="accent2" w:themeShade="BF"/>
          <w:sz w:val="32"/>
          <w:szCs w:val="32"/>
        </w:rPr>
        <w:t>«Основные направления развития в области управления и распоряжения муниципальной собственностью города Ханты-Мансийска»</w:t>
      </w:r>
      <w:bookmarkEnd w:id="0"/>
      <w:bookmarkEnd w:id="1"/>
      <w:bookmarkEnd w:id="7"/>
      <w:r>
        <w:rPr>
          <w:rFonts w:eastAsiaTheme="majorEastAsia"/>
          <w:b/>
          <w:bCs/>
          <w:color w:val="C45911" w:themeColor="accent2" w:themeShade="BF"/>
          <w:sz w:val="32"/>
          <w:szCs w:val="32"/>
        </w:rPr>
        <w:t xml:space="preserve">                                 </w:t>
      </w:r>
    </w:p>
    <w:p w:rsidR="004649EE" w:rsidRDefault="004649EE" w:rsidP="004649EE">
      <w:pPr>
        <w:spacing w:after="0"/>
        <w:ind w:right="-2" w:firstLine="709"/>
        <w:jc w:val="both"/>
        <w:rPr>
          <w:sz w:val="28"/>
          <w:szCs w:val="28"/>
        </w:rPr>
      </w:pPr>
    </w:p>
    <w:p w:rsidR="004649EE" w:rsidRPr="00F07DD4" w:rsidRDefault="004649EE" w:rsidP="004649EE">
      <w:pPr>
        <w:spacing w:after="0"/>
        <w:ind w:right="-2" w:firstLine="709"/>
        <w:jc w:val="both"/>
        <w:rPr>
          <w:sz w:val="28"/>
          <w:szCs w:val="28"/>
        </w:rPr>
      </w:pPr>
      <w:r w:rsidRPr="00F07DD4">
        <w:rPr>
          <w:sz w:val="28"/>
          <w:szCs w:val="28"/>
        </w:rPr>
        <w:t xml:space="preserve">Муниципальная программа утверждена постановлением Администрации города Ханты-Мансийска от 08.11.2013 № 1450 «Об утверждении муниципальной программы «Основные направления развития в области управления и распоряжения муниципальной собственностью города Ханты-Мансийска». </w:t>
      </w:r>
    </w:p>
    <w:p w:rsidR="004649EE" w:rsidRPr="00F07DD4" w:rsidRDefault="004649EE" w:rsidP="004649EE">
      <w:pPr>
        <w:autoSpaceDE w:val="0"/>
        <w:autoSpaceDN w:val="0"/>
        <w:adjustRightInd w:val="0"/>
        <w:spacing w:after="0"/>
        <w:ind w:right="-2" w:firstLine="708"/>
        <w:jc w:val="both"/>
        <w:rPr>
          <w:sz w:val="28"/>
          <w:szCs w:val="28"/>
        </w:rPr>
      </w:pPr>
      <w:r w:rsidRPr="00F07DD4">
        <w:rPr>
          <w:sz w:val="28"/>
          <w:szCs w:val="28"/>
        </w:rPr>
        <w:t>На финансирование муниципальной программы в 202</w:t>
      </w:r>
      <w:r>
        <w:rPr>
          <w:sz w:val="28"/>
          <w:szCs w:val="28"/>
        </w:rPr>
        <w:t>4</w:t>
      </w:r>
      <w:r w:rsidRPr="00F07DD4">
        <w:rPr>
          <w:sz w:val="28"/>
          <w:szCs w:val="28"/>
        </w:rPr>
        <w:t xml:space="preserve"> году предусмотрены средства бюджета города Ханты-Мансийска в объеме </w:t>
      </w:r>
      <w:r>
        <w:rPr>
          <w:sz w:val="28"/>
          <w:szCs w:val="28"/>
        </w:rPr>
        <w:t>473 939,7</w:t>
      </w:r>
      <w:r w:rsidRPr="00F07DD4">
        <w:rPr>
          <w:sz w:val="28"/>
          <w:szCs w:val="28"/>
        </w:rPr>
        <w:t xml:space="preserve"> тыс. рублей.</w:t>
      </w:r>
    </w:p>
    <w:p w:rsidR="004649EE" w:rsidRDefault="004649EE" w:rsidP="004649EE">
      <w:pPr>
        <w:autoSpaceDE w:val="0"/>
        <w:autoSpaceDN w:val="0"/>
        <w:adjustRightInd w:val="0"/>
        <w:spacing w:after="0"/>
        <w:ind w:right="-2" w:firstLine="708"/>
        <w:jc w:val="both"/>
        <w:rPr>
          <w:sz w:val="28"/>
          <w:szCs w:val="28"/>
        </w:rPr>
      </w:pPr>
      <w:r w:rsidRPr="00F07DD4">
        <w:rPr>
          <w:sz w:val="28"/>
          <w:szCs w:val="28"/>
        </w:rPr>
        <w:t xml:space="preserve">Исполнение </w:t>
      </w:r>
      <w:r w:rsidRPr="00F07DD4">
        <w:rPr>
          <w:bCs/>
          <w:sz w:val="28"/>
          <w:szCs w:val="28"/>
        </w:rPr>
        <w:t>муниципальной программы</w:t>
      </w:r>
      <w:r w:rsidRPr="00F07DD4">
        <w:rPr>
          <w:sz w:val="28"/>
          <w:szCs w:val="28"/>
        </w:rPr>
        <w:t xml:space="preserve"> на отчетную дату составляет </w:t>
      </w:r>
      <w:r>
        <w:rPr>
          <w:sz w:val="28"/>
          <w:szCs w:val="28"/>
        </w:rPr>
        <w:t>470 932,6</w:t>
      </w:r>
      <w:r w:rsidRPr="00F07DD4">
        <w:rPr>
          <w:sz w:val="28"/>
          <w:szCs w:val="28"/>
        </w:rPr>
        <w:t xml:space="preserve"> тыс. рублей или 99,</w:t>
      </w:r>
      <w:r>
        <w:rPr>
          <w:sz w:val="28"/>
          <w:szCs w:val="28"/>
        </w:rPr>
        <w:t>4</w:t>
      </w:r>
      <w:r w:rsidRPr="00F07DD4">
        <w:rPr>
          <w:sz w:val="28"/>
          <w:szCs w:val="28"/>
        </w:rPr>
        <w:t>% от годового объема финансирования.</w:t>
      </w:r>
    </w:p>
    <w:p w:rsidR="004649EE" w:rsidRPr="00D03AD5" w:rsidRDefault="004649EE" w:rsidP="004649EE">
      <w:pPr>
        <w:tabs>
          <w:tab w:val="left" w:pos="459"/>
        </w:tabs>
        <w:suppressAutoHyphens/>
        <w:spacing w:after="0"/>
        <w:ind w:right="-2"/>
        <w:jc w:val="both"/>
        <w:rPr>
          <w:rFonts w:eastAsia="Arial Unicode MS"/>
          <w:sz w:val="28"/>
          <w:szCs w:val="28"/>
        </w:rPr>
      </w:pPr>
      <w:r>
        <w:rPr>
          <w:sz w:val="28"/>
          <w:szCs w:val="28"/>
        </w:rPr>
        <w:tab/>
      </w:r>
      <w:r>
        <w:rPr>
          <w:sz w:val="28"/>
          <w:szCs w:val="28"/>
        </w:rPr>
        <w:tab/>
      </w:r>
      <w:r w:rsidRPr="00D03AD5">
        <w:rPr>
          <w:sz w:val="28"/>
          <w:szCs w:val="28"/>
        </w:rPr>
        <w:t xml:space="preserve">Исполнение расходов бюджета города по муниципальной программе </w:t>
      </w:r>
      <w:r w:rsidRPr="00D03AD5">
        <w:rPr>
          <w:rFonts w:eastAsia="Arial Unicode MS"/>
          <w:sz w:val="28"/>
          <w:szCs w:val="28"/>
        </w:rPr>
        <w:t>«Основные направления развития в области управления и распоряжения муниципальной собственностью города Ханты-Мансийска»</w:t>
      </w:r>
      <w:r w:rsidRPr="00D03AD5">
        <w:t xml:space="preserve"> </w:t>
      </w:r>
      <w:r w:rsidRPr="00D03AD5">
        <w:rPr>
          <w:rFonts w:eastAsia="Arial Unicode MS"/>
          <w:sz w:val="28"/>
          <w:szCs w:val="28"/>
        </w:rPr>
        <w:t>осуществляли следующие ответственные исполнители:</w:t>
      </w:r>
    </w:p>
    <w:p w:rsidR="004649EE" w:rsidRPr="00F07DD4" w:rsidRDefault="004649EE" w:rsidP="004649EE">
      <w:pPr>
        <w:tabs>
          <w:tab w:val="left" w:pos="459"/>
        </w:tabs>
        <w:suppressAutoHyphens/>
        <w:spacing w:after="0"/>
        <w:ind w:right="424"/>
        <w:rPr>
          <w:sz w:val="24"/>
          <w:szCs w:val="24"/>
        </w:rPr>
      </w:pPr>
      <w:r w:rsidRPr="00F07DD4">
        <w:t xml:space="preserve"> (</w:t>
      </w:r>
      <w:r w:rsidRPr="00F07DD4">
        <w:rPr>
          <w:sz w:val="24"/>
          <w:szCs w:val="24"/>
        </w:rPr>
        <w:t>тыс. рублей)</w:t>
      </w:r>
    </w:p>
    <w:tbl>
      <w:tblPr>
        <w:tblW w:w="9214" w:type="dxa"/>
        <w:tblInd w:w="108" w:type="dxa"/>
        <w:tblLayout w:type="fixed"/>
        <w:tblLook w:val="04A0" w:firstRow="1" w:lastRow="0" w:firstColumn="1" w:lastColumn="0" w:noHBand="0" w:noVBand="1"/>
      </w:tblPr>
      <w:tblGrid>
        <w:gridCol w:w="567"/>
        <w:gridCol w:w="2977"/>
        <w:gridCol w:w="1440"/>
        <w:gridCol w:w="1395"/>
        <w:gridCol w:w="1275"/>
        <w:gridCol w:w="1560"/>
      </w:tblGrid>
      <w:tr w:rsidR="004649EE" w:rsidRPr="00F07DD4" w:rsidTr="00323A02">
        <w:trPr>
          <w:trHeight w:val="300"/>
          <w:tblHeader/>
        </w:trPr>
        <w:tc>
          <w:tcPr>
            <w:tcW w:w="567" w:type="dxa"/>
            <w:vMerge w:val="restart"/>
            <w:tcBorders>
              <w:top w:val="single" w:sz="4" w:space="0" w:color="auto"/>
              <w:left w:val="single" w:sz="4" w:space="0" w:color="auto"/>
              <w:right w:val="single" w:sz="4" w:space="0" w:color="auto"/>
            </w:tcBorders>
            <w:vAlign w:val="center"/>
          </w:tcPr>
          <w:p w:rsidR="004649EE" w:rsidRPr="00F07DD4" w:rsidRDefault="004649EE" w:rsidP="00323A02">
            <w:pPr>
              <w:tabs>
                <w:tab w:val="left" w:pos="0"/>
              </w:tabs>
              <w:spacing w:after="0" w:line="240" w:lineRule="auto"/>
              <w:ind w:right="33"/>
              <w:jc w:val="center"/>
              <w:rPr>
                <w:sz w:val="20"/>
                <w:szCs w:val="20"/>
              </w:rPr>
            </w:pPr>
            <w:r w:rsidRPr="00F07DD4">
              <w:rPr>
                <w:sz w:val="20"/>
                <w:szCs w:val="2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9EE" w:rsidRPr="00F07DD4" w:rsidRDefault="004649EE" w:rsidP="00323A02">
            <w:pPr>
              <w:spacing w:after="0" w:line="240" w:lineRule="auto"/>
              <w:jc w:val="center"/>
              <w:rPr>
                <w:sz w:val="20"/>
                <w:szCs w:val="20"/>
              </w:rPr>
            </w:pPr>
            <w:r w:rsidRPr="00F07DD4">
              <w:rPr>
                <w:sz w:val="20"/>
                <w:szCs w:val="20"/>
              </w:rPr>
              <w:t>Наименование основного исполнителя, соисполнителя муниципальной программы</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EE" w:rsidRPr="00F07DD4" w:rsidRDefault="004649EE" w:rsidP="00323A02">
            <w:pPr>
              <w:spacing w:after="0" w:line="240" w:lineRule="auto"/>
              <w:jc w:val="center"/>
              <w:rPr>
                <w:sz w:val="20"/>
                <w:szCs w:val="20"/>
              </w:rPr>
            </w:pPr>
            <w:r w:rsidRPr="00F07DD4">
              <w:rPr>
                <w:sz w:val="20"/>
                <w:szCs w:val="20"/>
              </w:rPr>
              <w:t>202</w:t>
            </w:r>
            <w:r>
              <w:rPr>
                <w:sz w:val="20"/>
                <w:szCs w:val="20"/>
              </w:rPr>
              <w:t>3</w:t>
            </w:r>
            <w:r w:rsidRPr="00F07DD4">
              <w:rPr>
                <w:sz w:val="20"/>
                <w:szCs w:val="20"/>
              </w:rPr>
              <w:t xml:space="preserve"> год</w:t>
            </w:r>
          </w:p>
          <w:p w:rsidR="004649EE" w:rsidRPr="00F07DD4" w:rsidRDefault="004649EE" w:rsidP="00323A02">
            <w:pPr>
              <w:spacing w:after="0" w:line="240" w:lineRule="auto"/>
              <w:jc w:val="center"/>
              <w:rPr>
                <w:sz w:val="20"/>
                <w:szCs w:val="20"/>
              </w:rPr>
            </w:pPr>
            <w:r w:rsidRPr="00F07DD4">
              <w:rPr>
                <w:sz w:val="20"/>
                <w:szCs w:val="20"/>
              </w:rPr>
              <w:t>(отчет)</w:t>
            </w:r>
          </w:p>
        </w:tc>
        <w:tc>
          <w:tcPr>
            <w:tcW w:w="4230" w:type="dxa"/>
            <w:gridSpan w:val="3"/>
            <w:tcBorders>
              <w:top w:val="single" w:sz="4" w:space="0" w:color="auto"/>
              <w:left w:val="nil"/>
              <w:bottom w:val="single" w:sz="4" w:space="0" w:color="auto"/>
              <w:right w:val="single" w:sz="4" w:space="0" w:color="auto"/>
            </w:tcBorders>
            <w:shd w:val="clear" w:color="auto" w:fill="auto"/>
            <w:noWrap/>
            <w:vAlign w:val="center"/>
            <w:hideMark/>
          </w:tcPr>
          <w:p w:rsidR="004649EE" w:rsidRPr="00F07DD4" w:rsidRDefault="004649EE" w:rsidP="00323A02">
            <w:pPr>
              <w:spacing w:after="0" w:line="240" w:lineRule="auto"/>
              <w:jc w:val="center"/>
              <w:rPr>
                <w:sz w:val="20"/>
                <w:szCs w:val="20"/>
              </w:rPr>
            </w:pPr>
            <w:r w:rsidRPr="00F07DD4">
              <w:rPr>
                <w:sz w:val="20"/>
                <w:szCs w:val="20"/>
              </w:rPr>
              <w:t>202</w:t>
            </w:r>
            <w:r>
              <w:rPr>
                <w:sz w:val="20"/>
                <w:szCs w:val="20"/>
              </w:rPr>
              <w:t>4</w:t>
            </w:r>
            <w:r w:rsidRPr="00F07DD4">
              <w:rPr>
                <w:sz w:val="20"/>
                <w:szCs w:val="20"/>
              </w:rPr>
              <w:t xml:space="preserve"> год </w:t>
            </w:r>
          </w:p>
        </w:tc>
      </w:tr>
      <w:tr w:rsidR="004649EE" w:rsidRPr="00F07DD4" w:rsidTr="00323A02">
        <w:trPr>
          <w:trHeight w:val="900"/>
          <w:tblHeader/>
        </w:trPr>
        <w:tc>
          <w:tcPr>
            <w:tcW w:w="567" w:type="dxa"/>
            <w:vMerge/>
            <w:tcBorders>
              <w:left w:val="single" w:sz="4" w:space="0" w:color="auto"/>
              <w:bottom w:val="single" w:sz="4" w:space="0" w:color="auto"/>
              <w:right w:val="single" w:sz="4" w:space="0" w:color="auto"/>
            </w:tcBorders>
          </w:tcPr>
          <w:p w:rsidR="004649EE" w:rsidRPr="00F07DD4" w:rsidRDefault="004649EE" w:rsidP="00323A02">
            <w:pPr>
              <w:spacing w:after="0" w:line="240" w:lineRule="auto"/>
              <w:ind w:right="424"/>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649EE" w:rsidRPr="00F07DD4" w:rsidRDefault="004649EE" w:rsidP="00323A02">
            <w:pPr>
              <w:spacing w:after="0" w:line="240" w:lineRule="auto"/>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649EE" w:rsidRPr="00F07DD4" w:rsidRDefault="004649EE" w:rsidP="00323A02">
            <w:pPr>
              <w:spacing w:after="0" w:line="240" w:lineRule="auto"/>
              <w:rPr>
                <w:sz w:val="20"/>
                <w:szCs w:val="20"/>
              </w:rPr>
            </w:pPr>
          </w:p>
        </w:tc>
        <w:tc>
          <w:tcPr>
            <w:tcW w:w="1395" w:type="dxa"/>
            <w:tcBorders>
              <w:top w:val="nil"/>
              <w:left w:val="nil"/>
              <w:bottom w:val="single" w:sz="4" w:space="0" w:color="auto"/>
              <w:right w:val="single" w:sz="4" w:space="0" w:color="auto"/>
            </w:tcBorders>
            <w:shd w:val="clear" w:color="auto" w:fill="auto"/>
            <w:vAlign w:val="center"/>
            <w:hideMark/>
          </w:tcPr>
          <w:p w:rsidR="004649EE" w:rsidRPr="00F07DD4" w:rsidRDefault="004649EE" w:rsidP="00323A02">
            <w:pPr>
              <w:spacing w:after="0" w:line="240" w:lineRule="auto"/>
              <w:jc w:val="center"/>
              <w:rPr>
                <w:sz w:val="20"/>
                <w:szCs w:val="20"/>
              </w:rPr>
            </w:pPr>
            <w:r w:rsidRPr="00F07DD4">
              <w:rPr>
                <w:sz w:val="20"/>
                <w:szCs w:val="20"/>
              </w:rPr>
              <w:t>Уточненный план</w:t>
            </w:r>
          </w:p>
        </w:tc>
        <w:tc>
          <w:tcPr>
            <w:tcW w:w="1275" w:type="dxa"/>
            <w:tcBorders>
              <w:top w:val="nil"/>
              <w:left w:val="nil"/>
              <w:bottom w:val="single" w:sz="4" w:space="0" w:color="auto"/>
              <w:right w:val="single" w:sz="4" w:space="0" w:color="auto"/>
            </w:tcBorders>
            <w:shd w:val="clear" w:color="auto" w:fill="auto"/>
            <w:vAlign w:val="center"/>
            <w:hideMark/>
          </w:tcPr>
          <w:p w:rsidR="004649EE" w:rsidRPr="00F07DD4" w:rsidRDefault="004649EE" w:rsidP="00323A02">
            <w:pPr>
              <w:spacing w:after="0" w:line="240" w:lineRule="auto"/>
              <w:jc w:val="center"/>
              <w:rPr>
                <w:sz w:val="20"/>
                <w:szCs w:val="20"/>
              </w:rPr>
            </w:pPr>
            <w:r w:rsidRPr="00F07DD4">
              <w:rPr>
                <w:sz w:val="20"/>
                <w:szCs w:val="20"/>
              </w:rPr>
              <w:t>Исполнение</w:t>
            </w:r>
          </w:p>
        </w:tc>
        <w:tc>
          <w:tcPr>
            <w:tcW w:w="1560" w:type="dxa"/>
            <w:tcBorders>
              <w:top w:val="nil"/>
              <w:left w:val="nil"/>
              <w:bottom w:val="single" w:sz="4" w:space="0" w:color="auto"/>
              <w:right w:val="single" w:sz="4" w:space="0" w:color="auto"/>
            </w:tcBorders>
            <w:shd w:val="clear" w:color="auto" w:fill="auto"/>
            <w:vAlign w:val="center"/>
            <w:hideMark/>
          </w:tcPr>
          <w:p w:rsidR="004649EE" w:rsidRPr="00F07DD4" w:rsidRDefault="004649EE" w:rsidP="00323A02">
            <w:pPr>
              <w:tabs>
                <w:tab w:val="left" w:pos="1723"/>
              </w:tabs>
              <w:spacing w:after="0" w:line="240" w:lineRule="auto"/>
              <w:jc w:val="center"/>
              <w:rPr>
                <w:sz w:val="20"/>
                <w:szCs w:val="20"/>
              </w:rPr>
            </w:pPr>
            <w:r w:rsidRPr="00F07DD4">
              <w:rPr>
                <w:sz w:val="20"/>
                <w:szCs w:val="20"/>
              </w:rPr>
              <w:t>% исполнения</w:t>
            </w:r>
          </w:p>
        </w:tc>
      </w:tr>
      <w:tr w:rsidR="004649EE" w:rsidRPr="00F07DD4" w:rsidTr="00323A02">
        <w:trPr>
          <w:trHeight w:val="300"/>
        </w:trPr>
        <w:tc>
          <w:tcPr>
            <w:tcW w:w="567" w:type="dxa"/>
            <w:tcBorders>
              <w:top w:val="nil"/>
              <w:left w:val="single" w:sz="4" w:space="0" w:color="auto"/>
              <w:bottom w:val="single" w:sz="4" w:space="0" w:color="auto"/>
              <w:right w:val="single" w:sz="4" w:space="0" w:color="auto"/>
            </w:tcBorders>
          </w:tcPr>
          <w:p w:rsidR="004649EE" w:rsidRPr="00F07DD4" w:rsidRDefault="004649EE" w:rsidP="00323A02">
            <w:pPr>
              <w:spacing w:after="0" w:line="240" w:lineRule="auto"/>
              <w:ind w:right="424"/>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4649EE" w:rsidRPr="00F07DD4" w:rsidRDefault="004649EE" w:rsidP="00323A02">
            <w:pPr>
              <w:spacing w:after="0" w:line="240" w:lineRule="auto"/>
              <w:jc w:val="left"/>
              <w:rPr>
                <w:sz w:val="20"/>
                <w:szCs w:val="20"/>
              </w:rPr>
            </w:pPr>
            <w:r w:rsidRPr="00F07DD4">
              <w:rPr>
                <w:sz w:val="20"/>
                <w:szCs w:val="20"/>
              </w:rPr>
              <w:t>Всего по муниципальной программе, в том числе:</w:t>
            </w:r>
          </w:p>
        </w:tc>
        <w:tc>
          <w:tcPr>
            <w:tcW w:w="1440" w:type="dxa"/>
            <w:tcBorders>
              <w:top w:val="nil"/>
              <w:left w:val="nil"/>
              <w:bottom w:val="single" w:sz="4" w:space="0" w:color="auto"/>
              <w:right w:val="single" w:sz="4" w:space="0" w:color="auto"/>
            </w:tcBorders>
            <w:shd w:val="clear" w:color="auto" w:fill="auto"/>
            <w:hideMark/>
          </w:tcPr>
          <w:p w:rsidR="004649EE" w:rsidRPr="00F07DD4" w:rsidRDefault="004649EE" w:rsidP="00323A02">
            <w:pPr>
              <w:spacing w:after="0" w:line="240" w:lineRule="auto"/>
              <w:jc w:val="center"/>
              <w:rPr>
                <w:sz w:val="20"/>
                <w:szCs w:val="20"/>
              </w:rPr>
            </w:pPr>
            <w:r w:rsidRPr="00F07DD4">
              <w:rPr>
                <w:sz w:val="20"/>
                <w:szCs w:val="20"/>
              </w:rPr>
              <w:t>317 023,4</w:t>
            </w:r>
          </w:p>
        </w:tc>
        <w:tc>
          <w:tcPr>
            <w:tcW w:w="139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473 939,7</w:t>
            </w:r>
          </w:p>
        </w:tc>
        <w:tc>
          <w:tcPr>
            <w:tcW w:w="127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470 932,6</w:t>
            </w:r>
          </w:p>
        </w:tc>
        <w:tc>
          <w:tcPr>
            <w:tcW w:w="1560" w:type="dxa"/>
            <w:tcBorders>
              <w:top w:val="nil"/>
              <w:left w:val="nil"/>
              <w:bottom w:val="single" w:sz="4" w:space="0" w:color="auto"/>
              <w:right w:val="single" w:sz="4" w:space="0" w:color="auto"/>
            </w:tcBorders>
            <w:shd w:val="clear" w:color="auto" w:fill="auto"/>
            <w:hideMark/>
          </w:tcPr>
          <w:p w:rsidR="004649EE" w:rsidRPr="00F07DD4" w:rsidRDefault="004649EE" w:rsidP="00323A02">
            <w:pPr>
              <w:tabs>
                <w:tab w:val="left" w:pos="1723"/>
              </w:tabs>
              <w:spacing w:after="0" w:line="240" w:lineRule="auto"/>
              <w:jc w:val="center"/>
              <w:rPr>
                <w:sz w:val="20"/>
                <w:szCs w:val="20"/>
              </w:rPr>
            </w:pPr>
            <w:r w:rsidRPr="00F07DD4">
              <w:rPr>
                <w:sz w:val="20"/>
                <w:szCs w:val="20"/>
              </w:rPr>
              <w:t>99,</w:t>
            </w:r>
            <w:r>
              <w:rPr>
                <w:sz w:val="20"/>
                <w:szCs w:val="20"/>
              </w:rPr>
              <w:t>4</w:t>
            </w:r>
            <w:r w:rsidRPr="00F07DD4">
              <w:rPr>
                <w:sz w:val="20"/>
                <w:szCs w:val="20"/>
              </w:rPr>
              <w:t>%</w:t>
            </w:r>
          </w:p>
        </w:tc>
      </w:tr>
      <w:tr w:rsidR="004649EE" w:rsidRPr="00F07DD4" w:rsidTr="00323A02">
        <w:trPr>
          <w:trHeight w:val="300"/>
        </w:trPr>
        <w:tc>
          <w:tcPr>
            <w:tcW w:w="567" w:type="dxa"/>
            <w:tcBorders>
              <w:top w:val="nil"/>
              <w:left w:val="single" w:sz="4" w:space="0" w:color="auto"/>
              <w:bottom w:val="single" w:sz="4" w:space="0" w:color="auto"/>
              <w:right w:val="single" w:sz="4" w:space="0" w:color="auto"/>
            </w:tcBorders>
          </w:tcPr>
          <w:p w:rsidR="004649EE" w:rsidRPr="00F07DD4" w:rsidRDefault="004649EE" w:rsidP="00323A02">
            <w:pPr>
              <w:spacing w:after="0" w:line="240" w:lineRule="auto"/>
              <w:ind w:right="424"/>
              <w:jc w:val="center"/>
              <w:rPr>
                <w:sz w:val="20"/>
                <w:szCs w:val="20"/>
              </w:rPr>
            </w:pPr>
            <w:r w:rsidRPr="00F07DD4">
              <w:rPr>
                <w:sz w:val="20"/>
                <w:szCs w:val="20"/>
              </w:rPr>
              <w:t>1</w:t>
            </w:r>
          </w:p>
        </w:tc>
        <w:tc>
          <w:tcPr>
            <w:tcW w:w="2977" w:type="dxa"/>
            <w:tcBorders>
              <w:top w:val="nil"/>
              <w:left w:val="single" w:sz="4" w:space="0" w:color="auto"/>
              <w:bottom w:val="single" w:sz="4" w:space="0" w:color="auto"/>
              <w:right w:val="single" w:sz="4" w:space="0" w:color="auto"/>
            </w:tcBorders>
            <w:shd w:val="clear" w:color="auto" w:fill="auto"/>
            <w:vAlign w:val="center"/>
          </w:tcPr>
          <w:p w:rsidR="004649EE" w:rsidRPr="00F07DD4" w:rsidRDefault="004649EE" w:rsidP="00323A02">
            <w:pPr>
              <w:spacing w:after="0" w:line="240" w:lineRule="auto"/>
              <w:jc w:val="left"/>
              <w:rPr>
                <w:bCs/>
                <w:sz w:val="20"/>
                <w:szCs w:val="20"/>
              </w:rPr>
            </w:pPr>
            <w:r w:rsidRPr="00F07DD4">
              <w:rPr>
                <w:bCs/>
                <w:sz w:val="20"/>
                <w:szCs w:val="20"/>
              </w:rPr>
              <w:t>Департамент муниципальной собственности Администрации города Ханты-Мансийска</w:t>
            </w:r>
          </w:p>
        </w:tc>
        <w:tc>
          <w:tcPr>
            <w:tcW w:w="1440"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sidRPr="00F07DD4">
              <w:rPr>
                <w:sz w:val="20"/>
                <w:szCs w:val="20"/>
              </w:rPr>
              <w:t>204 585,5</w:t>
            </w:r>
          </w:p>
        </w:tc>
        <w:tc>
          <w:tcPr>
            <w:tcW w:w="139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174 662,6</w:t>
            </w:r>
          </w:p>
        </w:tc>
        <w:tc>
          <w:tcPr>
            <w:tcW w:w="127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174 525,7</w:t>
            </w:r>
          </w:p>
        </w:tc>
        <w:tc>
          <w:tcPr>
            <w:tcW w:w="1560" w:type="dxa"/>
            <w:tcBorders>
              <w:top w:val="nil"/>
              <w:left w:val="nil"/>
              <w:bottom w:val="single" w:sz="4" w:space="0" w:color="auto"/>
              <w:right w:val="single" w:sz="4" w:space="0" w:color="auto"/>
            </w:tcBorders>
            <w:shd w:val="clear" w:color="auto" w:fill="auto"/>
          </w:tcPr>
          <w:p w:rsidR="004649EE" w:rsidRPr="00F07DD4" w:rsidRDefault="004649EE" w:rsidP="00323A02">
            <w:pPr>
              <w:tabs>
                <w:tab w:val="left" w:pos="1723"/>
              </w:tabs>
              <w:spacing w:after="0" w:line="240" w:lineRule="auto"/>
              <w:jc w:val="center"/>
              <w:rPr>
                <w:sz w:val="20"/>
                <w:szCs w:val="20"/>
              </w:rPr>
            </w:pPr>
            <w:r w:rsidRPr="00F07DD4">
              <w:rPr>
                <w:sz w:val="20"/>
                <w:szCs w:val="20"/>
              </w:rPr>
              <w:t>99,</w:t>
            </w:r>
            <w:r>
              <w:rPr>
                <w:sz w:val="20"/>
                <w:szCs w:val="20"/>
              </w:rPr>
              <w:t>9</w:t>
            </w:r>
            <w:r w:rsidRPr="00F07DD4">
              <w:rPr>
                <w:sz w:val="20"/>
                <w:szCs w:val="20"/>
              </w:rPr>
              <w:t>%</w:t>
            </w:r>
          </w:p>
        </w:tc>
      </w:tr>
      <w:tr w:rsidR="004649EE" w:rsidRPr="00F07DD4" w:rsidTr="00323A02">
        <w:trPr>
          <w:trHeight w:val="300"/>
        </w:trPr>
        <w:tc>
          <w:tcPr>
            <w:tcW w:w="567" w:type="dxa"/>
            <w:tcBorders>
              <w:top w:val="nil"/>
              <w:left w:val="single" w:sz="4" w:space="0" w:color="auto"/>
              <w:bottom w:val="single" w:sz="4" w:space="0" w:color="auto"/>
              <w:right w:val="single" w:sz="4" w:space="0" w:color="auto"/>
            </w:tcBorders>
          </w:tcPr>
          <w:p w:rsidR="004649EE" w:rsidRPr="00F07DD4" w:rsidRDefault="004649EE" w:rsidP="00323A02">
            <w:pPr>
              <w:spacing w:after="0" w:line="240" w:lineRule="auto"/>
              <w:ind w:right="424"/>
              <w:jc w:val="center"/>
              <w:rPr>
                <w:sz w:val="20"/>
                <w:szCs w:val="20"/>
              </w:rPr>
            </w:pPr>
            <w:r w:rsidRPr="00F07DD4">
              <w:rPr>
                <w:sz w:val="20"/>
                <w:szCs w:val="20"/>
              </w:rPr>
              <w:t>2</w:t>
            </w:r>
          </w:p>
        </w:tc>
        <w:tc>
          <w:tcPr>
            <w:tcW w:w="2977" w:type="dxa"/>
            <w:tcBorders>
              <w:top w:val="nil"/>
              <w:left w:val="single" w:sz="4" w:space="0" w:color="auto"/>
              <w:bottom w:val="single" w:sz="4" w:space="0" w:color="auto"/>
              <w:right w:val="single" w:sz="4" w:space="0" w:color="auto"/>
            </w:tcBorders>
            <w:shd w:val="clear" w:color="auto" w:fill="auto"/>
            <w:vAlign w:val="center"/>
          </w:tcPr>
          <w:p w:rsidR="004649EE" w:rsidRPr="00F07DD4" w:rsidRDefault="004649EE" w:rsidP="00323A02">
            <w:pPr>
              <w:spacing w:after="0" w:line="240" w:lineRule="auto"/>
              <w:jc w:val="left"/>
              <w:rPr>
                <w:bCs/>
                <w:sz w:val="20"/>
                <w:szCs w:val="20"/>
              </w:rPr>
            </w:pPr>
            <w:r w:rsidRPr="00F07DD4">
              <w:rPr>
                <w:bCs/>
                <w:sz w:val="20"/>
                <w:szCs w:val="20"/>
              </w:rPr>
              <w:t>МКУ «Дирекция по содержанию имущества казны»</w:t>
            </w:r>
          </w:p>
        </w:tc>
        <w:tc>
          <w:tcPr>
            <w:tcW w:w="1440"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sidRPr="00F07DD4">
              <w:rPr>
                <w:sz w:val="20"/>
                <w:szCs w:val="20"/>
              </w:rPr>
              <w:t>87 528,1</w:t>
            </w:r>
          </w:p>
        </w:tc>
        <w:tc>
          <w:tcPr>
            <w:tcW w:w="139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267 031,6</w:t>
            </w:r>
          </w:p>
        </w:tc>
        <w:tc>
          <w:tcPr>
            <w:tcW w:w="127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266 064,3</w:t>
            </w:r>
          </w:p>
        </w:tc>
        <w:tc>
          <w:tcPr>
            <w:tcW w:w="1560" w:type="dxa"/>
            <w:tcBorders>
              <w:top w:val="nil"/>
              <w:left w:val="nil"/>
              <w:bottom w:val="single" w:sz="4" w:space="0" w:color="auto"/>
              <w:right w:val="single" w:sz="4" w:space="0" w:color="auto"/>
            </w:tcBorders>
            <w:shd w:val="clear" w:color="auto" w:fill="auto"/>
          </w:tcPr>
          <w:p w:rsidR="004649EE" w:rsidRPr="00F07DD4" w:rsidRDefault="004649EE" w:rsidP="00323A02">
            <w:pPr>
              <w:tabs>
                <w:tab w:val="left" w:pos="1723"/>
              </w:tabs>
              <w:spacing w:after="0" w:line="240" w:lineRule="auto"/>
              <w:jc w:val="center"/>
              <w:rPr>
                <w:sz w:val="20"/>
                <w:szCs w:val="20"/>
              </w:rPr>
            </w:pPr>
            <w:r w:rsidRPr="00F07DD4">
              <w:rPr>
                <w:sz w:val="20"/>
                <w:szCs w:val="20"/>
              </w:rPr>
              <w:t>99,</w:t>
            </w:r>
            <w:r>
              <w:rPr>
                <w:sz w:val="20"/>
                <w:szCs w:val="20"/>
              </w:rPr>
              <w:t>6</w:t>
            </w:r>
            <w:r w:rsidRPr="00F07DD4">
              <w:rPr>
                <w:sz w:val="20"/>
                <w:szCs w:val="20"/>
              </w:rPr>
              <w:t>%</w:t>
            </w:r>
          </w:p>
        </w:tc>
      </w:tr>
      <w:tr w:rsidR="004649EE" w:rsidRPr="00F07DD4" w:rsidTr="00323A02">
        <w:trPr>
          <w:trHeight w:val="568"/>
        </w:trPr>
        <w:tc>
          <w:tcPr>
            <w:tcW w:w="567" w:type="dxa"/>
            <w:tcBorders>
              <w:top w:val="nil"/>
              <w:left w:val="single" w:sz="4" w:space="0" w:color="auto"/>
              <w:bottom w:val="single" w:sz="4" w:space="0" w:color="auto"/>
              <w:right w:val="single" w:sz="4" w:space="0" w:color="auto"/>
            </w:tcBorders>
          </w:tcPr>
          <w:p w:rsidR="004649EE" w:rsidRPr="00F07DD4" w:rsidRDefault="004649EE" w:rsidP="00323A02">
            <w:pPr>
              <w:spacing w:after="0" w:line="240" w:lineRule="auto"/>
              <w:ind w:right="424"/>
              <w:jc w:val="center"/>
              <w:rPr>
                <w:sz w:val="20"/>
                <w:szCs w:val="20"/>
              </w:rPr>
            </w:pPr>
            <w:r w:rsidRPr="00F07DD4">
              <w:rPr>
                <w:sz w:val="20"/>
                <w:szCs w:val="20"/>
              </w:rPr>
              <w:t>3</w:t>
            </w:r>
          </w:p>
        </w:tc>
        <w:tc>
          <w:tcPr>
            <w:tcW w:w="2977" w:type="dxa"/>
            <w:tcBorders>
              <w:top w:val="nil"/>
              <w:left w:val="single" w:sz="4" w:space="0" w:color="auto"/>
              <w:bottom w:val="single" w:sz="4" w:space="0" w:color="auto"/>
              <w:right w:val="single" w:sz="4" w:space="0" w:color="auto"/>
            </w:tcBorders>
            <w:shd w:val="clear" w:color="auto" w:fill="auto"/>
            <w:vAlign w:val="center"/>
          </w:tcPr>
          <w:p w:rsidR="004649EE" w:rsidRPr="00F07DD4" w:rsidRDefault="004649EE" w:rsidP="00323A02">
            <w:pPr>
              <w:spacing w:after="0" w:line="240" w:lineRule="auto"/>
              <w:jc w:val="left"/>
              <w:rPr>
                <w:bCs/>
                <w:sz w:val="20"/>
                <w:szCs w:val="20"/>
              </w:rPr>
            </w:pPr>
            <w:r w:rsidRPr="00F07DD4">
              <w:rPr>
                <w:bCs/>
                <w:sz w:val="20"/>
                <w:szCs w:val="20"/>
              </w:rPr>
              <w:t>Департамент градостроительства и архитектуры Администрации города Ханты-Мансийска</w:t>
            </w:r>
          </w:p>
        </w:tc>
        <w:tc>
          <w:tcPr>
            <w:tcW w:w="1440"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sidRPr="00F07DD4">
              <w:rPr>
                <w:sz w:val="20"/>
                <w:szCs w:val="20"/>
              </w:rPr>
              <w:t>15 790,1</w:t>
            </w:r>
          </w:p>
        </w:tc>
        <w:tc>
          <w:tcPr>
            <w:tcW w:w="139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4 486,6</w:t>
            </w:r>
          </w:p>
        </w:tc>
        <w:tc>
          <w:tcPr>
            <w:tcW w:w="1275" w:type="dxa"/>
            <w:tcBorders>
              <w:top w:val="nil"/>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4 486,6</w:t>
            </w:r>
          </w:p>
        </w:tc>
        <w:tc>
          <w:tcPr>
            <w:tcW w:w="1560" w:type="dxa"/>
            <w:tcBorders>
              <w:top w:val="nil"/>
              <w:left w:val="nil"/>
              <w:bottom w:val="single" w:sz="4" w:space="0" w:color="auto"/>
              <w:right w:val="single" w:sz="4" w:space="0" w:color="auto"/>
            </w:tcBorders>
            <w:shd w:val="clear" w:color="auto" w:fill="auto"/>
          </w:tcPr>
          <w:p w:rsidR="004649EE" w:rsidRPr="00F07DD4" w:rsidRDefault="004649EE" w:rsidP="00323A02">
            <w:pPr>
              <w:tabs>
                <w:tab w:val="left" w:pos="1723"/>
              </w:tabs>
              <w:spacing w:after="0" w:line="240" w:lineRule="auto"/>
              <w:jc w:val="center"/>
              <w:rPr>
                <w:sz w:val="20"/>
                <w:szCs w:val="20"/>
              </w:rPr>
            </w:pPr>
            <w:r w:rsidRPr="00F07DD4">
              <w:rPr>
                <w:sz w:val="20"/>
                <w:szCs w:val="20"/>
              </w:rPr>
              <w:t>100%</w:t>
            </w:r>
          </w:p>
        </w:tc>
      </w:tr>
      <w:tr w:rsidR="004649EE" w:rsidRPr="00F07DD4" w:rsidTr="00323A02">
        <w:trPr>
          <w:trHeight w:val="189"/>
        </w:trPr>
        <w:tc>
          <w:tcPr>
            <w:tcW w:w="567" w:type="dxa"/>
            <w:tcBorders>
              <w:top w:val="single" w:sz="4" w:space="0" w:color="auto"/>
              <w:left w:val="single" w:sz="4" w:space="0" w:color="auto"/>
              <w:bottom w:val="single" w:sz="4" w:space="0" w:color="auto"/>
              <w:right w:val="single" w:sz="4" w:space="0" w:color="auto"/>
            </w:tcBorders>
          </w:tcPr>
          <w:p w:rsidR="004649EE" w:rsidRPr="00F07DD4" w:rsidRDefault="004649EE" w:rsidP="00323A02">
            <w:pPr>
              <w:spacing w:after="0" w:line="240" w:lineRule="auto"/>
              <w:ind w:right="424"/>
              <w:jc w:val="center"/>
              <w:rPr>
                <w:sz w:val="20"/>
                <w:szCs w:val="20"/>
              </w:rPr>
            </w:pPr>
            <w:r w:rsidRPr="00F07DD4">
              <w:rPr>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649EE" w:rsidRPr="00F07DD4" w:rsidRDefault="004649EE" w:rsidP="00323A02">
            <w:pPr>
              <w:spacing w:after="0" w:line="240" w:lineRule="auto"/>
              <w:jc w:val="left"/>
              <w:rPr>
                <w:bCs/>
                <w:sz w:val="20"/>
                <w:szCs w:val="20"/>
              </w:rPr>
            </w:pPr>
            <w:r w:rsidRPr="00F07DD4">
              <w:rPr>
                <w:bCs/>
                <w:sz w:val="20"/>
                <w:szCs w:val="20"/>
              </w:rPr>
              <w:t>Муниципальное казенное учреждение «Управление капитального строительства города Ханты-Мансийска»</w:t>
            </w:r>
          </w:p>
        </w:tc>
        <w:tc>
          <w:tcPr>
            <w:tcW w:w="1440"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sidRPr="00F07DD4">
              <w:rPr>
                <w:sz w:val="20"/>
                <w:szCs w:val="20"/>
              </w:rPr>
              <w:t>4 061,0</w:t>
            </w:r>
          </w:p>
        </w:tc>
        <w:tc>
          <w:tcPr>
            <w:tcW w:w="1395"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5 252,8</w:t>
            </w:r>
          </w:p>
        </w:tc>
        <w:tc>
          <w:tcPr>
            <w:tcW w:w="1275"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5 252,8</w:t>
            </w:r>
          </w:p>
        </w:tc>
        <w:tc>
          <w:tcPr>
            <w:tcW w:w="1560"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tabs>
                <w:tab w:val="left" w:pos="1723"/>
              </w:tabs>
              <w:spacing w:after="0" w:line="240" w:lineRule="auto"/>
              <w:jc w:val="center"/>
              <w:rPr>
                <w:sz w:val="20"/>
                <w:szCs w:val="20"/>
              </w:rPr>
            </w:pPr>
            <w:r>
              <w:rPr>
                <w:sz w:val="20"/>
                <w:szCs w:val="20"/>
              </w:rPr>
              <w:t>100</w:t>
            </w:r>
            <w:r w:rsidRPr="00F07DD4">
              <w:rPr>
                <w:sz w:val="20"/>
                <w:szCs w:val="20"/>
              </w:rPr>
              <w:t>%</w:t>
            </w:r>
          </w:p>
        </w:tc>
      </w:tr>
      <w:tr w:rsidR="004649EE" w:rsidRPr="00F07DD4" w:rsidTr="00323A02">
        <w:trPr>
          <w:trHeight w:val="568"/>
        </w:trPr>
        <w:tc>
          <w:tcPr>
            <w:tcW w:w="567" w:type="dxa"/>
            <w:tcBorders>
              <w:top w:val="single" w:sz="4" w:space="0" w:color="auto"/>
              <w:left w:val="single" w:sz="4" w:space="0" w:color="auto"/>
              <w:bottom w:val="single" w:sz="4" w:space="0" w:color="auto"/>
              <w:right w:val="single" w:sz="4" w:space="0" w:color="auto"/>
            </w:tcBorders>
          </w:tcPr>
          <w:p w:rsidR="004649EE" w:rsidRPr="00F07DD4" w:rsidRDefault="004649EE" w:rsidP="00323A02">
            <w:pPr>
              <w:spacing w:after="0" w:line="240" w:lineRule="auto"/>
              <w:ind w:right="424"/>
              <w:jc w:val="center"/>
              <w:rPr>
                <w:sz w:val="20"/>
                <w:szCs w:val="20"/>
              </w:rPr>
            </w:pPr>
            <w:r w:rsidRPr="00F07DD4">
              <w:rPr>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649EE" w:rsidRPr="00F07DD4" w:rsidRDefault="004649EE" w:rsidP="00323A02">
            <w:pPr>
              <w:spacing w:after="0" w:line="240" w:lineRule="auto"/>
              <w:jc w:val="left"/>
              <w:rPr>
                <w:bCs/>
                <w:sz w:val="20"/>
                <w:szCs w:val="20"/>
              </w:rPr>
            </w:pPr>
            <w:r w:rsidRPr="000B7FA8">
              <w:rPr>
                <w:bCs/>
                <w:sz w:val="20"/>
                <w:szCs w:val="20"/>
              </w:rPr>
              <w:t xml:space="preserve">МКУ </w:t>
            </w:r>
            <w:r>
              <w:rPr>
                <w:bCs/>
                <w:sz w:val="20"/>
                <w:szCs w:val="20"/>
              </w:rPr>
              <w:t>«С</w:t>
            </w:r>
            <w:r w:rsidRPr="000B7FA8">
              <w:rPr>
                <w:bCs/>
                <w:sz w:val="20"/>
                <w:szCs w:val="20"/>
              </w:rPr>
              <w:t>лужба муниципального заказа в ЖКХ</w:t>
            </w:r>
            <w:r>
              <w:rPr>
                <w:bCs/>
                <w:sz w:val="20"/>
                <w:szCs w:val="20"/>
              </w:rPr>
              <w:t>»</w:t>
            </w:r>
          </w:p>
        </w:tc>
        <w:tc>
          <w:tcPr>
            <w:tcW w:w="1440"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sidRPr="00F07DD4">
              <w:rPr>
                <w:sz w:val="20"/>
                <w:szCs w:val="20"/>
              </w:rPr>
              <w:t>5 058,7</w:t>
            </w:r>
          </w:p>
        </w:tc>
        <w:tc>
          <w:tcPr>
            <w:tcW w:w="1395"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22 506,1</w:t>
            </w:r>
          </w:p>
        </w:tc>
        <w:tc>
          <w:tcPr>
            <w:tcW w:w="1275"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spacing w:after="0" w:line="240" w:lineRule="auto"/>
              <w:jc w:val="center"/>
              <w:rPr>
                <w:sz w:val="20"/>
                <w:szCs w:val="20"/>
              </w:rPr>
            </w:pPr>
            <w:r>
              <w:rPr>
                <w:sz w:val="20"/>
                <w:szCs w:val="20"/>
              </w:rPr>
              <w:t>20 603,2</w:t>
            </w:r>
          </w:p>
        </w:tc>
        <w:tc>
          <w:tcPr>
            <w:tcW w:w="1560" w:type="dxa"/>
            <w:tcBorders>
              <w:top w:val="single" w:sz="4" w:space="0" w:color="auto"/>
              <w:left w:val="nil"/>
              <w:bottom w:val="single" w:sz="4" w:space="0" w:color="auto"/>
              <w:right w:val="single" w:sz="4" w:space="0" w:color="auto"/>
            </w:tcBorders>
            <w:shd w:val="clear" w:color="auto" w:fill="auto"/>
          </w:tcPr>
          <w:p w:rsidR="004649EE" w:rsidRPr="00F07DD4" w:rsidRDefault="004649EE" w:rsidP="00323A02">
            <w:pPr>
              <w:tabs>
                <w:tab w:val="left" w:pos="1723"/>
              </w:tabs>
              <w:spacing w:after="0" w:line="360" w:lineRule="auto"/>
              <w:jc w:val="center"/>
              <w:rPr>
                <w:sz w:val="20"/>
                <w:szCs w:val="20"/>
              </w:rPr>
            </w:pPr>
            <w:r>
              <w:rPr>
                <w:sz w:val="20"/>
                <w:szCs w:val="20"/>
              </w:rPr>
              <w:t>91,5</w:t>
            </w:r>
            <w:r w:rsidRPr="00F07DD4">
              <w:rPr>
                <w:sz w:val="20"/>
                <w:szCs w:val="20"/>
              </w:rPr>
              <w:t>%</w:t>
            </w:r>
          </w:p>
        </w:tc>
      </w:tr>
    </w:tbl>
    <w:p w:rsidR="004649EE" w:rsidRDefault="004649EE" w:rsidP="004649EE">
      <w:pPr>
        <w:tabs>
          <w:tab w:val="left" w:pos="459"/>
          <w:tab w:val="left" w:pos="8647"/>
        </w:tabs>
        <w:suppressAutoHyphens/>
        <w:spacing w:after="0"/>
        <w:ind w:right="-2"/>
        <w:jc w:val="center"/>
        <w:rPr>
          <w:b/>
          <w:sz w:val="28"/>
          <w:szCs w:val="28"/>
        </w:rPr>
      </w:pPr>
    </w:p>
    <w:p w:rsidR="004649EE" w:rsidRPr="000B7FA8" w:rsidRDefault="004649EE" w:rsidP="004649EE">
      <w:pPr>
        <w:tabs>
          <w:tab w:val="left" w:pos="459"/>
          <w:tab w:val="left" w:pos="8647"/>
        </w:tabs>
        <w:suppressAutoHyphens/>
        <w:spacing w:after="0"/>
        <w:ind w:right="-2"/>
        <w:jc w:val="both"/>
        <w:rPr>
          <w:rFonts w:eastAsia="Arial Unicode MS"/>
          <w:sz w:val="28"/>
          <w:szCs w:val="28"/>
        </w:rPr>
      </w:pPr>
      <w:r>
        <w:rPr>
          <w:sz w:val="28"/>
          <w:szCs w:val="28"/>
        </w:rPr>
        <w:tab/>
      </w:r>
      <w:r w:rsidRPr="000B7FA8">
        <w:rPr>
          <w:sz w:val="28"/>
          <w:szCs w:val="28"/>
        </w:rPr>
        <w:t xml:space="preserve">Исполнение расходов бюджета города по муниципальной программе </w:t>
      </w:r>
      <w:r w:rsidRPr="000B7FA8">
        <w:rPr>
          <w:rFonts w:eastAsia="Arial Unicode MS"/>
          <w:sz w:val="28"/>
          <w:szCs w:val="28"/>
        </w:rPr>
        <w:t>«Основные направления развития в области управления и распоряжения муниципальной собственностью города Ханты-Мансийска» по источникам финансирования и основным мероприятиям:</w:t>
      </w:r>
    </w:p>
    <w:p w:rsidR="004649EE" w:rsidRPr="00F07DD4" w:rsidRDefault="004649EE" w:rsidP="004649EE">
      <w:pPr>
        <w:tabs>
          <w:tab w:val="left" w:pos="459"/>
          <w:tab w:val="left" w:pos="8647"/>
        </w:tabs>
        <w:suppressAutoHyphens/>
        <w:spacing w:after="0"/>
        <w:ind w:right="-2"/>
      </w:pPr>
      <w:r w:rsidRPr="00F07DD4">
        <w:t xml:space="preserve"> (тыс. рублей)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473"/>
        <w:gridCol w:w="1546"/>
        <w:gridCol w:w="1392"/>
        <w:gridCol w:w="1416"/>
      </w:tblGrid>
      <w:tr w:rsidR="004649EE" w:rsidRPr="00F07DD4" w:rsidTr="00323A02">
        <w:trPr>
          <w:trHeight w:val="164"/>
          <w:tblHeader/>
        </w:trPr>
        <w:tc>
          <w:tcPr>
            <w:tcW w:w="3416" w:type="dxa"/>
            <w:vMerge w:val="restart"/>
            <w:hideMark/>
          </w:tcPr>
          <w:p w:rsidR="004649EE" w:rsidRPr="00F07DD4" w:rsidRDefault="004649EE" w:rsidP="00323A02">
            <w:pPr>
              <w:tabs>
                <w:tab w:val="left" w:pos="2019"/>
              </w:tabs>
              <w:spacing w:after="0" w:line="240" w:lineRule="auto"/>
              <w:ind w:right="32"/>
              <w:jc w:val="center"/>
              <w:rPr>
                <w:sz w:val="20"/>
                <w:szCs w:val="20"/>
              </w:rPr>
            </w:pPr>
            <w:r w:rsidRPr="00F07DD4">
              <w:rPr>
                <w:sz w:val="20"/>
                <w:szCs w:val="20"/>
              </w:rPr>
              <w:lastRenderedPageBreak/>
              <w:t>Наименование муниципальной программы, подпрограммы муниципальной программы, мероприятия муниципальной программы</w:t>
            </w:r>
          </w:p>
        </w:tc>
        <w:tc>
          <w:tcPr>
            <w:tcW w:w="1473" w:type="dxa"/>
            <w:vMerge w:val="restart"/>
            <w:noWrap/>
            <w:hideMark/>
          </w:tcPr>
          <w:p w:rsidR="004649EE" w:rsidRPr="00F07DD4" w:rsidRDefault="004649EE" w:rsidP="00323A02">
            <w:pPr>
              <w:tabs>
                <w:tab w:val="left" w:pos="2019"/>
              </w:tabs>
              <w:spacing w:after="0" w:line="240" w:lineRule="auto"/>
              <w:ind w:right="32"/>
              <w:jc w:val="center"/>
              <w:rPr>
                <w:sz w:val="20"/>
                <w:szCs w:val="20"/>
              </w:rPr>
            </w:pPr>
          </w:p>
          <w:p w:rsidR="004649EE" w:rsidRPr="00F07DD4" w:rsidRDefault="004649EE" w:rsidP="00323A02">
            <w:pPr>
              <w:tabs>
                <w:tab w:val="left" w:pos="2019"/>
              </w:tabs>
              <w:spacing w:after="0" w:line="240" w:lineRule="auto"/>
              <w:ind w:right="32"/>
              <w:jc w:val="center"/>
              <w:rPr>
                <w:sz w:val="20"/>
                <w:szCs w:val="20"/>
              </w:rPr>
            </w:pPr>
            <w:r w:rsidRPr="00F07DD4">
              <w:rPr>
                <w:sz w:val="20"/>
                <w:szCs w:val="20"/>
              </w:rPr>
              <w:t>202</w:t>
            </w:r>
            <w:r>
              <w:rPr>
                <w:sz w:val="20"/>
                <w:szCs w:val="20"/>
              </w:rPr>
              <w:t>3</w:t>
            </w:r>
            <w:r w:rsidRPr="00F07DD4">
              <w:rPr>
                <w:sz w:val="20"/>
                <w:szCs w:val="20"/>
              </w:rPr>
              <w:t xml:space="preserve"> год (отчет)</w:t>
            </w:r>
          </w:p>
        </w:tc>
        <w:tc>
          <w:tcPr>
            <w:tcW w:w="4354" w:type="dxa"/>
            <w:gridSpan w:val="3"/>
            <w:noWrap/>
            <w:hideMark/>
          </w:tcPr>
          <w:p w:rsidR="004649EE" w:rsidRPr="00F07DD4" w:rsidRDefault="004649EE" w:rsidP="00323A02">
            <w:pPr>
              <w:tabs>
                <w:tab w:val="left" w:pos="2019"/>
              </w:tabs>
              <w:spacing w:after="0" w:line="240" w:lineRule="auto"/>
              <w:ind w:right="32"/>
              <w:jc w:val="center"/>
              <w:rPr>
                <w:sz w:val="20"/>
                <w:szCs w:val="20"/>
              </w:rPr>
            </w:pPr>
            <w:r w:rsidRPr="00F07DD4">
              <w:rPr>
                <w:sz w:val="20"/>
                <w:szCs w:val="20"/>
              </w:rPr>
              <w:t>202</w:t>
            </w:r>
            <w:r>
              <w:rPr>
                <w:sz w:val="20"/>
                <w:szCs w:val="20"/>
              </w:rPr>
              <w:t>4</w:t>
            </w:r>
            <w:r w:rsidRPr="00F07DD4">
              <w:rPr>
                <w:sz w:val="20"/>
                <w:szCs w:val="20"/>
              </w:rPr>
              <w:t xml:space="preserve"> год </w:t>
            </w:r>
          </w:p>
        </w:tc>
      </w:tr>
      <w:tr w:rsidR="004649EE" w:rsidRPr="00F07DD4" w:rsidTr="00323A02">
        <w:trPr>
          <w:trHeight w:val="392"/>
          <w:tblHeader/>
        </w:trPr>
        <w:tc>
          <w:tcPr>
            <w:tcW w:w="3416" w:type="dxa"/>
            <w:vMerge/>
            <w:hideMark/>
          </w:tcPr>
          <w:p w:rsidR="004649EE" w:rsidRPr="00F07DD4" w:rsidRDefault="004649EE" w:rsidP="00323A02">
            <w:pPr>
              <w:tabs>
                <w:tab w:val="left" w:pos="2019"/>
              </w:tabs>
              <w:spacing w:after="0" w:line="240" w:lineRule="auto"/>
              <w:ind w:right="32"/>
              <w:rPr>
                <w:sz w:val="20"/>
                <w:szCs w:val="20"/>
              </w:rPr>
            </w:pPr>
          </w:p>
        </w:tc>
        <w:tc>
          <w:tcPr>
            <w:tcW w:w="1473" w:type="dxa"/>
            <w:vMerge/>
            <w:hideMark/>
          </w:tcPr>
          <w:p w:rsidR="004649EE" w:rsidRPr="00F07DD4" w:rsidRDefault="004649EE" w:rsidP="00323A02">
            <w:pPr>
              <w:tabs>
                <w:tab w:val="left" w:pos="2019"/>
              </w:tabs>
              <w:spacing w:after="0" w:line="240" w:lineRule="auto"/>
              <w:ind w:right="32"/>
              <w:rPr>
                <w:sz w:val="20"/>
                <w:szCs w:val="20"/>
              </w:rPr>
            </w:pPr>
          </w:p>
        </w:tc>
        <w:tc>
          <w:tcPr>
            <w:tcW w:w="1546" w:type="dxa"/>
            <w:hideMark/>
          </w:tcPr>
          <w:p w:rsidR="004649EE" w:rsidRPr="00F07DD4" w:rsidRDefault="004649EE" w:rsidP="00323A02">
            <w:pPr>
              <w:tabs>
                <w:tab w:val="left" w:pos="2019"/>
              </w:tabs>
              <w:spacing w:after="0" w:line="240" w:lineRule="auto"/>
              <w:ind w:right="32"/>
              <w:jc w:val="center"/>
              <w:rPr>
                <w:sz w:val="20"/>
                <w:szCs w:val="20"/>
              </w:rPr>
            </w:pPr>
          </w:p>
          <w:p w:rsidR="004649EE" w:rsidRPr="00F07DD4" w:rsidRDefault="004649EE" w:rsidP="00323A02">
            <w:pPr>
              <w:tabs>
                <w:tab w:val="left" w:pos="2019"/>
              </w:tabs>
              <w:spacing w:after="0" w:line="240" w:lineRule="auto"/>
              <w:ind w:right="32"/>
              <w:jc w:val="center"/>
              <w:rPr>
                <w:sz w:val="20"/>
                <w:szCs w:val="20"/>
              </w:rPr>
            </w:pPr>
            <w:r w:rsidRPr="00F07DD4">
              <w:rPr>
                <w:sz w:val="20"/>
                <w:szCs w:val="20"/>
              </w:rPr>
              <w:t>Уточненный план</w:t>
            </w:r>
          </w:p>
        </w:tc>
        <w:tc>
          <w:tcPr>
            <w:tcW w:w="1392" w:type="dxa"/>
            <w:hideMark/>
          </w:tcPr>
          <w:p w:rsidR="004649EE" w:rsidRPr="00F07DD4" w:rsidRDefault="004649EE" w:rsidP="00323A02">
            <w:pPr>
              <w:tabs>
                <w:tab w:val="left" w:pos="2019"/>
              </w:tabs>
              <w:spacing w:after="0" w:line="240" w:lineRule="auto"/>
              <w:ind w:right="32"/>
              <w:jc w:val="center"/>
              <w:rPr>
                <w:sz w:val="20"/>
                <w:szCs w:val="20"/>
              </w:rPr>
            </w:pPr>
          </w:p>
          <w:p w:rsidR="004649EE" w:rsidRPr="00F07DD4" w:rsidRDefault="004649EE" w:rsidP="00323A02">
            <w:pPr>
              <w:tabs>
                <w:tab w:val="left" w:pos="2019"/>
              </w:tabs>
              <w:spacing w:after="0" w:line="240" w:lineRule="auto"/>
              <w:ind w:right="32"/>
              <w:jc w:val="center"/>
              <w:rPr>
                <w:sz w:val="20"/>
                <w:szCs w:val="20"/>
              </w:rPr>
            </w:pPr>
            <w:r w:rsidRPr="00F07DD4">
              <w:rPr>
                <w:sz w:val="20"/>
                <w:szCs w:val="20"/>
              </w:rPr>
              <w:t>Исполнение</w:t>
            </w:r>
          </w:p>
        </w:tc>
        <w:tc>
          <w:tcPr>
            <w:tcW w:w="1416" w:type="dxa"/>
            <w:hideMark/>
          </w:tcPr>
          <w:p w:rsidR="004649EE" w:rsidRPr="00F07DD4" w:rsidRDefault="004649EE" w:rsidP="00323A02">
            <w:pPr>
              <w:tabs>
                <w:tab w:val="left" w:pos="2019"/>
              </w:tabs>
              <w:spacing w:after="0" w:line="240" w:lineRule="auto"/>
              <w:ind w:right="32"/>
              <w:jc w:val="center"/>
              <w:rPr>
                <w:sz w:val="20"/>
                <w:szCs w:val="20"/>
              </w:rPr>
            </w:pPr>
          </w:p>
          <w:p w:rsidR="004649EE" w:rsidRPr="00F07DD4" w:rsidRDefault="004649EE" w:rsidP="00323A02">
            <w:pPr>
              <w:tabs>
                <w:tab w:val="left" w:pos="2019"/>
              </w:tabs>
              <w:spacing w:after="0" w:line="240" w:lineRule="auto"/>
              <w:ind w:right="32"/>
              <w:jc w:val="center"/>
              <w:rPr>
                <w:sz w:val="20"/>
                <w:szCs w:val="20"/>
              </w:rPr>
            </w:pPr>
            <w:r w:rsidRPr="00F07DD4">
              <w:rPr>
                <w:sz w:val="20"/>
                <w:szCs w:val="20"/>
              </w:rPr>
              <w:t>% исполнения</w:t>
            </w:r>
          </w:p>
        </w:tc>
      </w:tr>
      <w:tr w:rsidR="004649EE" w:rsidRPr="00F07DD4" w:rsidTr="00323A02">
        <w:trPr>
          <w:trHeight w:val="164"/>
        </w:trPr>
        <w:tc>
          <w:tcPr>
            <w:tcW w:w="3416" w:type="dxa"/>
            <w:hideMark/>
          </w:tcPr>
          <w:p w:rsidR="004649EE" w:rsidRPr="00F07DD4" w:rsidRDefault="004649EE" w:rsidP="00323A02">
            <w:pPr>
              <w:tabs>
                <w:tab w:val="left" w:pos="2019"/>
              </w:tabs>
              <w:spacing w:after="0" w:line="240" w:lineRule="auto"/>
              <w:ind w:right="32"/>
              <w:jc w:val="left"/>
              <w:rPr>
                <w:bCs/>
                <w:sz w:val="20"/>
                <w:szCs w:val="20"/>
              </w:rPr>
            </w:pPr>
            <w:r w:rsidRPr="00F07DD4">
              <w:rPr>
                <w:bCs/>
                <w:sz w:val="20"/>
                <w:szCs w:val="20"/>
              </w:rPr>
              <w:t>Всего по муниципальной программе, в том числе:</w:t>
            </w:r>
          </w:p>
        </w:tc>
        <w:tc>
          <w:tcPr>
            <w:tcW w:w="1473" w:type="dxa"/>
            <w:tcBorders>
              <w:top w:val="nil"/>
              <w:left w:val="nil"/>
              <w:bottom w:val="single" w:sz="4" w:space="0" w:color="auto"/>
              <w:right w:val="single" w:sz="4" w:space="0" w:color="auto"/>
            </w:tcBorders>
            <w:shd w:val="clear" w:color="auto" w:fill="auto"/>
            <w:hideMark/>
          </w:tcPr>
          <w:p w:rsidR="004649EE" w:rsidRPr="00700884" w:rsidRDefault="004649EE" w:rsidP="00323A02">
            <w:pPr>
              <w:jc w:val="center"/>
              <w:rPr>
                <w:sz w:val="20"/>
                <w:szCs w:val="20"/>
              </w:rPr>
            </w:pPr>
            <w:r w:rsidRPr="00700884">
              <w:rPr>
                <w:sz w:val="20"/>
                <w:szCs w:val="20"/>
              </w:rPr>
              <w:t>317 023,4</w:t>
            </w:r>
          </w:p>
        </w:tc>
        <w:tc>
          <w:tcPr>
            <w:tcW w:w="1546" w:type="dxa"/>
            <w:tcBorders>
              <w:top w:val="nil"/>
              <w:left w:val="nil"/>
              <w:bottom w:val="single" w:sz="4" w:space="0" w:color="auto"/>
              <w:right w:val="single" w:sz="4" w:space="0" w:color="auto"/>
            </w:tcBorders>
            <w:shd w:val="clear" w:color="auto" w:fill="auto"/>
          </w:tcPr>
          <w:p w:rsidR="004649EE" w:rsidRPr="00700884" w:rsidRDefault="004649EE" w:rsidP="00323A02">
            <w:pPr>
              <w:jc w:val="center"/>
              <w:rPr>
                <w:sz w:val="20"/>
                <w:szCs w:val="20"/>
              </w:rPr>
            </w:pPr>
            <w:r w:rsidRPr="00700884">
              <w:rPr>
                <w:sz w:val="20"/>
                <w:szCs w:val="20"/>
              </w:rPr>
              <w:t>473 939,7</w:t>
            </w:r>
          </w:p>
        </w:tc>
        <w:tc>
          <w:tcPr>
            <w:tcW w:w="1392" w:type="dxa"/>
            <w:tcBorders>
              <w:top w:val="nil"/>
              <w:left w:val="nil"/>
              <w:bottom w:val="single" w:sz="4" w:space="0" w:color="auto"/>
              <w:right w:val="single" w:sz="4" w:space="0" w:color="auto"/>
            </w:tcBorders>
            <w:shd w:val="clear" w:color="auto" w:fill="auto"/>
          </w:tcPr>
          <w:p w:rsidR="004649EE" w:rsidRPr="00700884" w:rsidRDefault="004649EE" w:rsidP="00323A02">
            <w:pPr>
              <w:jc w:val="center"/>
              <w:rPr>
                <w:sz w:val="20"/>
                <w:szCs w:val="20"/>
              </w:rPr>
            </w:pPr>
            <w:r w:rsidRPr="00700884">
              <w:rPr>
                <w:sz w:val="20"/>
                <w:szCs w:val="20"/>
              </w:rPr>
              <w:t>470 932,6</w:t>
            </w:r>
          </w:p>
        </w:tc>
        <w:tc>
          <w:tcPr>
            <w:tcW w:w="1416" w:type="dxa"/>
            <w:tcBorders>
              <w:top w:val="nil"/>
              <w:left w:val="nil"/>
              <w:bottom w:val="single" w:sz="4" w:space="0" w:color="auto"/>
              <w:right w:val="single" w:sz="4" w:space="0" w:color="auto"/>
            </w:tcBorders>
            <w:shd w:val="clear" w:color="auto" w:fill="auto"/>
            <w:hideMark/>
          </w:tcPr>
          <w:p w:rsidR="004649EE" w:rsidRPr="00700884" w:rsidRDefault="004649EE" w:rsidP="00323A02">
            <w:pPr>
              <w:jc w:val="center"/>
              <w:rPr>
                <w:sz w:val="20"/>
                <w:szCs w:val="20"/>
              </w:rPr>
            </w:pPr>
            <w:r w:rsidRPr="00700884">
              <w:rPr>
                <w:sz w:val="20"/>
                <w:szCs w:val="20"/>
              </w:rPr>
              <w:t>99,4%</w:t>
            </w:r>
          </w:p>
        </w:tc>
      </w:tr>
      <w:tr w:rsidR="004649EE" w:rsidRPr="00F07DD4" w:rsidTr="00323A02">
        <w:trPr>
          <w:trHeight w:val="118"/>
        </w:trPr>
        <w:tc>
          <w:tcPr>
            <w:tcW w:w="3416" w:type="dxa"/>
            <w:hideMark/>
          </w:tcPr>
          <w:p w:rsidR="004649EE" w:rsidRPr="00F07DD4" w:rsidRDefault="004649EE" w:rsidP="00323A02">
            <w:pPr>
              <w:tabs>
                <w:tab w:val="left" w:pos="2019"/>
              </w:tabs>
              <w:spacing w:after="0" w:line="240" w:lineRule="auto"/>
              <w:ind w:right="32"/>
              <w:jc w:val="left"/>
              <w:rPr>
                <w:sz w:val="20"/>
                <w:szCs w:val="20"/>
              </w:rPr>
            </w:pPr>
            <w:r w:rsidRPr="00F07DD4">
              <w:rPr>
                <w:sz w:val="20"/>
                <w:szCs w:val="20"/>
              </w:rPr>
              <w:t>- бюджет города</w:t>
            </w:r>
          </w:p>
        </w:tc>
        <w:tc>
          <w:tcPr>
            <w:tcW w:w="1473" w:type="dxa"/>
            <w:tcBorders>
              <w:top w:val="nil"/>
              <w:left w:val="nil"/>
              <w:bottom w:val="single" w:sz="4" w:space="0" w:color="auto"/>
              <w:right w:val="single" w:sz="4" w:space="0" w:color="auto"/>
            </w:tcBorders>
            <w:shd w:val="clear" w:color="auto" w:fill="auto"/>
            <w:hideMark/>
          </w:tcPr>
          <w:p w:rsidR="004649EE" w:rsidRPr="000B7FA8" w:rsidRDefault="004649EE" w:rsidP="00323A02">
            <w:pPr>
              <w:jc w:val="center"/>
              <w:rPr>
                <w:sz w:val="20"/>
                <w:szCs w:val="20"/>
              </w:rPr>
            </w:pPr>
            <w:r w:rsidRPr="000B7FA8">
              <w:rPr>
                <w:sz w:val="20"/>
                <w:szCs w:val="20"/>
              </w:rPr>
              <w:t>317 023,4</w:t>
            </w:r>
          </w:p>
        </w:tc>
        <w:tc>
          <w:tcPr>
            <w:tcW w:w="1546" w:type="dxa"/>
            <w:tcBorders>
              <w:top w:val="nil"/>
              <w:left w:val="nil"/>
              <w:bottom w:val="single" w:sz="4" w:space="0" w:color="auto"/>
              <w:right w:val="single" w:sz="4" w:space="0" w:color="auto"/>
            </w:tcBorders>
            <w:shd w:val="clear" w:color="auto" w:fill="auto"/>
          </w:tcPr>
          <w:p w:rsidR="004649EE" w:rsidRPr="00700884" w:rsidRDefault="004649EE" w:rsidP="00323A02">
            <w:pPr>
              <w:jc w:val="center"/>
              <w:rPr>
                <w:sz w:val="20"/>
                <w:szCs w:val="20"/>
              </w:rPr>
            </w:pPr>
            <w:r w:rsidRPr="00700884">
              <w:rPr>
                <w:sz w:val="20"/>
                <w:szCs w:val="20"/>
              </w:rPr>
              <w:t>473 939,7</w:t>
            </w:r>
          </w:p>
        </w:tc>
        <w:tc>
          <w:tcPr>
            <w:tcW w:w="1392" w:type="dxa"/>
            <w:tcBorders>
              <w:top w:val="nil"/>
              <w:left w:val="nil"/>
              <w:bottom w:val="single" w:sz="4" w:space="0" w:color="auto"/>
              <w:right w:val="single" w:sz="4" w:space="0" w:color="auto"/>
            </w:tcBorders>
            <w:shd w:val="clear" w:color="auto" w:fill="auto"/>
          </w:tcPr>
          <w:p w:rsidR="004649EE" w:rsidRPr="00700884" w:rsidRDefault="004649EE" w:rsidP="00323A02">
            <w:pPr>
              <w:jc w:val="center"/>
              <w:rPr>
                <w:sz w:val="20"/>
                <w:szCs w:val="20"/>
              </w:rPr>
            </w:pPr>
            <w:r w:rsidRPr="00700884">
              <w:rPr>
                <w:sz w:val="20"/>
                <w:szCs w:val="20"/>
              </w:rPr>
              <w:t>470 932,6</w:t>
            </w:r>
          </w:p>
        </w:tc>
        <w:tc>
          <w:tcPr>
            <w:tcW w:w="1416" w:type="dxa"/>
            <w:tcBorders>
              <w:top w:val="nil"/>
              <w:left w:val="nil"/>
              <w:bottom w:val="single" w:sz="4" w:space="0" w:color="auto"/>
              <w:right w:val="single" w:sz="4" w:space="0" w:color="auto"/>
            </w:tcBorders>
            <w:shd w:val="clear" w:color="auto" w:fill="auto"/>
            <w:hideMark/>
          </w:tcPr>
          <w:p w:rsidR="004649EE" w:rsidRPr="00700884" w:rsidRDefault="004649EE" w:rsidP="00323A02">
            <w:pPr>
              <w:jc w:val="center"/>
              <w:rPr>
                <w:sz w:val="20"/>
                <w:szCs w:val="20"/>
              </w:rPr>
            </w:pPr>
            <w:r w:rsidRPr="00700884">
              <w:rPr>
                <w:sz w:val="20"/>
                <w:szCs w:val="20"/>
              </w:rPr>
              <w:t>99,4%</w:t>
            </w:r>
          </w:p>
        </w:tc>
      </w:tr>
      <w:tr w:rsidR="004649EE" w:rsidRPr="00F07DD4" w:rsidTr="00323A02">
        <w:trPr>
          <w:trHeight w:val="164"/>
        </w:trPr>
        <w:tc>
          <w:tcPr>
            <w:tcW w:w="3416" w:type="dxa"/>
            <w:hideMark/>
          </w:tcPr>
          <w:p w:rsidR="004649EE" w:rsidRPr="00F07DD4" w:rsidRDefault="004649EE" w:rsidP="00323A02">
            <w:pPr>
              <w:tabs>
                <w:tab w:val="left" w:pos="2019"/>
              </w:tabs>
              <w:spacing w:after="0" w:line="240" w:lineRule="auto"/>
              <w:ind w:right="32"/>
              <w:jc w:val="left"/>
              <w:rPr>
                <w:sz w:val="20"/>
                <w:szCs w:val="20"/>
              </w:rPr>
            </w:pPr>
            <w:r w:rsidRPr="00F07DD4">
              <w:rPr>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 всего, в том числе:</w:t>
            </w:r>
          </w:p>
        </w:tc>
        <w:tc>
          <w:tcPr>
            <w:tcW w:w="1473" w:type="dxa"/>
            <w:hideMark/>
          </w:tcPr>
          <w:p w:rsidR="004649EE" w:rsidRPr="000B7FA8" w:rsidRDefault="004649EE" w:rsidP="00323A02">
            <w:pPr>
              <w:tabs>
                <w:tab w:val="left" w:pos="2019"/>
              </w:tabs>
              <w:spacing w:after="0"/>
              <w:ind w:right="32"/>
              <w:jc w:val="center"/>
              <w:rPr>
                <w:sz w:val="20"/>
                <w:szCs w:val="20"/>
              </w:rPr>
            </w:pPr>
            <w:r w:rsidRPr="000B7FA8">
              <w:rPr>
                <w:sz w:val="20"/>
                <w:szCs w:val="20"/>
              </w:rPr>
              <w:t>197 907,8</w:t>
            </w:r>
          </w:p>
        </w:tc>
        <w:tc>
          <w:tcPr>
            <w:tcW w:w="1546" w:type="dxa"/>
          </w:tcPr>
          <w:p w:rsidR="004649EE" w:rsidRPr="00700884" w:rsidRDefault="004649EE" w:rsidP="00323A02">
            <w:pPr>
              <w:tabs>
                <w:tab w:val="left" w:pos="2019"/>
              </w:tabs>
              <w:spacing w:after="0"/>
              <w:ind w:right="32"/>
              <w:jc w:val="center"/>
              <w:rPr>
                <w:sz w:val="20"/>
                <w:szCs w:val="20"/>
              </w:rPr>
            </w:pPr>
            <w:r w:rsidRPr="00700884">
              <w:rPr>
                <w:sz w:val="20"/>
                <w:szCs w:val="20"/>
              </w:rPr>
              <w:t>330 611,4</w:t>
            </w:r>
          </w:p>
        </w:tc>
        <w:tc>
          <w:tcPr>
            <w:tcW w:w="1392" w:type="dxa"/>
          </w:tcPr>
          <w:p w:rsidR="004649EE" w:rsidRPr="00700884" w:rsidRDefault="004649EE" w:rsidP="00323A02">
            <w:pPr>
              <w:tabs>
                <w:tab w:val="left" w:pos="2019"/>
              </w:tabs>
              <w:spacing w:after="0"/>
              <w:ind w:right="32"/>
              <w:jc w:val="center"/>
              <w:rPr>
                <w:sz w:val="20"/>
                <w:szCs w:val="20"/>
              </w:rPr>
            </w:pPr>
            <w:r w:rsidRPr="00700884">
              <w:rPr>
                <w:sz w:val="20"/>
                <w:szCs w:val="20"/>
              </w:rPr>
              <w:t>327 950,</w:t>
            </w:r>
            <w:r>
              <w:rPr>
                <w:sz w:val="20"/>
                <w:szCs w:val="20"/>
              </w:rPr>
              <w:t>4</w:t>
            </w:r>
          </w:p>
        </w:tc>
        <w:tc>
          <w:tcPr>
            <w:tcW w:w="1416" w:type="dxa"/>
            <w:hideMark/>
          </w:tcPr>
          <w:p w:rsidR="004649EE" w:rsidRPr="00700884" w:rsidRDefault="004649EE" w:rsidP="00323A02">
            <w:pPr>
              <w:tabs>
                <w:tab w:val="left" w:pos="2019"/>
              </w:tabs>
              <w:spacing w:after="0"/>
              <w:ind w:right="32"/>
              <w:jc w:val="center"/>
              <w:rPr>
                <w:sz w:val="20"/>
                <w:szCs w:val="20"/>
              </w:rPr>
            </w:pPr>
            <w:r w:rsidRPr="00700884">
              <w:rPr>
                <w:sz w:val="20"/>
                <w:szCs w:val="20"/>
              </w:rPr>
              <w:t>99,2%</w:t>
            </w:r>
          </w:p>
        </w:tc>
      </w:tr>
      <w:tr w:rsidR="004649EE" w:rsidRPr="00F07DD4" w:rsidTr="00323A02">
        <w:trPr>
          <w:trHeight w:val="164"/>
        </w:trPr>
        <w:tc>
          <w:tcPr>
            <w:tcW w:w="3416" w:type="dxa"/>
            <w:hideMark/>
          </w:tcPr>
          <w:p w:rsidR="004649EE" w:rsidRPr="00F07DD4" w:rsidRDefault="004649EE" w:rsidP="00323A02">
            <w:pPr>
              <w:tabs>
                <w:tab w:val="left" w:pos="2019"/>
              </w:tabs>
              <w:spacing w:after="0" w:line="240" w:lineRule="auto"/>
              <w:ind w:right="32"/>
              <w:jc w:val="left"/>
              <w:rPr>
                <w:sz w:val="20"/>
                <w:szCs w:val="20"/>
              </w:rPr>
            </w:pPr>
            <w:r w:rsidRPr="00F07DD4">
              <w:rPr>
                <w:sz w:val="20"/>
                <w:szCs w:val="20"/>
              </w:rPr>
              <w:t>- бюджет города</w:t>
            </w:r>
          </w:p>
        </w:tc>
        <w:tc>
          <w:tcPr>
            <w:tcW w:w="1473" w:type="dxa"/>
            <w:hideMark/>
          </w:tcPr>
          <w:p w:rsidR="004649EE" w:rsidRPr="000B7FA8" w:rsidRDefault="004649EE" w:rsidP="00323A02">
            <w:pPr>
              <w:tabs>
                <w:tab w:val="left" w:pos="2019"/>
              </w:tabs>
              <w:spacing w:after="0"/>
              <w:ind w:right="32"/>
              <w:jc w:val="center"/>
              <w:rPr>
                <w:sz w:val="20"/>
                <w:szCs w:val="20"/>
              </w:rPr>
            </w:pPr>
            <w:r w:rsidRPr="000B7FA8">
              <w:rPr>
                <w:sz w:val="20"/>
                <w:szCs w:val="20"/>
              </w:rPr>
              <w:t>197 907,8</w:t>
            </w:r>
          </w:p>
        </w:tc>
        <w:tc>
          <w:tcPr>
            <w:tcW w:w="1546" w:type="dxa"/>
          </w:tcPr>
          <w:p w:rsidR="004649EE" w:rsidRPr="00700884" w:rsidRDefault="004649EE" w:rsidP="00323A02">
            <w:pPr>
              <w:tabs>
                <w:tab w:val="left" w:pos="2019"/>
              </w:tabs>
              <w:spacing w:after="0"/>
              <w:ind w:right="32"/>
              <w:jc w:val="center"/>
              <w:rPr>
                <w:sz w:val="20"/>
                <w:szCs w:val="20"/>
              </w:rPr>
            </w:pPr>
            <w:r w:rsidRPr="00700884">
              <w:rPr>
                <w:sz w:val="20"/>
                <w:szCs w:val="20"/>
              </w:rPr>
              <w:t>330 611,4</w:t>
            </w:r>
          </w:p>
        </w:tc>
        <w:tc>
          <w:tcPr>
            <w:tcW w:w="1392" w:type="dxa"/>
          </w:tcPr>
          <w:p w:rsidR="004649EE" w:rsidRPr="00700884" w:rsidRDefault="004649EE" w:rsidP="00323A02">
            <w:pPr>
              <w:tabs>
                <w:tab w:val="left" w:pos="2019"/>
              </w:tabs>
              <w:spacing w:after="0"/>
              <w:ind w:right="32"/>
              <w:jc w:val="center"/>
              <w:rPr>
                <w:sz w:val="20"/>
                <w:szCs w:val="20"/>
              </w:rPr>
            </w:pPr>
            <w:r w:rsidRPr="00700884">
              <w:rPr>
                <w:sz w:val="20"/>
                <w:szCs w:val="20"/>
              </w:rPr>
              <w:t>327 950,</w:t>
            </w:r>
            <w:r>
              <w:rPr>
                <w:sz w:val="20"/>
                <w:szCs w:val="20"/>
              </w:rPr>
              <w:t>4</w:t>
            </w:r>
          </w:p>
        </w:tc>
        <w:tc>
          <w:tcPr>
            <w:tcW w:w="1416" w:type="dxa"/>
            <w:hideMark/>
          </w:tcPr>
          <w:p w:rsidR="004649EE" w:rsidRPr="00700884" w:rsidRDefault="004649EE" w:rsidP="00323A02">
            <w:pPr>
              <w:tabs>
                <w:tab w:val="left" w:pos="2019"/>
              </w:tabs>
              <w:spacing w:after="0"/>
              <w:ind w:right="32"/>
              <w:jc w:val="center"/>
              <w:rPr>
                <w:sz w:val="20"/>
                <w:szCs w:val="20"/>
              </w:rPr>
            </w:pPr>
            <w:r w:rsidRPr="00700884">
              <w:rPr>
                <w:sz w:val="20"/>
                <w:szCs w:val="20"/>
              </w:rPr>
              <w:t>99,2%</w:t>
            </w:r>
          </w:p>
        </w:tc>
      </w:tr>
      <w:tr w:rsidR="004649EE" w:rsidRPr="00F07DD4" w:rsidTr="00323A02">
        <w:trPr>
          <w:trHeight w:val="164"/>
        </w:trPr>
        <w:tc>
          <w:tcPr>
            <w:tcW w:w="3416" w:type="dxa"/>
            <w:hideMark/>
          </w:tcPr>
          <w:p w:rsidR="004649EE" w:rsidRPr="00F07DD4" w:rsidRDefault="004649EE" w:rsidP="00323A02">
            <w:pPr>
              <w:tabs>
                <w:tab w:val="left" w:pos="2019"/>
              </w:tabs>
              <w:spacing w:after="0" w:line="240" w:lineRule="auto"/>
              <w:ind w:right="32"/>
              <w:jc w:val="left"/>
              <w:rPr>
                <w:sz w:val="20"/>
                <w:szCs w:val="20"/>
              </w:rPr>
            </w:pPr>
            <w:r w:rsidRPr="00F07DD4">
              <w:rPr>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 всего, в том числе:</w:t>
            </w:r>
          </w:p>
        </w:tc>
        <w:tc>
          <w:tcPr>
            <w:tcW w:w="1473" w:type="dxa"/>
            <w:hideMark/>
          </w:tcPr>
          <w:p w:rsidR="004649EE" w:rsidRPr="000B7FA8" w:rsidRDefault="004649EE" w:rsidP="00323A02">
            <w:pPr>
              <w:tabs>
                <w:tab w:val="left" w:pos="2019"/>
              </w:tabs>
              <w:spacing w:after="0"/>
              <w:ind w:right="32"/>
              <w:jc w:val="center"/>
              <w:rPr>
                <w:sz w:val="20"/>
                <w:szCs w:val="20"/>
              </w:rPr>
            </w:pPr>
            <w:r w:rsidRPr="000B7FA8">
              <w:rPr>
                <w:sz w:val="20"/>
                <w:szCs w:val="20"/>
              </w:rPr>
              <w:t>119 115,6</w:t>
            </w:r>
          </w:p>
        </w:tc>
        <w:tc>
          <w:tcPr>
            <w:tcW w:w="1546" w:type="dxa"/>
          </w:tcPr>
          <w:p w:rsidR="004649EE" w:rsidRPr="00700884" w:rsidRDefault="004649EE" w:rsidP="00323A02">
            <w:pPr>
              <w:tabs>
                <w:tab w:val="left" w:pos="2019"/>
              </w:tabs>
              <w:spacing w:after="0"/>
              <w:ind w:right="32"/>
              <w:jc w:val="center"/>
              <w:rPr>
                <w:sz w:val="20"/>
                <w:szCs w:val="20"/>
              </w:rPr>
            </w:pPr>
            <w:r w:rsidRPr="00700884">
              <w:rPr>
                <w:sz w:val="20"/>
                <w:szCs w:val="20"/>
              </w:rPr>
              <w:t>143 </w:t>
            </w:r>
            <w:r>
              <w:rPr>
                <w:sz w:val="20"/>
                <w:szCs w:val="20"/>
              </w:rPr>
              <w:t>3</w:t>
            </w:r>
            <w:r w:rsidRPr="00700884">
              <w:rPr>
                <w:sz w:val="20"/>
                <w:szCs w:val="20"/>
              </w:rPr>
              <w:t>28,3</w:t>
            </w:r>
          </w:p>
        </w:tc>
        <w:tc>
          <w:tcPr>
            <w:tcW w:w="1392" w:type="dxa"/>
          </w:tcPr>
          <w:p w:rsidR="004649EE" w:rsidRPr="00700884" w:rsidRDefault="004649EE" w:rsidP="00323A02">
            <w:pPr>
              <w:tabs>
                <w:tab w:val="left" w:pos="2019"/>
              </w:tabs>
              <w:spacing w:after="0"/>
              <w:ind w:right="32"/>
              <w:jc w:val="center"/>
              <w:rPr>
                <w:sz w:val="20"/>
                <w:szCs w:val="20"/>
              </w:rPr>
            </w:pPr>
            <w:r w:rsidRPr="00700884">
              <w:rPr>
                <w:sz w:val="20"/>
                <w:szCs w:val="20"/>
              </w:rPr>
              <w:t>142 982,2</w:t>
            </w:r>
          </w:p>
        </w:tc>
        <w:tc>
          <w:tcPr>
            <w:tcW w:w="1416" w:type="dxa"/>
            <w:hideMark/>
          </w:tcPr>
          <w:p w:rsidR="004649EE" w:rsidRPr="00700884" w:rsidRDefault="004649EE" w:rsidP="00323A02">
            <w:pPr>
              <w:tabs>
                <w:tab w:val="left" w:pos="2019"/>
              </w:tabs>
              <w:spacing w:after="0"/>
              <w:ind w:right="32"/>
              <w:jc w:val="center"/>
              <w:rPr>
                <w:sz w:val="20"/>
                <w:szCs w:val="20"/>
              </w:rPr>
            </w:pPr>
            <w:r w:rsidRPr="00700884">
              <w:rPr>
                <w:sz w:val="20"/>
                <w:szCs w:val="20"/>
              </w:rPr>
              <w:t>99,</w:t>
            </w:r>
            <w:r>
              <w:rPr>
                <w:sz w:val="20"/>
                <w:szCs w:val="20"/>
              </w:rPr>
              <w:t>8</w:t>
            </w:r>
            <w:r w:rsidRPr="00700884">
              <w:rPr>
                <w:sz w:val="20"/>
                <w:szCs w:val="20"/>
              </w:rPr>
              <w:t>%</w:t>
            </w:r>
          </w:p>
        </w:tc>
      </w:tr>
      <w:tr w:rsidR="004649EE" w:rsidRPr="00F07DD4" w:rsidTr="00323A02">
        <w:trPr>
          <w:trHeight w:val="164"/>
        </w:trPr>
        <w:tc>
          <w:tcPr>
            <w:tcW w:w="3416" w:type="dxa"/>
            <w:hideMark/>
          </w:tcPr>
          <w:p w:rsidR="004649EE" w:rsidRPr="00F07DD4" w:rsidRDefault="004649EE" w:rsidP="00323A02">
            <w:pPr>
              <w:tabs>
                <w:tab w:val="left" w:pos="2019"/>
              </w:tabs>
              <w:spacing w:after="0" w:line="240" w:lineRule="auto"/>
              <w:ind w:right="32"/>
              <w:jc w:val="left"/>
              <w:rPr>
                <w:sz w:val="20"/>
                <w:szCs w:val="20"/>
              </w:rPr>
            </w:pPr>
            <w:r w:rsidRPr="00F07DD4">
              <w:rPr>
                <w:sz w:val="20"/>
                <w:szCs w:val="20"/>
              </w:rPr>
              <w:t>- бюджет города</w:t>
            </w:r>
          </w:p>
        </w:tc>
        <w:tc>
          <w:tcPr>
            <w:tcW w:w="1473" w:type="dxa"/>
            <w:hideMark/>
          </w:tcPr>
          <w:p w:rsidR="004649EE" w:rsidRPr="000B7FA8" w:rsidRDefault="004649EE" w:rsidP="00323A02">
            <w:pPr>
              <w:tabs>
                <w:tab w:val="left" w:pos="2019"/>
              </w:tabs>
              <w:spacing w:after="0"/>
              <w:ind w:right="32"/>
              <w:jc w:val="center"/>
              <w:rPr>
                <w:sz w:val="20"/>
                <w:szCs w:val="20"/>
              </w:rPr>
            </w:pPr>
            <w:r w:rsidRPr="000B7FA8">
              <w:rPr>
                <w:sz w:val="20"/>
                <w:szCs w:val="20"/>
              </w:rPr>
              <w:t>119 115,6</w:t>
            </w:r>
          </w:p>
        </w:tc>
        <w:tc>
          <w:tcPr>
            <w:tcW w:w="1546" w:type="dxa"/>
          </w:tcPr>
          <w:p w:rsidR="004649EE" w:rsidRPr="00700884" w:rsidRDefault="004649EE" w:rsidP="00323A02">
            <w:pPr>
              <w:tabs>
                <w:tab w:val="left" w:pos="2019"/>
              </w:tabs>
              <w:spacing w:after="0"/>
              <w:ind w:right="32"/>
              <w:jc w:val="center"/>
              <w:rPr>
                <w:sz w:val="20"/>
                <w:szCs w:val="20"/>
              </w:rPr>
            </w:pPr>
            <w:r w:rsidRPr="00700884">
              <w:rPr>
                <w:sz w:val="20"/>
                <w:szCs w:val="20"/>
              </w:rPr>
              <w:t>143 628,3</w:t>
            </w:r>
          </w:p>
        </w:tc>
        <w:tc>
          <w:tcPr>
            <w:tcW w:w="1392" w:type="dxa"/>
          </w:tcPr>
          <w:p w:rsidR="004649EE" w:rsidRPr="00700884" w:rsidRDefault="004649EE" w:rsidP="00323A02">
            <w:pPr>
              <w:tabs>
                <w:tab w:val="left" w:pos="2019"/>
              </w:tabs>
              <w:spacing w:after="0"/>
              <w:ind w:right="32"/>
              <w:jc w:val="center"/>
              <w:rPr>
                <w:sz w:val="20"/>
                <w:szCs w:val="20"/>
              </w:rPr>
            </w:pPr>
            <w:r w:rsidRPr="00700884">
              <w:rPr>
                <w:sz w:val="20"/>
                <w:szCs w:val="20"/>
              </w:rPr>
              <w:t>142 982,2</w:t>
            </w:r>
          </w:p>
        </w:tc>
        <w:tc>
          <w:tcPr>
            <w:tcW w:w="1416" w:type="dxa"/>
            <w:hideMark/>
          </w:tcPr>
          <w:p w:rsidR="004649EE" w:rsidRPr="00700884" w:rsidRDefault="004649EE" w:rsidP="00323A02">
            <w:pPr>
              <w:tabs>
                <w:tab w:val="left" w:pos="2019"/>
              </w:tabs>
              <w:spacing w:after="0"/>
              <w:ind w:right="32"/>
              <w:jc w:val="center"/>
              <w:rPr>
                <w:sz w:val="20"/>
                <w:szCs w:val="20"/>
              </w:rPr>
            </w:pPr>
            <w:r w:rsidRPr="00700884">
              <w:rPr>
                <w:sz w:val="20"/>
                <w:szCs w:val="20"/>
              </w:rPr>
              <w:t>99,</w:t>
            </w:r>
            <w:r>
              <w:rPr>
                <w:sz w:val="20"/>
                <w:szCs w:val="20"/>
              </w:rPr>
              <w:t>8</w:t>
            </w:r>
            <w:r w:rsidRPr="00700884">
              <w:rPr>
                <w:sz w:val="20"/>
                <w:szCs w:val="20"/>
              </w:rPr>
              <w:t>%</w:t>
            </w:r>
          </w:p>
        </w:tc>
      </w:tr>
    </w:tbl>
    <w:p w:rsidR="004649EE" w:rsidRPr="00F07DD4" w:rsidRDefault="004649EE" w:rsidP="004649EE">
      <w:pPr>
        <w:spacing w:after="0"/>
        <w:ind w:right="424" w:firstLine="709"/>
        <w:contextualSpacing/>
        <w:jc w:val="left"/>
        <w:rPr>
          <w:highlight w:val="yellow"/>
        </w:rPr>
      </w:pPr>
    </w:p>
    <w:p w:rsidR="004649EE" w:rsidRPr="008F2381" w:rsidRDefault="004649EE" w:rsidP="004649EE">
      <w:pPr>
        <w:spacing w:after="0"/>
        <w:ind w:right="-2" w:firstLine="709"/>
        <w:contextualSpacing/>
        <w:jc w:val="both"/>
        <w:rPr>
          <w:sz w:val="28"/>
          <w:szCs w:val="28"/>
        </w:rPr>
      </w:pPr>
      <w:r w:rsidRPr="008F2381">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4649EE" w:rsidRPr="009870B3" w:rsidRDefault="004649EE" w:rsidP="004649EE">
      <w:pPr>
        <w:spacing w:after="0"/>
        <w:ind w:right="-2" w:firstLine="709"/>
        <w:contextualSpacing/>
        <w:jc w:val="both"/>
        <w:rPr>
          <w:sz w:val="28"/>
          <w:szCs w:val="28"/>
        </w:rPr>
      </w:pPr>
      <w:r w:rsidRPr="008F2381">
        <w:rPr>
          <w:sz w:val="28"/>
          <w:szCs w:val="28"/>
        </w:rPr>
        <w:t>1. Основное мероприятие «</w:t>
      </w:r>
      <w:r w:rsidRPr="008F2381">
        <w:rPr>
          <w:bCs/>
          <w:sz w:val="28"/>
          <w:szCs w:val="28"/>
        </w:rPr>
        <w:t xml:space="preserve">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w:t>
      </w:r>
      <w:r w:rsidRPr="009870B3">
        <w:rPr>
          <w:bCs/>
          <w:sz w:val="28"/>
          <w:szCs w:val="28"/>
        </w:rPr>
        <w:t>обеспечения контроля за его сохранностью»</w:t>
      </w:r>
      <w:r w:rsidRPr="009870B3">
        <w:rPr>
          <w:sz w:val="28"/>
          <w:szCs w:val="28"/>
        </w:rPr>
        <w:t xml:space="preserve"> в том числе: </w:t>
      </w:r>
    </w:p>
    <w:p w:rsidR="004649EE" w:rsidRPr="00436D05" w:rsidRDefault="004649EE" w:rsidP="004649EE">
      <w:pPr>
        <w:spacing w:after="0"/>
        <w:ind w:right="-2" w:firstLine="709"/>
        <w:contextualSpacing/>
        <w:jc w:val="both"/>
        <w:rPr>
          <w:sz w:val="28"/>
          <w:szCs w:val="28"/>
        </w:rPr>
      </w:pPr>
      <w:r>
        <w:rPr>
          <w:sz w:val="28"/>
          <w:szCs w:val="28"/>
        </w:rPr>
        <w:t xml:space="preserve">- </w:t>
      </w:r>
      <w:r w:rsidRPr="00B50C7F">
        <w:rPr>
          <w:sz w:val="28"/>
          <w:szCs w:val="28"/>
        </w:rPr>
        <w:t>субсиди</w:t>
      </w:r>
      <w:r>
        <w:rPr>
          <w:sz w:val="28"/>
          <w:szCs w:val="28"/>
        </w:rPr>
        <w:t>и</w:t>
      </w:r>
      <w:r w:rsidRPr="00B50C7F">
        <w:rPr>
          <w:sz w:val="28"/>
          <w:szCs w:val="28"/>
        </w:rPr>
        <w:t xml:space="preserve"> из бюджета города Ханты-Мансийска на финансовое обеспечение затрат </w:t>
      </w:r>
      <w:r>
        <w:rPr>
          <w:sz w:val="28"/>
          <w:szCs w:val="28"/>
        </w:rPr>
        <w:t xml:space="preserve">по </w:t>
      </w:r>
      <w:r w:rsidRPr="00B50C7F">
        <w:rPr>
          <w:sz w:val="28"/>
          <w:szCs w:val="28"/>
        </w:rPr>
        <w:t>приобретени</w:t>
      </w:r>
      <w:r>
        <w:rPr>
          <w:sz w:val="28"/>
          <w:szCs w:val="28"/>
        </w:rPr>
        <w:t>ю</w:t>
      </w:r>
      <w:r w:rsidRPr="00B50C7F">
        <w:rPr>
          <w:sz w:val="28"/>
          <w:szCs w:val="28"/>
        </w:rPr>
        <w:t xml:space="preserve"> </w:t>
      </w:r>
      <w:r>
        <w:rPr>
          <w:sz w:val="28"/>
          <w:szCs w:val="28"/>
        </w:rPr>
        <w:t>пассажирских автобусов</w:t>
      </w:r>
      <w:r w:rsidRPr="00B50C7F">
        <w:rPr>
          <w:sz w:val="28"/>
          <w:szCs w:val="28"/>
        </w:rPr>
        <w:t xml:space="preserve">, транспортных средств и оплаты лизинговых платежей для обновления </w:t>
      </w:r>
      <w:r w:rsidRPr="00436D05">
        <w:rPr>
          <w:sz w:val="28"/>
          <w:szCs w:val="28"/>
        </w:rPr>
        <w:t>материально-технической базы в размере 72 651,2 тыс. рублей;</w:t>
      </w:r>
    </w:p>
    <w:p w:rsidR="004649EE" w:rsidRPr="00436D05" w:rsidRDefault="004649EE" w:rsidP="004649EE">
      <w:pPr>
        <w:spacing w:after="0"/>
        <w:ind w:right="-2" w:firstLine="709"/>
        <w:contextualSpacing/>
        <w:jc w:val="both"/>
        <w:rPr>
          <w:sz w:val="28"/>
          <w:szCs w:val="28"/>
        </w:rPr>
      </w:pPr>
      <w:r w:rsidRPr="00436D05">
        <w:rPr>
          <w:sz w:val="28"/>
          <w:szCs w:val="28"/>
        </w:rPr>
        <w:t>- субсиди</w:t>
      </w:r>
      <w:r>
        <w:rPr>
          <w:sz w:val="28"/>
          <w:szCs w:val="28"/>
        </w:rPr>
        <w:t>я</w:t>
      </w:r>
      <w:r w:rsidRPr="00436D05">
        <w:rPr>
          <w:sz w:val="28"/>
          <w:szCs w:val="28"/>
        </w:rPr>
        <w:t xml:space="preserve"> из бюджета города Ханты-Мансийска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в размере 1 003,2 тыс. рублей;</w:t>
      </w:r>
    </w:p>
    <w:p w:rsidR="004649EE" w:rsidRPr="00436D05" w:rsidRDefault="004649EE" w:rsidP="004649EE">
      <w:pPr>
        <w:spacing w:after="0"/>
        <w:ind w:right="-2" w:firstLine="709"/>
        <w:contextualSpacing/>
        <w:jc w:val="both"/>
        <w:rPr>
          <w:sz w:val="28"/>
          <w:szCs w:val="28"/>
        </w:rPr>
      </w:pPr>
      <w:r w:rsidRPr="00436D05">
        <w:rPr>
          <w:sz w:val="28"/>
          <w:szCs w:val="28"/>
        </w:rPr>
        <w:t>- инвестиции в объекты муниципальной собственности на приобретение парковки по адресу г. Ханты-Мансийск, ул. Студенческа, уч. 13А, в сумме 63 253,0 тыс. рублей;</w:t>
      </w:r>
    </w:p>
    <w:p w:rsidR="004649EE" w:rsidRPr="00436D05" w:rsidRDefault="004649EE" w:rsidP="004649EE">
      <w:pPr>
        <w:spacing w:after="0"/>
        <w:ind w:right="-2" w:firstLine="709"/>
        <w:contextualSpacing/>
        <w:jc w:val="both"/>
        <w:rPr>
          <w:sz w:val="28"/>
          <w:szCs w:val="28"/>
        </w:rPr>
      </w:pPr>
      <w:r w:rsidRPr="00436D05">
        <w:rPr>
          <w:sz w:val="28"/>
          <w:szCs w:val="28"/>
        </w:rPr>
        <w:t xml:space="preserve">- реализация мероприятий по приобретению 5 автобусов в сумме 87 280,0 тыс. рублей; </w:t>
      </w:r>
    </w:p>
    <w:p w:rsidR="004649EE" w:rsidRDefault="004649EE" w:rsidP="004649EE">
      <w:pPr>
        <w:spacing w:after="0"/>
        <w:ind w:right="-2" w:firstLine="709"/>
        <w:contextualSpacing/>
        <w:jc w:val="both"/>
        <w:rPr>
          <w:sz w:val="28"/>
          <w:szCs w:val="28"/>
        </w:rPr>
      </w:pPr>
      <w:r w:rsidRPr="00204541">
        <w:rPr>
          <w:sz w:val="28"/>
          <w:szCs w:val="28"/>
        </w:rPr>
        <w:t xml:space="preserve">- выполнение работ по капитальному ремонту муниципального имущества исполнение составило 20 603,2 тыс. рублей при плане 22 506,1 тыс. </w:t>
      </w:r>
      <w:r w:rsidRPr="00204541">
        <w:rPr>
          <w:sz w:val="28"/>
          <w:szCs w:val="28"/>
        </w:rPr>
        <w:lastRenderedPageBreak/>
        <w:t>рублей, что составляет 91,5%, в связи с</w:t>
      </w:r>
      <w:r w:rsidRPr="00204541">
        <w:t xml:space="preserve"> </w:t>
      </w:r>
      <w:r w:rsidRPr="00204541">
        <w:rPr>
          <w:sz w:val="28"/>
          <w:szCs w:val="28"/>
        </w:rPr>
        <w:t>отсутствием необходимости выполнения части работ и переносом сроков выполнения работ на 2025 год.</w:t>
      </w:r>
    </w:p>
    <w:p w:rsidR="004649EE" w:rsidRPr="00436D05" w:rsidRDefault="004649EE" w:rsidP="004649EE">
      <w:pPr>
        <w:spacing w:after="0"/>
        <w:ind w:right="-2" w:firstLine="709"/>
        <w:contextualSpacing/>
        <w:jc w:val="both"/>
        <w:rPr>
          <w:sz w:val="28"/>
          <w:szCs w:val="28"/>
        </w:rPr>
      </w:pPr>
      <w:r w:rsidRPr="00436D05">
        <w:rPr>
          <w:sz w:val="28"/>
          <w:szCs w:val="28"/>
        </w:rPr>
        <w:t>- выполнение текущего ремонта муниципальной собственности в сумме 11 510,8 тыс. рублей;</w:t>
      </w:r>
    </w:p>
    <w:p w:rsidR="004649EE" w:rsidRPr="00436D05" w:rsidRDefault="004649EE" w:rsidP="004649EE">
      <w:pPr>
        <w:spacing w:after="0"/>
        <w:ind w:right="-2" w:firstLine="709"/>
        <w:contextualSpacing/>
        <w:jc w:val="both"/>
        <w:rPr>
          <w:sz w:val="28"/>
          <w:szCs w:val="28"/>
        </w:rPr>
      </w:pPr>
      <w:r w:rsidRPr="00436D05">
        <w:rPr>
          <w:sz w:val="28"/>
          <w:szCs w:val="28"/>
        </w:rPr>
        <w:t>- содержание общего имущества жилых и нежилых помещений, не обремененных правами третьих лиц в сумме 13 141,7 тыс. рублей;</w:t>
      </w:r>
    </w:p>
    <w:p w:rsidR="004649EE" w:rsidRPr="00FD51D5" w:rsidRDefault="004649EE" w:rsidP="004649EE">
      <w:pPr>
        <w:spacing w:after="0"/>
        <w:ind w:right="-2" w:firstLine="709"/>
        <w:contextualSpacing/>
        <w:jc w:val="both"/>
        <w:rPr>
          <w:sz w:val="28"/>
          <w:szCs w:val="28"/>
        </w:rPr>
      </w:pPr>
      <w:r w:rsidRPr="00436D05">
        <w:rPr>
          <w:sz w:val="28"/>
          <w:szCs w:val="28"/>
        </w:rPr>
        <w:t xml:space="preserve">- </w:t>
      </w:r>
      <w:r w:rsidRPr="00FD51D5">
        <w:rPr>
          <w:sz w:val="28"/>
          <w:szCs w:val="28"/>
        </w:rPr>
        <w:t>оплата взносов на капитальный ремонт муниципального жилищного фонда в сумме 17 466,2 тыс. рублей;</w:t>
      </w:r>
    </w:p>
    <w:p w:rsidR="004649EE" w:rsidRPr="00FD51D5" w:rsidRDefault="004649EE" w:rsidP="004649EE">
      <w:pPr>
        <w:spacing w:after="0"/>
        <w:ind w:right="-2" w:firstLine="709"/>
        <w:contextualSpacing/>
        <w:jc w:val="both"/>
        <w:rPr>
          <w:sz w:val="28"/>
          <w:szCs w:val="28"/>
        </w:rPr>
      </w:pPr>
      <w:r w:rsidRPr="00FD51D5">
        <w:rPr>
          <w:sz w:val="28"/>
          <w:szCs w:val="28"/>
        </w:rPr>
        <w:t>- содержание</w:t>
      </w:r>
      <w:r>
        <w:rPr>
          <w:sz w:val="28"/>
          <w:szCs w:val="28"/>
        </w:rPr>
        <w:t>, увеличение стоимости основных средств и материальных запасов, выполнение кадастровых работ</w:t>
      </w:r>
      <w:r w:rsidRPr="00FD51D5">
        <w:rPr>
          <w:sz w:val="28"/>
          <w:szCs w:val="28"/>
        </w:rPr>
        <w:t xml:space="preserve"> в сумме – 19 680,4 тыс. рублей;</w:t>
      </w:r>
    </w:p>
    <w:p w:rsidR="004649EE" w:rsidRDefault="004649EE" w:rsidP="004649EE">
      <w:pPr>
        <w:spacing w:after="0"/>
        <w:ind w:right="-2" w:firstLine="709"/>
        <w:contextualSpacing/>
        <w:jc w:val="both"/>
        <w:rPr>
          <w:sz w:val="28"/>
          <w:szCs w:val="28"/>
          <w:highlight w:val="yellow"/>
        </w:rPr>
      </w:pPr>
      <w:r>
        <w:rPr>
          <w:sz w:val="28"/>
          <w:szCs w:val="28"/>
        </w:rPr>
        <w:t>- в</w:t>
      </w:r>
      <w:r w:rsidRPr="00BA1564">
        <w:rPr>
          <w:sz w:val="28"/>
          <w:szCs w:val="28"/>
        </w:rPr>
        <w:t>ыполнение работ и услуг по техническому обследованию, экспертизе и оценке муниципального имущества на сумму 21 360,7 тыс. рублей</w:t>
      </w:r>
      <w:r>
        <w:rPr>
          <w:sz w:val="28"/>
          <w:szCs w:val="28"/>
        </w:rPr>
        <w:t>.</w:t>
      </w:r>
    </w:p>
    <w:p w:rsidR="004649EE" w:rsidRPr="003974E9" w:rsidRDefault="004649EE" w:rsidP="004649EE">
      <w:pPr>
        <w:spacing w:after="0"/>
        <w:ind w:right="-2" w:firstLine="709"/>
        <w:jc w:val="both"/>
        <w:rPr>
          <w:sz w:val="28"/>
          <w:szCs w:val="28"/>
        </w:rPr>
      </w:pPr>
      <w:r w:rsidRPr="003974E9">
        <w:rPr>
          <w:sz w:val="28"/>
          <w:szCs w:val="28"/>
        </w:rPr>
        <w:t>2. Основное мероприятие «</w:t>
      </w:r>
      <w:r w:rsidRPr="003974E9">
        <w:rPr>
          <w:bCs/>
          <w:sz w:val="28"/>
          <w:szCs w:val="28"/>
        </w:rPr>
        <w:t>Организация обеспечения деятельности Департамента муниципальной собственности и МКУ «Дирекция по содержанию имущества казны» в том числе:</w:t>
      </w:r>
    </w:p>
    <w:p w:rsidR="004649EE" w:rsidRPr="003974E9" w:rsidRDefault="004649EE" w:rsidP="004649EE">
      <w:pPr>
        <w:spacing w:after="0"/>
        <w:ind w:firstLine="708"/>
        <w:jc w:val="both"/>
        <w:rPr>
          <w:bCs/>
          <w:sz w:val="28"/>
          <w:szCs w:val="28"/>
        </w:rPr>
      </w:pPr>
      <w:r w:rsidRPr="003974E9">
        <w:rPr>
          <w:sz w:val="28"/>
          <w:szCs w:val="28"/>
        </w:rPr>
        <w:t xml:space="preserve">- расходы на обеспечение функций </w:t>
      </w:r>
      <w:r>
        <w:rPr>
          <w:sz w:val="28"/>
          <w:szCs w:val="28"/>
        </w:rPr>
        <w:t xml:space="preserve">и полномочий </w:t>
      </w:r>
      <w:r w:rsidRPr="003974E9">
        <w:rPr>
          <w:sz w:val="28"/>
          <w:szCs w:val="28"/>
        </w:rPr>
        <w:t xml:space="preserve">органов местного самоуправления </w:t>
      </w:r>
      <w:r w:rsidRPr="003974E9">
        <w:rPr>
          <w:bCs/>
          <w:sz w:val="28"/>
          <w:szCs w:val="28"/>
        </w:rPr>
        <w:t>Департамента муниципальной собственности Администрации города     Ханты-Мансийска в сумме 82 129,1 тыс. рублей;</w:t>
      </w:r>
    </w:p>
    <w:p w:rsidR="004649EE" w:rsidRDefault="004649EE" w:rsidP="004649EE">
      <w:pPr>
        <w:spacing w:after="0"/>
        <w:ind w:firstLine="708"/>
        <w:jc w:val="both"/>
        <w:rPr>
          <w:sz w:val="28"/>
          <w:szCs w:val="28"/>
        </w:rPr>
      </w:pPr>
      <w:r w:rsidRPr="003974E9">
        <w:rPr>
          <w:bCs/>
          <w:sz w:val="28"/>
          <w:szCs w:val="28"/>
        </w:rPr>
        <w:t xml:space="preserve">- расходы на обеспечение деятельности для выполнения функций и полномочий, возложенных на </w:t>
      </w:r>
      <w:r w:rsidRPr="003974E9">
        <w:rPr>
          <w:sz w:val="28"/>
          <w:szCs w:val="28"/>
        </w:rPr>
        <w:t>муниципальное казенное учреждение</w:t>
      </w:r>
      <w:r w:rsidRPr="003974E9">
        <w:rPr>
          <w:bCs/>
          <w:sz w:val="28"/>
          <w:szCs w:val="28"/>
        </w:rPr>
        <w:t xml:space="preserve"> «Дирекция по содержанию имущества казны» в сумме 60 853,1 тыс. рублей</w:t>
      </w:r>
      <w:r w:rsidRPr="003974E9">
        <w:rPr>
          <w:sz w:val="28"/>
          <w:szCs w:val="28"/>
        </w:rPr>
        <w:t xml:space="preserve">. </w:t>
      </w:r>
    </w:p>
    <w:p w:rsidR="004649EE" w:rsidRPr="003974E9" w:rsidRDefault="004649EE" w:rsidP="004649EE">
      <w:pPr>
        <w:spacing w:after="0"/>
        <w:ind w:firstLine="708"/>
        <w:jc w:val="both"/>
        <w:rPr>
          <w:sz w:val="28"/>
          <w:szCs w:val="28"/>
        </w:rPr>
      </w:pPr>
      <w:r w:rsidRPr="003974E9">
        <w:rPr>
          <w:sz w:val="28"/>
          <w:szCs w:val="28"/>
        </w:rPr>
        <w:t xml:space="preserve">Общий объем бюджетных инвестиций в объекты муниципальной собственности по муниципальной программе составил </w:t>
      </w:r>
      <w:r>
        <w:rPr>
          <w:sz w:val="28"/>
          <w:szCs w:val="28"/>
        </w:rPr>
        <w:t xml:space="preserve">67 683,2 </w:t>
      </w:r>
      <w:r w:rsidRPr="003974E9">
        <w:rPr>
          <w:sz w:val="28"/>
          <w:szCs w:val="28"/>
        </w:rPr>
        <w:t>тыс. рублей</w:t>
      </w:r>
      <w:r>
        <w:rPr>
          <w:sz w:val="28"/>
          <w:szCs w:val="28"/>
        </w:rPr>
        <w:t xml:space="preserve"> –</w:t>
      </w:r>
      <w:r w:rsidRPr="003974E9">
        <w:rPr>
          <w:sz w:val="28"/>
          <w:szCs w:val="28"/>
        </w:rPr>
        <w:t xml:space="preserve"> средства</w:t>
      </w:r>
      <w:r>
        <w:rPr>
          <w:sz w:val="28"/>
          <w:szCs w:val="28"/>
        </w:rPr>
        <w:t xml:space="preserve"> бюджета города Ханты-Мансийска. </w:t>
      </w:r>
      <w:r w:rsidRPr="003974E9">
        <w:rPr>
          <w:sz w:val="28"/>
          <w:szCs w:val="28"/>
        </w:rPr>
        <w:t>Указанные средства направлены на реализацию полномочий в области жилищных отношений.</w:t>
      </w:r>
    </w:p>
    <w:p w:rsidR="00F07DD4" w:rsidRPr="00D92B40" w:rsidRDefault="00F07DD4" w:rsidP="00F07DD4">
      <w:pPr>
        <w:tabs>
          <w:tab w:val="left" w:pos="567"/>
        </w:tabs>
        <w:spacing w:after="0"/>
        <w:ind w:right="-2" w:firstLine="720"/>
        <w:contextualSpacing/>
        <w:jc w:val="both"/>
        <w:rPr>
          <w:sz w:val="28"/>
          <w:szCs w:val="28"/>
          <w:highlight w:val="yellow"/>
        </w:rPr>
      </w:pPr>
      <w:bookmarkStart w:id="8" w:name="_GoBack"/>
      <w:bookmarkEnd w:id="2"/>
      <w:bookmarkEnd w:id="3"/>
      <w:bookmarkEnd w:id="4"/>
      <w:bookmarkEnd w:id="5"/>
      <w:bookmarkEnd w:id="6"/>
      <w:bookmarkEnd w:id="8"/>
    </w:p>
    <w:sectPr w:rsidR="00F07DD4" w:rsidRPr="00D92B40"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36" w:rsidRDefault="00462736" w:rsidP="00FF5332">
      <w:pPr>
        <w:spacing w:after="0" w:line="240" w:lineRule="auto"/>
      </w:pPr>
      <w:r>
        <w:separator/>
      </w:r>
    </w:p>
  </w:endnote>
  <w:endnote w:type="continuationSeparator" w:id="0">
    <w:p w:rsidR="00462736" w:rsidRDefault="00462736"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36" w:rsidRDefault="00462736" w:rsidP="00FF5332">
      <w:pPr>
        <w:spacing w:after="0" w:line="240" w:lineRule="auto"/>
      </w:pPr>
      <w:r>
        <w:separator/>
      </w:r>
    </w:p>
  </w:footnote>
  <w:footnote w:type="continuationSeparator" w:id="0">
    <w:p w:rsidR="00462736" w:rsidRDefault="00462736"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736"/>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9BC"/>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ECF9FC-CB28-43EA-870E-19923B4C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2025-04-03T06:26:00Z</dcterms:created>
  <dcterms:modified xsi:type="dcterms:W3CDTF">2025-04-03T06:26:00Z</dcterms:modified>
</cp:coreProperties>
</file>