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4" w:rsidRDefault="00F07DD4" w:rsidP="00F07DD4">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65"/>
      <w:bookmarkStart w:id="1" w:name="_Toc130222741"/>
      <w:bookmarkStart w:id="2" w:name="_Toc192253436"/>
      <w:bookmarkStart w:id="3" w:name="_GoBack"/>
      <w:bookmarkEnd w:id="3"/>
      <w:r w:rsidRPr="00F20611">
        <w:rPr>
          <w:rFonts w:eastAsiaTheme="majorEastAsia"/>
          <w:b/>
          <w:bCs/>
          <w:color w:val="C45911" w:themeColor="accent2" w:themeShade="BF"/>
          <w:sz w:val="32"/>
          <w:szCs w:val="32"/>
        </w:rPr>
        <w:t>Муниципальная программа</w:t>
      </w:r>
      <w:bookmarkEnd w:id="0"/>
      <w:r w:rsidRPr="00F20611">
        <w:rPr>
          <w:rFonts w:eastAsiaTheme="majorEastAsia"/>
          <w:b/>
          <w:bCs/>
          <w:color w:val="C45911" w:themeColor="accent2" w:themeShade="BF"/>
          <w:sz w:val="32"/>
          <w:szCs w:val="32"/>
        </w:rPr>
        <w:t xml:space="preserve"> </w:t>
      </w:r>
      <w:bookmarkStart w:id="4" w:name="_Toc131164266"/>
      <w:r w:rsidRPr="00F20611">
        <w:rPr>
          <w:rFonts w:eastAsiaTheme="majorEastAsia"/>
          <w:b/>
          <w:bCs/>
          <w:color w:val="C45911" w:themeColor="accent2" w:themeShade="BF"/>
          <w:sz w:val="32"/>
          <w:szCs w:val="32"/>
        </w:rPr>
        <w:t>«Осуществление городом Ханты-Мансийском функций административного центра Ханты-Мансийского автономного округа – Югры»</w:t>
      </w:r>
      <w:bookmarkEnd w:id="1"/>
      <w:bookmarkEnd w:id="2"/>
      <w:bookmarkEnd w:id="4"/>
    </w:p>
    <w:p w:rsidR="00AC5796" w:rsidRDefault="00AC5796" w:rsidP="00F07DD4">
      <w:pPr>
        <w:keepNext/>
        <w:keepLines/>
        <w:spacing w:after="0" w:line="240" w:lineRule="auto"/>
        <w:ind w:right="424"/>
        <w:jc w:val="center"/>
        <w:outlineLvl w:val="0"/>
        <w:rPr>
          <w:rFonts w:eastAsiaTheme="majorEastAsia"/>
          <w:b/>
          <w:bCs/>
          <w:color w:val="C45911" w:themeColor="accent2" w:themeShade="BF"/>
          <w:sz w:val="32"/>
          <w:szCs w:val="32"/>
        </w:rPr>
      </w:pPr>
    </w:p>
    <w:p w:rsidR="00F20611" w:rsidRPr="00F07DD4" w:rsidRDefault="00F20611" w:rsidP="00F20611">
      <w:pPr>
        <w:spacing w:after="0"/>
        <w:ind w:firstLine="709"/>
        <w:jc w:val="both"/>
        <w:rPr>
          <w:sz w:val="28"/>
          <w:szCs w:val="28"/>
          <w:lang w:eastAsia="en-US"/>
        </w:rPr>
      </w:pPr>
      <w:r w:rsidRPr="00F07DD4">
        <w:rPr>
          <w:sz w:val="28"/>
          <w:szCs w:val="28"/>
          <w:lang w:eastAsia="en-US"/>
        </w:rPr>
        <w:t xml:space="preserve">Муниципальная программа «Осуществление городом                           Ханты-Мансийском функций административного центра Ханты-Мансийского автономного округа – Югры» </w:t>
      </w:r>
      <w:r w:rsidRPr="00F07DD4">
        <w:rPr>
          <w:rFonts w:eastAsia="Calibri"/>
          <w:sz w:val="28"/>
          <w:szCs w:val="28"/>
          <w:lang w:eastAsia="en-US"/>
        </w:rPr>
        <w:t xml:space="preserve">утверждена постановлением Администрации города Ханты-Мансийска </w:t>
      </w:r>
      <w:r w:rsidRPr="00F07DD4">
        <w:rPr>
          <w:sz w:val="28"/>
          <w:szCs w:val="28"/>
          <w:lang w:eastAsia="en-US"/>
        </w:rPr>
        <w:t xml:space="preserve">от 13.02.2015 </w:t>
      </w:r>
      <w:r w:rsidRPr="00F07DD4">
        <w:rPr>
          <w:rFonts w:eastAsia="Calibri"/>
          <w:sz w:val="28"/>
          <w:szCs w:val="28"/>
          <w:lang w:eastAsia="en-US"/>
        </w:rPr>
        <w:t xml:space="preserve">года </w:t>
      </w:r>
      <w:r w:rsidRPr="00F07DD4">
        <w:rPr>
          <w:sz w:val="28"/>
          <w:szCs w:val="28"/>
          <w:lang w:eastAsia="en-US"/>
        </w:rPr>
        <w:t>№ 359 (далее – муниципальная программа).</w:t>
      </w:r>
    </w:p>
    <w:p w:rsidR="00F20611" w:rsidRDefault="00F20611" w:rsidP="00F20611">
      <w:pPr>
        <w:spacing w:after="0"/>
        <w:ind w:firstLine="709"/>
        <w:jc w:val="both"/>
        <w:rPr>
          <w:sz w:val="28"/>
          <w:szCs w:val="28"/>
        </w:rPr>
      </w:pPr>
      <w:r w:rsidRPr="00020FC9">
        <w:rPr>
          <w:sz w:val="28"/>
          <w:szCs w:val="28"/>
        </w:rPr>
        <w:t>Общий объем финансирования на 202</w:t>
      </w:r>
      <w:r>
        <w:rPr>
          <w:sz w:val="28"/>
          <w:szCs w:val="28"/>
        </w:rPr>
        <w:t>4</w:t>
      </w:r>
      <w:r w:rsidRPr="00020FC9">
        <w:rPr>
          <w:sz w:val="28"/>
          <w:szCs w:val="28"/>
        </w:rPr>
        <w:t xml:space="preserve"> год составляет </w:t>
      </w:r>
      <w:r>
        <w:rPr>
          <w:sz w:val="28"/>
          <w:szCs w:val="28"/>
        </w:rPr>
        <w:t>454 545,5 тыс. рублей.</w:t>
      </w:r>
      <w:r w:rsidRPr="00020FC9">
        <w:rPr>
          <w:sz w:val="28"/>
          <w:szCs w:val="28"/>
        </w:rPr>
        <w:t xml:space="preserve"> </w:t>
      </w:r>
    </w:p>
    <w:p w:rsidR="00F20611" w:rsidRDefault="00F20611" w:rsidP="00F20611">
      <w:pPr>
        <w:spacing w:after="0"/>
        <w:ind w:firstLine="709"/>
        <w:jc w:val="both"/>
        <w:rPr>
          <w:sz w:val="28"/>
          <w:szCs w:val="28"/>
        </w:rPr>
      </w:pPr>
      <w:r>
        <w:rPr>
          <w:sz w:val="28"/>
          <w:szCs w:val="28"/>
        </w:rPr>
        <w:t>И</w:t>
      </w:r>
      <w:r w:rsidRPr="00020FC9">
        <w:rPr>
          <w:sz w:val="28"/>
          <w:szCs w:val="28"/>
        </w:rPr>
        <w:t xml:space="preserve">сполнение муниципальной программы на отчетную дату составляет </w:t>
      </w:r>
      <w:r>
        <w:rPr>
          <w:sz w:val="28"/>
          <w:szCs w:val="28"/>
        </w:rPr>
        <w:t>454 545,5</w:t>
      </w:r>
      <w:r w:rsidRPr="00020FC9">
        <w:rPr>
          <w:sz w:val="28"/>
          <w:szCs w:val="28"/>
        </w:rPr>
        <w:t xml:space="preserve"> тыс. рублей</w:t>
      </w:r>
      <w:r>
        <w:rPr>
          <w:sz w:val="28"/>
          <w:szCs w:val="28"/>
        </w:rPr>
        <w:t>,</w:t>
      </w:r>
      <w:r w:rsidRPr="00020FC9">
        <w:rPr>
          <w:sz w:val="28"/>
          <w:szCs w:val="28"/>
        </w:rPr>
        <w:t xml:space="preserve"> </w:t>
      </w:r>
      <w:r w:rsidRPr="00ED0887">
        <w:rPr>
          <w:sz w:val="28"/>
          <w:szCs w:val="28"/>
        </w:rPr>
        <w:t xml:space="preserve">в том числе средства окружного бюджета – </w:t>
      </w:r>
      <w:r>
        <w:rPr>
          <w:sz w:val="28"/>
          <w:szCs w:val="28"/>
        </w:rPr>
        <w:t>450 000,0</w:t>
      </w:r>
      <w:r w:rsidRPr="00ED0887">
        <w:rPr>
          <w:sz w:val="28"/>
          <w:szCs w:val="28"/>
        </w:rPr>
        <w:t xml:space="preserve"> тыс. рублей, средства бюджета города Ханты-Ма</w:t>
      </w:r>
      <w:r>
        <w:rPr>
          <w:sz w:val="28"/>
          <w:szCs w:val="28"/>
        </w:rPr>
        <w:t xml:space="preserve">нсийска – 4 545,5 тыс. рублей. </w:t>
      </w:r>
    </w:p>
    <w:p w:rsidR="00F20611" w:rsidRDefault="00F20611" w:rsidP="00F20611">
      <w:pPr>
        <w:spacing w:after="0"/>
        <w:ind w:firstLine="709"/>
        <w:jc w:val="both"/>
        <w:rPr>
          <w:sz w:val="28"/>
          <w:szCs w:val="28"/>
        </w:rPr>
      </w:pPr>
      <w:r w:rsidRPr="00F144AA">
        <w:rPr>
          <w:sz w:val="28"/>
          <w:szCs w:val="28"/>
        </w:rPr>
        <w:t>Исполнение расходов бюджета города по муниципальной программе «Осуществление городом Ханты-Мансийском функций административного центра Ханты-Мансийского автономного округа – Югры»</w:t>
      </w:r>
      <w:r>
        <w:rPr>
          <w:sz w:val="28"/>
          <w:szCs w:val="28"/>
        </w:rPr>
        <w:t xml:space="preserve"> </w:t>
      </w:r>
      <w:r w:rsidRPr="00F144AA">
        <w:rPr>
          <w:sz w:val="28"/>
          <w:szCs w:val="28"/>
        </w:rPr>
        <w:t>осуществляли следующие ответственные исполнители:</w:t>
      </w:r>
    </w:p>
    <w:p w:rsidR="00F20611" w:rsidRPr="00F07DD4" w:rsidRDefault="00F20611" w:rsidP="00F20611">
      <w:pPr>
        <w:tabs>
          <w:tab w:val="left" w:pos="459"/>
          <w:tab w:val="left" w:pos="8647"/>
        </w:tabs>
        <w:suppressAutoHyphens/>
        <w:spacing w:after="0" w:line="360" w:lineRule="auto"/>
        <w:ind w:right="-2"/>
        <w:rPr>
          <w:sz w:val="24"/>
          <w:szCs w:val="24"/>
        </w:rPr>
      </w:pPr>
      <w:r w:rsidRPr="00F07DD4">
        <w:rPr>
          <w:sz w:val="24"/>
          <w:szCs w:val="24"/>
        </w:rPr>
        <w:t>(тыс. рублей)</w:t>
      </w:r>
    </w:p>
    <w:tbl>
      <w:tblPr>
        <w:tblW w:w="91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1447"/>
        <w:gridCol w:w="1305"/>
        <w:gridCol w:w="1276"/>
      </w:tblGrid>
      <w:tr w:rsidR="00F20611" w:rsidRPr="00F07DD4" w:rsidTr="00902B01">
        <w:trPr>
          <w:trHeight w:val="300"/>
          <w:tblHeader/>
        </w:trPr>
        <w:tc>
          <w:tcPr>
            <w:tcW w:w="567" w:type="dxa"/>
            <w:vMerge w:val="restart"/>
            <w:shd w:val="clear" w:color="auto" w:fill="auto"/>
          </w:tcPr>
          <w:p w:rsidR="00F20611" w:rsidRPr="00F07DD4" w:rsidRDefault="00F20611" w:rsidP="00902B01">
            <w:pPr>
              <w:spacing w:after="0" w:line="240" w:lineRule="auto"/>
              <w:ind w:right="424"/>
              <w:jc w:val="center"/>
              <w:rPr>
                <w:b/>
                <w:bCs/>
                <w:sz w:val="20"/>
                <w:szCs w:val="20"/>
              </w:rPr>
            </w:pPr>
            <w:r w:rsidRPr="00F07DD4">
              <w:rPr>
                <w:bCs/>
                <w:sz w:val="20"/>
                <w:szCs w:val="20"/>
              </w:rPr>
              <w:t xml:space="preserve">№ </w:t>
            </w:r>
          </w:p>
        </w:tc>
        <w:tc>
          <w:tcPr>
            <w:tcW w:w="3402" w:type="dxa"/>
            <w:vMerge w:val="restart"/>
            <w:shd w:val="clear" w:color="auto" w:fill="auto"/>
            <w:hideMark/>
          </w:tcPr>
          <w:p w:rsidR="00F20611" w:rsidRPr="00F07DD4" w:rsidRDefault="00F20611" w:rsidP="00902B01">
            <w:pPr>
              <w:spacing w:after="0" w:line="240" w:lineRule="auto"/>
              <w:ind w:right="34"/>
              <w:jc w:val="center"/>
              <w:rPr>
                <w:b/>
                <w:bCs/>
                <w:sz w:val="20"/>
                <w:szCs w:val="20"/>
              </w:rPr>
            </w:pPr>
            <w:r w:rsidRPr="00F07DD4">
              <w:rPr>
                <w:bCs/>
                <w:sz w:val="20"/>
                <w:szCs w:val="20"/>
              </w:rPr>
              <w:t>Наименование основного исполнителя, соисполнителя муниципальной программы</w:t>
            </w:r>
          </w:p>
        </w:tc>
        <w:tc>
          <w:tcPr>
            <w:tcW w:w="1134" w:type="dxa"/>
            <w:vMerge w:val="restart"/>
            <w:shd w:val="clear" w:color="auto" w:fill="auto"/>
            <w:noWrap/>
            <w:hideMark/>
          </w:tcPr>
          <w:p w:rsidR="00F20611" w:rsidRPr="00F07DD4" w:rsidRDefault="00F20611" w:rsidP="00902B01">
            <w:pPr>
              <w:spacing w:after="0" w:line="240" w:lineRule="auto"/>
              <w:ind w:right="34"/>
              <w:jc w:val="center"/>
              <w:rPr>
                <w:b/>
                <w:bCs/>
                <w:sz w:val="20"/>
                <w:szCs w:val="20"/>
              </w:rPr>
            </w:pPr>
            <w:r w:rsidRPr="00F07DD4">
              <w:rPr>
                <w:bCs/>
                <w:sz w:val="20"/>
                <w:szCs w:val="20"/>
              </w:rPr>
              <w:t>202</w:t>
            </w:r>
            <w:r>
              <w:rPr>
                <w:bCs/>
                <w:sz w:val="20"/>
                <w:szCs w:val="20"/>
              </w:rPr>
              <w:t>3</w:t>
            </w:r>
            <w:r w:rsidRPr="00F07DD4">
              <w:rPr>
                <w:bCs/>
                <w:sz w:val="20"/>
                <w:szCs w:val="20"/>
              </w:rPr>
              <w:t xml:space="preserve"> год  </w:t>
            </w:r>
          </w:p>
          <w:p w:rsidR="00F20611" w:rsidRPr="00F07DD4" w:rsidRDefault="00F20611" w:rsidP="00902B01">
            <w:pPr>
              <w:spacing w:after="0" w:line="240" w:lineRule="auto"/>
              <w:ind w:right="34"/>
              <w:jc w:val="center"/>
              <w:rPr>
                <w:b/>
                <w:bCs/>
                <w:sz w:val="20"/>
                <w:szCs w:val="20"/>
              </w:rPr>
            </w:pPr>
            <w:r w:rsidRPr="00F07DD4">
              <w:rPr>
                <w:bCs/>
                <w:sz w:val="20"/>
                <w:szCs w:val="20"/>
              </w:rPr>
              <w:t xml:space="preserve">   (отчет)</w:t>
            </w:r>
          </w:p>
        </w:tc>
        <w:tc>
          <w:tcPr>
            <w:tcW w:w="4028" w:type="dxa"/>
            <w:gridSpan w:val="3"/>
            <w:shd w:val="clear" w:color="auto" w:fill="auto"/>
            <w:noWrap/>
            <w:hideMark/>
          </w:tcPr>
          <w:p w:rsidR="00F20611" w:rsidRPr="00F07DD4" w:rsidRDefault="00F20611" w:rsidP="00902B01">
            <w:pPr>
              <w:spacing w:after="0" w:line="240" w:lineRule="auto"/>
              <w:ind w:right="34"/>
              <w:jc w:val="center"/>
              <w:rPr>
                <w:b/>
                <w:bCs/>
                <w:sz w:val="20"/>
                <w:szCs w:val="20"/>
              </w:rPr>
            </w:pPr>
            <w:r w:rsidRPr="00F07DD4">
              <w:rPr>
                <w:bCs/>
                <w:sz w:val="20"/>
                <w:szCs w:val="20"/>
              </w:rPr>
              <w:t>202</w:t>
            </w:r>
            <w:r>
              <w:rPr>
                <w:bCs/>
                <w:sz w:val="20"/>
                <w:szCs w:val="20"/>
              </w:rPr>
              <w:t>4</w:t>
            </w:r>
            <w:r w:rsidRPr="00F07DD4">
              <w:rPr>
                <w:bCs/>
                <w:sz w:val="20"/>
                <w:szCs w:val="20"/>
              </w:rPr>
              <w:t xml:space="preserve"> год </w:t>
            </w:r>
          </w:p>
        </w:tc>
      </w:tr>
      <w:tr w:rsidR="00F20611" w:rsidRPr="00F07DD4" w:rsidTr="00902B01">
        <w:trPr>
          <w:trHeight w:val="475"/>
          <w:tblHeader/>
        </w:trPr>
        <w:tc>
          <w:tcPr>
            <w:tcW w:w="567" w:type="dxa"/>
            <w:vMerge/>
            <w:shd w:val="clear" w:color="auto" w:fill="auto"/>
          </w:tcPr>
          <w:p w:rsidR="00F20611" w:rsidRPr="00F07DD4" w:rsidRDefault="00F20611" w:rsidP="00902B01">
            <w:pPr>
              <w:spacing w:after="0" w:line="240" w:lineRule="auto"/>
              <w:ind w:right="424"/>
              <w:rPr>
                <w:b/>
                <w:bCs/>
                <w:sz w:val="20"/>
                <w:szCs w:val="20"/>
              </w:rPr>
            </w:pPr>
          </w:p>
        </w:tc>
        <w:tc>
          <w:tcPr>
            <w:tcW w:w="3402" w:type="dxa"/>
            <w:vMerge/>
            <w:shd w:val="clear" w:color="auto" w:fill="auto"/>
            <w:hideMark/>
          </w:tcPr>
          <w:p w:rsidR="00F20611" w:rsidRPr="00F07DD4" w:rsidRDefault="00F20611" w:rsidP="00902B01">
            <w:pPr>
              <w:spacing w:after="0" w:line="240" w:lineRule="auto"/>
              <w:ind w:right="34"/>
              <w:rPr>
                <w:b/>
                <w:bCs/>
                <w:sz w:val="20"/>
                <w:szCs w:val="20"/>
              </w:rPr>
            </w:pPr>
          </w:p>
        </w:tc>
        <w:tc>
          <w:tcPr>
            <w:tcW w:w="1134" w:type="dxa"/>
            <w:vMerge/>
            <w:shd w:val="clear" w:color="auto" w:fill="auto"/>
            <w:hideMark/>
          </w:tcPr>
          <w:p w:rsidR="00F20611" w:rsidRPr="00F07DD4" w:rsidRDefault="00F20611" w:rsidP="00902B01">
            <w:pPr>
              <w:spacing w:after="0" w:line="240" w:lineRule="auto"/>
              <w:ind w:right="34"/>
              <w:rPr>
                <w:b/>
                <w:bCs/>
                <w:sz w:val="20"/>
                <w:szCs w:val="20"/>
              </w:rPr>
            </w:pPr>
          </w:p>
        </w:tc>
        <w:tc>
          <w:tcPr>
            <w:tcW w:w="1447" w:type="dxa"/>
            <w:shd w:val="clear" w:color="auto" w:fill="auto"/>
            <w:hideMark/>
          </w:tcPr>
          <w:p w:rsidR="00F20611" w:rsidRPr="00F07DD4" w:rsidRDefault="00F20611" w:rsidP="00902B01">
            <w:pPr>
              <w:spacing w:after="0" w:line="240" w:lineRule="auto"/>
              <w:ind w:right="34"/>
              <w:jc w:val="center"/>
              <w:rPr>
                <w:b/>
                <w:bCs/>
                <w:sz w:val="20"/>
                <w:szCs w:val="20"/>
              </w:rPr>
            </w:pPr>
            <w:r w:rsidRPr="00F07DD4">
              <w:rPr>
                <w:bCs/>
                <w:sz w:val="20"/>
                <w:szCs w:val="20"/>
              </w:rPr>
              <w:t>Уточненный план</w:t>
            </w:r>
          </w:p>
        </w:tc>
        <w:tc>
          <w:tcPr>
            <w:tcW w:w="1305" w:type="dxa"/>
            <w:shd w:val="clear" w:color="auto" w:fill="auto"/>
            <w:hideMark/>
          </w:tcPr>
          <w:p w:rsidR="00F20611" w:rsidRPr="00F07DD4" w:rsidRDefault="00F20611" w:rsidP="00902B01">
            <w:pPr>
              <w:spacing w:after="0" w:line="240" w:lineRule="auto"/>
              <w:ind w:right="34"/>
              <w:jc w:val="center"/>
              <w:rPr>
                <w:b/>
                <w:bCs/>
                <w:sz w:val="20"/>
                <w:szCs w:val="20"/>
              </w:rPr>
            </w:pPr>
            <w:r w:rsidRPr="00F07DD4">
              <w:rPr>
                <w:bCs/>
                <w:sz w:val="20"/>
                <w:szCs w:val="20"/>
              </w:rPr>
              <w:t>Исполнение</w:t>
            </w:r>
          </w:p>
        </w:tc>
        <w:tc>
          <w:tcPr>
            <w:tcW w:w="1276" w:type="dxa"/>
            <w:shd w:val="clear" w:color="auto" w:fill="auto"/>
            <w:hideMark/>
          </w:tcPr>
          <w:p w:rsidR="00F20611" w:rsidRPr="00F07DD4" w:rsidRDefault="00F20611" w:rsidP="00902B01">
            <w:pPr>
              <w:spacing w:after="0" w:line="240" w:lineRule="auto"/>
              <w:ind w:right="34"/>
              <w:jc w:val="center"/>
              <w:rPr>
                <w:b/>
                <w:bCs/>
                <w:sz w:val="20"/>
                <w:szCs w:val="20"/>
              </w:rPr>
            </w:pPr>
            <w:r w:rsidRPr="00F07DD4">
              <w:rPr>
                <w:bCs/>
                <w:sz w:val="20"/>
                <w:szCs w:val="20"/>
              </w:rPr>
              <w:t>% исполнения</w:t>
            </w:r>
          </w:p>
        </w:tc>
      </w:tr>
      <w:tr w:rsidR="00F20611" w:rsidRPr="00F07DD4" w:rsidTr="00902B01">
        <w:trPr>
          <w:trHeight w:val="300"/>
        </w:trPr>
        <w:tc>
          <w:tcPr>
            <w:tcW w:w="567" w:type="dxa"/>
            <w:shd w:val="clear" w:color="auto" w:fill="auto"/>
          </w:tcPr>
          <w:p w:rsidR="00F20611" w:rsidRPr="00F07DD4" w:rsidRDefault="00F20611" w:rsidP="00902B01">
            <w:pPr>
              <w:spacing w:after="0" w:line="240" w:lineRule="auto"/>
              <w:ind w:right="424"/>
              <w:rPr>
                <w:b/>
                <w:bCs/>
                <w:sz w:val="20"/>
                <w:szCs w:val="20"/>
              </w:rPr>
            </w:pPr>
          </w:p>
        </w:tc>
        <w:tc>
          <w:tcPr>
            <w:tcW w:w="3402" w:type="dxa"/>
            <w:shd w:val="clear" w:color="auto" w:fill="auto"/>
            <w:hideMark/>
          </w:tcPr>
          <w:p w:rsidR="00F20611" w:rsidRPr="00F07DD4" w:rsidRDefault="00F20611" w:rsidP="00902B01">
            <w:pPr>
              <w:spacing w:after="0" w:line="240" w:lineRule="auto"/>
              <w:ind w:right="34"/>
              <w:jc w:val="left"/>
              <w:rPr>
                <w:sz w:val="20"/>
                <w:szCs w:val="20"/>
              </w:rPr>
            </w:pPr>
            <w:r w:rsidRPr="00F07DD4">
              <w:rPr>
                <w:sz w:val="20"/>
                <w:szCs w:val="20"/>
              </w:rPr>
              <w:t>Всего по муниципальной программе, в том числе:</w:t>
            </w:r>
          </w:p>
        </w:tc>
        <w:tc>
          <w:tcPr>
            <w:tcW w:w="1134" w:type="dxa"/>
            <w:shd w:val="clear" w:color="auto" w:fill="auto"/>
            <w:hideMark/>
          </w:tcPr>
          <w:p w:rsidR="00F20611" w:rsidRPr="00F07DD4" w:rsidRDefault="00F20611" w:rsidP="00902B01">
            <w:pPr>
              <w:jc w:val="center"/>
              <w:rPr>
                <w:sz w:val="20"/>
                <w:szCs w:val="20"/>
              </w:rPr>
            </w:pPr>
            <w:r w:rsidRPr="00F07DD4">
              <w:rPr>
                <w:sz w:val="20"/>
                <w:szCs w:val="20"/>
              </w:rPr>
              <w:t>454 545,5</w:t>
            </w:r>
          </w:p>
        </w:tc>
        <w:tc>
          <w:tcPr>
            <w:tcW w:w="1447" w:type="dxa"/>
            <w:shd w:val="clear" w:color="auto" w:fill="auto"/>
          </w:tcPr>
          <w:p w:rsidR="00F20611" w:rsidRPr="00F07DD4" w:rsidRDefault="00F20611" w:rsidP="00902B01">
            <w:pPr>
              <w:spacing w:after="0" w:line="240" w:lineRule="auto"/>
              <w:ind w:right="34"/>
              <w:jc w:val="center"/>
              <w:rPr>
                <w:sz w:val="20"/>
                <w:szCs w:val="20"/>
              </w:rPr>
            </w:pPr>
            <w:r w:rsidRPr="00F07DD4">
              <w:rPr>
                <w:sz w:val="20"/>
                <w:szCs w:val="20"/>
              </w:rPr>
              <w:t>454 545,5</w:t>
            </w:r>
          </w:p>
        </w:tc>
        <w:tc>
          <w:tcPr>
            <w:tcW w:w="1305" w:type="dxa"/>
            <w:shd w:val="clear" w:color="auto" w:fill="auto"/>
          </w:tcPr>
          <w:p w:rsidR="00F20611" w:rsidRPr="00F07DD4" w:rsidRDefault="00F20611" w:rsidP="00902B01">
            <w:pPr>
              <w:jc w:val="center"/>
              <w:rPr>
                <w:sz w:val="20"/>
                <w:szCs w:val="20"/>
              </w:rPr>
            </w:pPr>
            <w:r w:rsidRPr="00F07DD4">
              <w:rPr>
                <w:sz w:val="20"/>
                <w:szCs w:val="20"/>
              </w:rPr>
              <w:t>454 545,5</w:t>
            </w:r>
          </w:p>
        </w:tc>
        <w:tc>
          <w:tcPr>
            <w:tcW w:w="1276" w:type="dxa"/>
            <w:shd w:val="clear" w:color="auto" w:fill="auto"/>
            <w:hideMark/>
          </w:tcPr>
          <w:p w:rsidR="00F20611" w:rsidRPr="00F07DD4" w:rsidRDefault="00F20611" w:rsidP="00902B01">
            <w:pPr>
              <w:spacing w:after="0" w:line="240" w:lineRule="auto"/>
              <w:ind w:right="34"/>
              <w:jc w:val="center"/>
              <w:rPr>
                <w:sz w:val="20"/>
                <w:szCs w:val="20"/>
              </w:rPr>
            </w:pPr>
            <w:r w:rsidRPr="00F07DD4">
              <w:rPr>
                <w:sz w:val="20"/>
                <w:szCs w:val="20"/>
              </w:rPr>
              <w:t>100%</w:t>
            </w:r>
          </w:p>
        </w:tc>
      </w:tr>
      <w:tr w:rsidR="00F20611" w:rsidRPr="00F07DD4" w:rsidTr="00902B01">
        <w:trPr>
          <w:trHeight w:val="531"/>
        </w:trPr>
        <w:tc>
          <w:tcPr>
            <w:tcW w:w="567" w:type="dxa"/>
            <w:shd w:val="clear" w:color="auto" w:fill="auto"/>
          </w:tcPr>
          <w:p w:rsidR="00F20611" w:rsidRPr="00F07DD4" w:rsidRDefault="00F20611" w:rsidP="00902B01">
            <w:pPr>
              <w:spacing w:after="0" w:line="240" w:lineRule="auto"/>
              <w:ind w:right="424"/>
              <w:jc w:val="center"/>
              <w:rPr>
                <w:b/>
                <w:bCs/>
                <w:sz w:val="20"/>
                <w:szCs w:val="20"/>
              </w:rPr>
            </w:pPr>
            <w:r>
              <w:rPr>
                <w:bCs/>
                <w:sz w:val="20"/>
                <w:szCs w:val="20"/>
              </w:rPr>
              <w:t>1</w:t>
            </w:r>
          </w:p>
        </w:tc>
        <w:tc>
          <w:tcPr>
            <w:tcW w:w="3402" w:type="dxa"/>
            <w:shd w:val="clear" w:color="auto" w:fill="auto"/>
            <w:hideMark/>
          </w:tcPr>
          <w:p w:rsidR="00F20611" w:rsidRPr="00F07DD4" w:rsidRDefault="00F20611" w:rsidP="00902B01">
            <w:pPr>
              <w:spacing w:after="0" w:line="240" w:lineRule="auto"/>
              <w:ind w:right="34"/>
              <w:jc w:val="left"/>
              <w:rPr>
                <w:bCs/>
                <w:sz w:val="20"/>
                <w:szCs w:val="20"/>
              </w:rPr>
            </w:pPr>
            <w:r w:rsidRPr="00F07DD4">
              <w:rPr>
                <w:bCs/>
                <w:sz w:val="20"/>
                <w:szCs w:val="20"/>
              </w:rPr>
              <w:t>Департамент городского хозяйства Администрации города Ханты-Мансийска</w:t>
            </w:r>
          </w:p>
        </w:tc>
        <w:tc>
          <w:tcPr>
            <w:tcW w:w="1134" w:type="dxa"/>
            <w:shd w:val="clear" w:color="auto" w:fill="auto"/>
            <w:hideMark/>
          </w:tcPr>
          <w:p w:rsidR="00F20611" w:rsidRPr="00F07DD4" w:rsidRDefault="00F20611" w:rsidP="00902B01">
            <w:pPr>
              <w:jc w:val="center"/>
              <w:rPr>
                <w:sz w:val="20"/>
                <w:szCs w:val="20"/>
              </w:rPr>
            </w:pPr>
            <w:r w:rsidRPr="00F07DD4">
              <w:rPr>
                <w:sz w:val="20"/>
                <w:szCs w:val="20"/>
              </w:rPr>
              <w:t>54 781,9</w:t>
            </w:r>
          </w:p>
        </w:tc>
        <w:tc>
          <w:tcPr>
            <w:tcW w:w="1447" w:type="dxa"/>
            <w:shd w:val="clear" w:color="auto" w:fill="auto"/>
          </w:tcPr>
          <w:p w:rsidR="00F20611" w:rsidRPr="00F07DD4" w:rsidRDefault="00F20611" w:rsidP="00902B01">
            <w:pPr>
              <w:spacing w:after="0" w:line="240" w:lineRule="auto"/>
              <w:ind w:right="34"/>
              <w:jc w:val="center"/>
              <w:rPr>
                <w:sz w:val="20"/>
                <w:szCs w:val="20"/>
              </w:rPr>
            </w:pPr>
            <w:r>
              <w:rPr>
                <w:sz w:val="20"/>
                <w:szCs w:val="20"/>
              </w:rPr>
              <w:t>66 888,2</w:t>
            </w:r>
          </w:p>
        </w:tc>
        <w:tc>
          <w:tcPr>
            <w:tcW w:w="1305" w:type="dxa"/>
            <w:shd w:val="clear" w:color="auto" w:fill="auto"/>
          </w:tcPr>
          <w:p w:rsidR="00F20611" w:rsidRPr="00F07DD4" w:rsidRDefault="00F20611" w:rsidP="00902B01">
            <w:pPr>
              <w:jc w:val="center"/>
              <w:rPr>
                <w:sz w:val="20"/>
                <w:szCs w:val="20"/>
              </w:rPr>
            </w:pPr>
            <w:r>
              <w:rPr>
                <w:sz w:val="20"/>
                <w:szCs w:val="20"/>
              </w:rPr>
              <w:t>66 888,2</w:t>
            </w:r>
          </w:p>
        </w:tc>
        <w:tc>
          <w:tcPr>
            <w:tcW w:w="1276" w:type="dxa"/>
            <w:shd w:val="clear" w:color="auto" w:fill="auto"/>
            <w:hideMark/>
          </w:tcPr>
          <w:p w:rsidR="00F20611" w:rsidRPr="00F07DD4" w:rsidRDefault="00F20611" w:rsidP="00902B01">
            <w:pPr>
              <w:spacing w:after="0" w:line="240" w:lineRule="auto"/>
              <w:ind w:right="34"/>
              <w:jc w:val="center"/>
              <w:rPr>
                <w:sz w:val="20"/>
                <w:szCs w:val="20"/>
              </w:rPr>
            </w:pPr>
            <w:r w:rsidRPr="00F07DD4">
              <w:rPr>
                <w:sz w:val="20"/>
                <w:szCs w:val="20"/>
              </w:rPr>
              <w:t>100%</w:t>
            </w:r>
          </w:p>
        </w:tc>
      </w:tr>
      <w:tr w:rsidR="00F20611" w:rsidRPr="00F07DD4" w:rsidTr="00902B01">
        <w:trPr>
          <w:trHeight w:val="315"/>
        </w:trPr>
        <w:tc>
          <w:tcPr>
            <w:tcW w:w="567" w:type="dxa"/>
            <w:shd w:val="clear" w:color="auto" w:fill="auto"/>
          </w:tcPr>
          <w:p w:rsidR="00F20611" w:rsidRPr="00F07DD4" w:rsidRDefault="00F20611" w:rsidP="00902B01">
            <w:pPr>
              <w:spacing w:after="0" w:line="240" w:lineRule="auto"/>
              <w:ind w:right="424"/>
              <w:jc w:val="center"/>
              <w:rPr>
                <w:b/>
                <w:bCs/>
                <w:sz w:val="20"/>
                <w:szCs w:val="20"/>
              </w:rPr>
            </w:pPr>
            <w:r>
              <w:rPr>
                <w:bCs/>
                <w:sz w:val="20"/>
                <w:szCs w:val="20"/>
              </w:rPr>
              <w:t>2</w:t>
            </w:r>
          </w:p>
        </w:tc>
        <w:tc>
          <w:tcPr>
            <w:tcW w:w="3402" w:type="dxa"/>
            <w:shd w:val="clear" w:color="auto" w:fill="auto"/>
            <w:hideMark/>
          </w:tcPr>
          <w:p w:rsidR="00F20611" w:rsidRPr="00F07DD4" w:rsidRDefault="00F20611" w:rsidP="00902B01">
            <w:pPr>
              <w:spacing w:after="0" w:line="240" w:lineRule="auto"/>
              <w:ind w:right="34"/>
              <w:jc w:val="left"/>
              <w:rPr>
                <w:bCs/>
                <w:sz w:val="20"/>
                <w:szCs w:val="20"/>
              </w:rPr>
            </w:pPr>
            <w:r w:rsidRPr="00F07DD4">
              <w:rPr>
                <w:bCs/>
                <w:sz w:val="20"/>
                <w:szCs w:val="20"/>
              </w:rPr>
              <w:t>МКУ «Служба муниципального заказа в ЖКХ»</w:t>
            </w:r>
          </w:p>
        </w:tc>
        <w:tc>
          <w:tcPr>
            <w:tcW w:w="1134" w:type="dxa"/>
            <w:shd w:val="clear" w:color="auto" w:fill="auto"/>
            <w:hideMark/>
          </w:tcPr>
          <w:p w:rsidR="00F20611" w:rsidRPr="00F07DD4" w:rsidRDefault="00F20611" w:rsidP="00902B01">
            <w:pPr>
              <w:jc w:val="center"/>
              <w:rPr>
                <w:sz w:val="20"/>
                <w:szCs w:val="20"/>
              </w:rPr>
            </w:pPr>
            <w:r w:rsidRPr="00F07DD4">
              <w:rPr>
                <w:sz w:val="20"/>
                <w:szCs w:val="20"/>
              </w:rPr>
              <w:t>399 613,6</w:t>
            </w:r>
          </w:p>
        </w:tc>
        <w:tc>
          <w:tcPr>
            <w:tcW w:w="1447" w:type="dxa"/>
            <w:shd w:val="clear" w:color="auto" w:fill="auto"/>
          </w:tcPr>
          <w:p w:rsidR="00F20611" w:rsidRPr="00F07DD4" w:rsidRDefault="00F20611" w:rsidP="00902B01">
            <w:pPr>
              <w:spacing w:after="0" w:line="240" w:lineRule="auto"/>
              <w:ind w:right="34"/>
              <w:jc w:val="center"/>
              <w:rPr>
                <w:sz w:val="20"/>
                <w:szCs w:val="20"/>
              </w:rPr>
            </w:pPr>
            <w:r>
              <w:rPr>
                <w:sz w:val="20"/>
                <w:szCs w:val="20"/>
              </w:rPr>
              <w:t>387 657,3</w:t>
            </w:r>
          </w:p>
        </w:tc>
        <w:tc>
          <w:tcPr>
            <w:tcW w:w="1305" w:type="dxa"/>
            <w:shd w:val="clear" w:color="auto" w:fill="auto"/>
          </w:tcPr>
          <w:p w:rsidR="00F20611" w:rsidRPr="00F07DD4" w:rsidRDefault="00F20611" w:rsidP="00902B01">
            <w:pPr>
              <w:jc w:val="center"/>
              <w:rPr>
                <w:sz w:val="20"/>
                <w:szCs w:val="20"/>
              </w:rPr>
            </w:pPr>
            <w:r>
              <w:rPr>
                <w:sz w:val="20"/>
                <w:szCs w:val="20"/>
              </w:rPr>
              <w:t>387 657,3</w:t>
            </w:r>
          </w:p>
        </w:tc>
        <w:tc>
          <w:tcPr>
            <w:tcW w:w="1276" w:type="dxa"/>
            <w:shd w:val="clear" w:color="auto" w:fill="auto"/>
            <w:hideMark/>
          </w:tcPr>
          <w:p w:rsidR="00F20611" w:rsidRPr="00F07DD4" w:rsidRDefault="00F20611" w:rsidP="00902B01">
            <w:pPr>
              <w:spacing w:after="0" w:line="240" w:lineRule="auto"/>
              <w:ind w:right="34"/>
              <w:jc w:val="center"/>
              <w:rPr>
                <w:sz w:val="20"/>
                <w:szCs w:val="20"/>
              </w:rPr>
            </w:pPr>
            <w:r w:rsidRPr="00F07DD4">
              <w:rPr>
                <w:sz w:val="20"/>
                <w:szCs w:val="20"/>
              </w:rPr>
              <w:t>100%</w:t>
            </w:r>
          </w:p>
        </w:tc>
      </w:tr>
      <w:tr w:rsidR="00F20611" w:rsidRPr="00F07DD4" w:rsidTr="00902B01">
        <w:trPr>
          <w:trHeight w:val="315"/>
        </w:trPr>
        <w:tc>
          <w:tcPr>
            <w:tcW w:w="567" w:type="dxa"/>
            <w:shd w:val="clear" w:color="auto" w:fill="auto"/>
          </w:tcPr>
          <w:p w:rsidR="00F20611" w:rsidRPr="00F07DD4" w:rsidRDefault="00F20611" w:rsidP="00902B01">
            <w:pPr>
              <w:spacing w:after="0" w:line="240" w:lineRule="auto"/>
              <w:ind w:right="424"/>
              <w:jc w:val="center"/>
              <w:rPr>
                <w:b/>
                <w:bCs/>
                <w:sz w:val="20"/>
                <w:szCs w:val="20"/>
              </w:rPr>
            </w:pPr>
            <w:r>
              <w:rPr>
                <w:bCs/>
                <w:sz w:val="20"/>
                <w:szCs w:val="20"/>
              </w:rPr>
              <w:t>3</w:t>
            </w:r>
          </w:p>
        </w:tc>
        <w:tc>
          <w:tcPr>
            <w:tcW w:w="3402" w:type="dxa"/>
            <w:shd w:val="clear" w:color="auto" w:fill="auto"/>
            <w:hideMark/>
          </w:tcPr>
          <w:p w:rsidR="00F20611" w:rsidRPr="00F07DD4" w:rsidRDefault="00F20611" w:rsidP="00902B01">
            <w:pPr>
              <w:spacing w:after="0" w:line="240" w:lineRule="auto"/>
              <w:ind w:right="34"/>
              <w:jc w:val="left"/>
              <w:rPr>
                <w:bCs/>
                <w:sz w:val="20"/>
                <w:szCs w:val="20"/>
              </w:rPr>
            </w:pPr>
            <w:r w:rsidRPr="00F07DD4">
              <w:rPr>
                <w:bCs/>
                <w:sz w:val="20"/>
                <w:szCs w:val="20"/>
              </w:rPr>
              <w:t xml:space="preserve">Управление физической культуры, спорта и молодежной политики Администрации города </w:t>
            </w:r>
          </w:p>
          <w:p w:rsidR="00F20611" w:rsidRPr="00F07DD4" w:rsidRDefault="00F20611" w:rsidP="00902B01">
            <w:pPr>
              <w:spacing w:after="0" w:line="240" w:lineRule="auto"/>
              <w:ind w:right="34"/>
              <w:jc w:val="left"/>
              <w:rPr>
                <w:bCs/>
                <w:sz w:val="20"/>
                <w:szCs w:val="20"/>
              </w:rPr>
            </w:pPr>
            <w:r w:rsidRPr="00F07DD4">
              <w:rPr>
                <w:bCs/>
                <w:sz w:val="20"/>
                <w:szCs w:val="20"/>
              </w:rPr>
              <w:t>Ханты-Мансийска</w:t>
            </w:r>
          </w:p>
        </w:tc>
        <w:tc>
          <w:tcPr>
            <w:tcW w:w="1134" w:type="dxa"/>
            <w:shd w:val="clear" w:color="auto" w:fill="auto"/>
            <w:hideMark/>
          </w:tcPr>
          <w:p w:rsidR="00F20611" w:rsidRPr="00F07DD4" w:rsidRDefault="00F20611" w:rsidP="00902B01">
            <w:pPr>
              <w:jc w:val="center"/>
              <w:rPr>
                <w:sz w:val="20"/>
                <w:szCs w:val="20"/>
              </w:rPr>
            </w:pPr>
            <w:r w:rsidRPr="00F07DD4">
              <w:rPr>
                <w:sz w:val="20"/>
                <w:szCs w:val="20"/>
              </w:rPr>
              <w:t>150,0</w:t>
            </w:r>
          </w:p>
        </w:tc>
        <w:tc>
          <w:tcPr>
            <w:tcW w:w="1447" w:type="dxa"/>
            <w:shd w:val="clear" w:color="auto" w:fill="auto"/>
          </w:tcPr>
          <w:p w:rsidR="00F20611" w:rsidRPr="00F07DD4" w:rsidRDefault="00F20611" w:rsidP="00902B01">
            <w:pPr>
              <w:spacing w:after="0" w:line="240" w:lineRule="auto"/>
              <w:ind w:right="34"/>
              <w:jc w:val="center"/>
              <w:rPr>
                <w:sz w:val="20"/>
                <w:szCs w:val="20"/>
              </w:rPr>
            </w:pPr>
            <w:r>
              <w:rPr>
                <w:sz w:val="20"/>
                <w:szCs w:val="20"/>
              </w:rPr>
              <w:t>0,0</w:t>
            </w:r>
          </w:p>
        </w:tc>
        <w:tc>
          <w:tcPr>
            <w:tcW w:w="1305" w:type="dxa"/>
            <w:shd w:val="clear" w:color="auto" w:fill="auto"/>
          </w:tcPr>
          <w:p w:rsidR="00F20611" w:rsidRPr="00F07DD4" w:rsidRDefault="00F20611" w:rsidP="00902B01">
            <w:pPr>
              <w:jc w:val="center"/>
              <w:rPr>
                <w:sz w:val="20"/>
                <w:szCs w:val="20"/>
              </w:rPr>
            </w:pPr>
            <w:r>
              <w:rPr>
                <w:sz w:val="20"/>
                <w:szCs w:val="20"/>
              </w:rPr>
              <w:t>0,0</w:t>
            </w:r>
          </w:p>
        </w:tc>
        <w:tc>
          <w:tcPr>
            <w:tcW w:w="1276" w:type="dxa"/>
            <w:shd w:val="clear" w:color="auto" w:fill="auto"/>
            <w:hideMark/>
          </w:tcPr>
          <w:p w:rsidR="00F20611" w:rsidRPr="00F07DD4" w:rsidRDefault="00F20611" w:rsidP="00902B01">
            <w:pPr>
              <w:spacing w:after="0" w:line="240" w:lineRule="auto"/>
              <w:ind w:right="34"/>
              <w:jc w:val="center"/>
              <w:rPr>
                <w:sz w:val="20"/>
                <w:szCs w:val="20"/>
              </w:rPr>
            </w:pPr>
            <w:r w:rsidRPr="00F07DD4">
              <w:rPr>
                <w:sz w:val="20"/>
                <w:szCs w:val="20"/>
              </w:rPr>
              <w:t>0%</w:t>
            </w:r>
          </w:p>
        </w:tc>
      </w:tr>
    </w:tbl>
    <w:p w:rsidR="00F20611" w:rsidRPr="00F07DD4" w:rsidRDefault="00F20611" w:rsidP="00F20611">
      <w:pPr>
        <w:tabs>
          <w:tab w:val="left" w:pos="0"/>
        </w:tabs>
        <w:suppressAutoHyphens/>
        <w:spacing w:after="0" w:line="360" w:lineRule="auto"/>
        <w:ind w:right="424" w:firstLine="709"/>
        <w:jc w:val="both"/>
        <w:rPr>
          <w:highlight w:val="yellow"/>
        </w:rPr>
      </w:pPr>
    </w:p>
    <w:p w:rsidR="00F20611" w:rsidRPr="00F144AA" w:rsidRDefault="00F20611" w:rsidP="00F20611">
      <w:pPr>
        <w:tabs>
          <w:tab w:val="left" w:pos="459"/>
        </w:tabs>
        <w:suppressAutoHyphens/>
        <w:spacing w:after="0"/>
        <w:ind w:right="-2"/>
        <w:jc w:val="both"/>
        <w:rPr>
          <w:sz w:val="28"/>
          <w:szCs w:val="28"/>
        </w:rPr>
      </w:pPr>
      <w:r>
        <w:rPr>
          <w:sz w:val="28"/>
          <w:szCs w:val="28"/>
        </w:rPr>
        <w:tab/>
      </w:r>
      <w:r>
        <w:rPr>
          <w:sz w:val="28"/>
          <w:szCs w:val="28"/>
        </w:rPr>
        <w:tab/>
      </w:r>
      <w:r w:rsidRPr="00F144AA">
        <w:rPr>
          <w:sz w:val="28"/>
          <w:szCs w:val="28"/>
        </w:rPr>
        <w:t>Исполнение расходов бюджета города по муниципальной программе «Осуществление городом Ханты-Мансийском функций административного центра Ханты-Мансийского автономного округа – Югры» по источникам финансирования и основным мероприятиям:</w:t>
      </w:r>
    </w:p>
    <w:p w:rsidR="00F20611" w:rsidRPr="00F07DD4" w:rsidRDefault="00F20611" w:rsidP="00F20611">
      <w:pPr>
        <w:tabs>
          <w:tab w:val="left" w:pos="459"/>
        </w:tabs>
        <w:suppressAutoHyphens/>
        <w:spacing w:after="0" w:line="360" w:lineRule="auto"/>
        <w:ind w:right="-2"/>
        <w:rPr>
          <w:sz w:val="24"/>
          <w:szCs w:val="24"/>
        </w:rPr>
      </w:pPr>
      <w:r w:rsidRPr="00F07DD4">
        <w:rPr>
          <w:sz w:val="24"/>
          <w:szCs w:val="24"/>
        </w:rPr>
        <w:t>(тыс. рублей)</w:t>
      </w:r>
    </w:p>
    <w:tbl>
      <w:tblPr>
        <w:tblW w:w="9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5"/>
        <w:gridCol w:w="1339"/>
        <w:gridCol w:w="1311"/>
        <w:gridCol w:w="1276"/>
      </w:tblGrid>
      <w:tr w:rsidR="00F20611" w:rsidRPr="00F07DD4" w:rsidTr="00902B01">
        <w:trPr>
          <w:trHeight w:val="300"/>
          <w:tblHeader/>
        </w:trPr>
        <w:tc>
          <w:tcPr>
            <w:tcW w:w="4077" w:type="dxa"/>
            <w:vMerge w:val="restart"/>
            <w:shd w:val="clear" w:color="auto" w:fill="auto"/>
            <w:hideMark/>
          </w:tcPr>
          <w:p w:rsidR="00F20611" w:rsidRPr="00F07DD4" w:rsidRDefault="00F20611" w:rsidP="00902B01">
            <w:pPr>
              <w:spacing w:after="0" w:line="240" w:lineRule="auto"/>
              <w:jc w:val="center"/>
              <w:rPr>
                <w:b/>
                <w:bCs/>
                <w:sz w:val="20"/>
                <w:szCs w:val="20"/>
              </w:rPr>
            </w:pPr>
            <w:r w:rsidRPr="00F07DD4">
              <w:rPr>
                <w:bCs/>
                <w:sz w:val="20"/>
                <w:szCs w:val="20"/>
              </w:rPr>
              <w:t>Наименование муниципальной программы, подпрограммы муниципальной программы, мероприятия муниципальной программы</w:t>
            </w:r>
          </w:p>
        </w:tc>
        <w:tc>
          <w:tcPr>
            <w:tcW w:w="1275" w:type="dxa"/>
            <w:vMerge w:val="restart"/>
            <w:shd w:val="clear" w:color="auto" w:fill="auto"/>
            <w:noWrap/>
            <w:hideMark/>
          </w:tcPr>
          <w:p w:rsidR="00F20611" w:rsidRPr="00F07DD4" w:rsidRDefault="00F20611" w:rsidP="00902B01">
            <w:pPr>
              <w:spacing w:after="0" w:line="240" w:lineRule="auto"/>
              <w:jc w:val="center"/>
              <w:rPr>
                <w:b/>
                <w:bCs/>
                <w:sz w:val="20"/>
                <w:szCs w:val="20"/>
              </w:rPr>
            </w:pPr>
            <w:r w:rsidRPr="00F07DD4">
              <w:rPr>
                <w:bCs/>
                <w:sz w:val="20"/>
                <w:szCs w:val="20"/>
              </w:rPr>
              <w:t>202</w:t>
            </w:r>
            <w:r>
              <w:rPr>
                <w:bCs/>
                <w:sz w:val="20"/>
                <w:szCs w:val="20"/>
              </w:rPr>
              <w:t>3</w:t>
            </w:r>
            <w:r w:rsidRPr="00F07DD4">
              <w:rPr>
                <w:bCs/>
                <w:sz w:val="20"/>
                <w:szCs w:val="20"/>
              </w:rPr>
              <w:t xml:space="preserve"> год (отчет)</w:t>
            </w:r>
          </w:p>
        </w:tc>
        <w:tc>
          <w:tcPr>
            <w:tcW w:w="3926" w:type="dxa"/>
            <w:gridSpan w:val="3"/>
            <w:shd w:val="clear" w:color="auto" w:fill="auto"/>
            <w:noWrap/>
            <w:hideMark/>
          </w:tcPr>
          <w:p w:rsidR="00F20611" w:rsidRPr="00F07DD4" w:rsidRDefault="00F20611" w:rsidP="00902B01">
            <w:pPr>
              <w:spacing w:after="0" w:line="240" w:lineRule="auto"/>
              <w:jc w:val="center"/>
              <w:rPr>
                <w:b/>
                <w:bCs/>
                <w:sz w:val="20"/>
                <w:szCs w:val="20"/>
              </w:rPr>
            </w:pPr>
            <w:r w:rsidRPr="00F07DD4">
              <w:rPr>
                <w:bCs/>
                <w:sz w:val="20"/>
                <w:szCs w:val="20"/>
              </w:rPr>
              <w:t>202</w:t>
            </w:r>
            <w:r>
              <w:rPr>
                <w:bCs/>
                <w:sz w:val="20"/>
                <w:szCs w:val="20"/>
              </w:rPr>
              <w:t>4</w:t>
            </w:r>
            <w:r w:rsidRPr="00F07DD4">
              <w:rPr>
                <w:bCs/>
                <w:sz w:val="20"/>
                <w:szCs w:val="20"/>
              </w:rPr>
              <w:t xml:space="preserve"> год </w:t>
            </w:r>
          </w:p>
        </w:tc>
      </w:tr>
      <w:tr w:rsidR="00F20611" w:rsidRPr="00F07DD4" w:rsidTr="00902B01">
        <w:trPr>
          <w:trHeight w:val="458"/>
          <w:tblHeader/>
        </w:trPr>
        <w:tc>
          <w:tcPr>
            <w:tcW w:w="4077" w:type="dxa"/>
            <w:vMerge/>
            <w:shd w:val="clear" w:color="auto" w:fill="auto"/>
            <w:hideMark/>
          </w:tcPr>
          <w:p w:rsidR="00F20611" w:rsidRPr="00F07DD4" w:rsidRDefault="00F20611" w:rsidP="00902B01">
            <w:pPr>
              <w:spacing w:after="0" w:line="240" w:lineRule="auto"/>
              <w:rPr>
                <w:b/>
                <w:bCs/>
                <w:sz w:val="20"/>
                <w:szCs w:val="20"/>
              </w:rPr>
            </w:pPr>
          </w:p>
        </w:tc>
        <w:tc>
          <w:tcPr>
            <w:tcW w:w="1275" w:type="dxa"/>
            <w:vMerge/>
            <w:shd w:val="clear" w:color="auto" w:fill="auto"/>
            <w:hideMark/>
          </w:tcPr>
          <w:p w:rsidR="00F20611" w:rsidRPr="00F07DD4" w:rsidRDefault="00F20611" w:rsidP="00902B01">
            <w:pPr>
              <w:spacing w:after="0" w:line="240" w:lineRule="auto"/>
              <w:rPr>
                <w:sz w:val="20"/>
                <w:szCs w:val="20"/>
              </w:rPr>
            </w:pPr>
          </w:p>
        </w:tc>
        <w:tc>
          <w:tcPr>
            <w:tcW w:w="1339"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Уточненный план</w:t>
            </w:r>
          </w:p>
        </w:tc>
        <w:tc>
          <w:tcPr>
            <w:tcW w:w="1311"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Исполнение</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 исполнения</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Всего по муниципальной программе, всего в том числе:</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454 545,5</w:t>
            </w:r>
          </w:p>
        </w:tc>
        <w:tc>
          <w:tcPr>
            <w:tcW w:w="1339"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454 545,5</w:t>
            </w:r>
          </w:p>
        </w:tc>
        <w:tc>
          <w:tcPr>
            <w:tcW w:w="1311"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454 545,5</w:t>
            </w:r>
          </w:p>
        </w:tc>
        <w:tc>
          <w:tcPr>
            <w:tcW w:w="1276" w:type="dxa"/>
            <w:shd w:val="clear" w:color="auto" w:fill="auto"/>
            <w:hideMark/>
          </w:tcPr>
          <w:p w:rsidR="00F20611" w:rsidRPr="00F07DD4" w:rsidRDefault="00F20611" w:rsidP="00902B01">
            <w:pPr>
              <w:spacing w:after="0" w:line="240" w:lineRule="auto"/>
              <w:jc w:val="center"/>
              <w:rPr>
                <w:bCs/>
                <w:sz w:val="20"/>
                <w:szCs w:val="20"/>
              </w:rPr>
            </w:pPr>
            <w:r w:rsidRPr="00F07DD4">
              <w:rPr>
                <w:bCs/>
                <w:sz w:val="20"/>
                <w:szCs w:val="20"/>
              </w:rPr>
              <w:t>100%</w:t>
            </w:r>
          </w:p>
        </w:tc>
      </w:tr>
      <w:tr w:rsidR="00F20611" w:rsidRPr="00F07DD4" w:rsidTr="00902B01">
        <w:trPr>
          <w:trHeight w:val="273"/>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lastRenderedPageBreak/>
              <w:t>- бюджет города</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4 545,5</w:t>
            </w:r>
          </w:p>
        </w:tc>
        <w:tc>
          <w:tcPr>
            <w:tcW w:w="1339"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4 545,5</w:t>
            </w:r>
          </w:p>
        </w:tc>
        <w:tc>
          <w:tcPr>
            <w:tcW w:w="1311"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4 545,5</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 xml:space="preserve">- бюджет автономного округа </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450 000,0</w:t>
            </w:r>
          </w:p>
        </w:tc>
        <w:tc>
          <w:tcPr>
            <w:tcW w:w="1339"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450 000,0</w:t>
            </w:r>
          </w:p>
        </w:tc>
        <w:tc>
          <w:tcPr>
            <w:tcW w:w="1311"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450 000,0</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both"/>
              <w:rPr>
                <w:b/>
                <w:bCs/>
                <w:sz w:val="20"/>
                <w:szCs w:val="20"/>
              </w:rPr>
            </w:pPr>
            <w:r w:rsidRPr="00F07DD4">
              <w:rPr>
                <w:bCs/>
                <w:sz w:val="20"/>
                <w:szCs w:val="20"/>
              </w:rPr>
              <w:t>Основное мероприятие «</w:t>
            </w:r>
            <w:r w:rsidRPr="001B2CDD">
              <w:rPr>
                <w:bCs/>
                <w:sz w:val="20"/>
                <w:szCs w:val="20"/>
              </w:rPr>
              <w:t>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r w:rsidRPr="00F07DD4">
              <w:rPr>
                <w:bCs/>
                <w:sz w:val="20"/>
                <w:szCs w:val="20"/>
              </w:rPr>
              <w:t>», всего, в том числе:</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23 418,5</w:t>
            </w:r>
          </w:p>
        </w:tc>
        <w:tc>
          <w:tcPr>
            <w:tcW w:w="1339" w:type="dxa"/>
            <w:shd w:val="clear" w:color="auto" w:fill="auto"/>
          </w:tcPr>
          <w:p w:rsidR="00F20611" w:rsidRPr="00F07DD4" w:rsidRDefault="00F20611" w:rsidP="00902B01">
            <w:pPr>
              <w:spacing w:after="0" w:line="240" w:lineRule="auto"/>
              <w:jc w:val="center"/>
              <w:rPr>
                <w:sz w:val="20"/>
                <w:szCs w:val="20"/>
              </w:rPr>
            </w:pPr>
            <w:r>
              <w:rPr>
                <w:sz w:val="20"/>
                <w:szCs w:val="20"/>
              </w:rPr>
              <w:t>18 278,0</w:t>
            </w:r>
          </w:p>
        </w:tc>
        <w:tc>
          <w:tcPr>
            <w:tcW w:w="1311" w:type="dxa"/>
            <w:shd w:val="clear" w:color="auto" w:fill="auto"/>
          </w:tcPr>
          <w:p w:rsidR="00F20611" w:rsidRPr="00F07DD4" w:rsidRDefault="00F20611" w:rsidP="00902B01">
            <w:pPr>
              <w:spacing w:after="0" w:line="240" w:lineRule="auto"/>
              <w:jc w:val="center"/>
              <w:rPr>
                <w:sz w:val="20"/>
                <w:szCs w:val="20"/>
              </w:rPr>
            </w:pPr>
            <w:r>
              <w:rPr>
                <w:sz w:val="20"/>
                <w:szCs w:val="20"/>
              </w:rPr>
              <w:t>18 278,0</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 бюджет города</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234,2</w:t>
            </w:r>
          </w:p>
        </w:tc>
        <w:tc>
          <w:tcPr>
            <w:tcW w:w="1339" w:type="dxa"/>
            <w:shd w:val="clear" w:color="auto" w:fill="auto"/>
          </w:tcPr>
          <w:p w:rsidR="00F20611" w:rsidRPr="00F07DD4" w:rsidRDefault="00F20611" w:rsidP="00902B01">
            <w:pPr>
              <w:spacing w:after="0" w:line="240" w:lineRule="auto"/>
              <w:jc w:val="center"/>
              <w:rPr>
                <w:sz w:val="20"/>
                <w:szCs w:val="20"/>
              </w:rPr>
            </w:pPr>
            <w:r>
              <w:rPr>
                <w:sz w:val="20"/>
                <w:szCs w:val="20"/>
              </w:rPr>
              <w:t>182,8</w:t>
            </w:r>
          </w:p>
        </w:tc>
        <w:tc>
          <w:tcPr>
            <w:tcW w:w="1311" w:type="dxa"/>
            <w:shd w:val="clear" w:color="auto" w:fill="auto"/>
          </w:tcPr>
          <w:p w:rsidR="00F20611" w:rsidRPr="00F07DD4" w:rsidRDefault="00F20611" w:rsidP="00902B01">
            <w:pPr>
              <w:spacing w:after="0" w:line="240" w:lineRule="auto"/>
              <w:jc w:val="center"/>
              <w:rPr>
                <w:sz w:val="20"/>
                <w:szCs w:val="20"/>
              </w:rPr>
            </w:pPr>
            <w:r>
              <w:rPr>
                <w:sz w:val="20"/>
                <w:szCs w:val="20"/>
              </w:rPr>
              <w:t>182,8</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 xml:space="preserve">- бюджет автономного округа </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23 184,3</w:t>
            </w:r>
          </w:p>
        </w:tc>
        <w:tc>
          <w:tcPr>
            <w:tcW w:w="1339" w:type="dxa"/>
            <w:shd w:val="clear" w:color="auto" w:fill="auto"/>
          </w:tcPr>
          <w:p w:rsidR="00F20611" w:rsidRPr="00F07DD4" w:rsidRDefault="00F20611" w:rsidP="00902B01">
            <w:pPr>
              <w:spacing w:after="0" w:line="240" w:lineRule="auto"/>
              <w:jc w:val="center"/>
              <w:rPr>
                <w:sz w:val="20"/>
                <w:szCs w:val="20"/>
              </w:rPr>
            </w:pPr>
            <w:r>
              <w:rPr>
                <w:sz w:val="20"/>
                <w:szCs w:val="20"/>
              </w:rPr>
              <w:t>18 095,2</w:t>
            </w:r>
          </w:p>
        </w:tc>
        <w:tc>
          <w:tcPr>
            <w:tcW w:w="1311" w:type="dxa"/>
            <w:shd w:val="clear" w:color="auto" w:fill="auto"/>
          </w:tcPr>
          <w:p w:rsidR="00F20611" w:rsidRPr="00F07DD4" w:rsidRDefault="00F20611" w:rsidP="00902B01">
            <w:pPr>
              <w:spacing w:after="0" w:line="240" w:lineRule="auto"/>
              <w:jc w:val="center"/>
              <w:rPr>
                <w:sz w:val="20"/>
                <w:szCs w:val="20"/>
              </w:rPr>
            </w:pPr>
            <w:r>
              <w:rPr>
                <w:sz w:val="20"/>
                <w:szCs w:val="20"/>
              </w:rPr>
              <w:t>18 095,2</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both"/>
              <w:rPr>
                <w:b/>
                <w:bCs/>
                <w:sz w:val="20"/>
                <w:szCs w:val="20"/>
              </w:rPr>
            </w:pPr>
            <w:r w:rsidRPr="00F07DD4">
              <w:rPr>
                <w:bCs/>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всего, в том числе:</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431 127,0</w:t>
            </w:r>
          </w:p>
        </w:tc>
        <w:tc>
          <w:tcPr>
            <w:tcW w:w="1339" w:type="dxa"/>
            <w:shd w:val="clear" w:color="auto" w:fill="auto"/>
          </w:tcPr>
          <w:p w:rsidR="00F20611" w:rsidRPr="00F07DD4" w:rsidRDefault="00F20611" w:rsidP="00902B01">
            <w:pPr>
              <w:spacing w:after="0" w:line="240" w:lineRule="auto"/>
              <w:jc w:val="center"/>
              <w:rPr>
                <w:sz w:val="20"/>
                <w:szCs w:val="20"/>
              </w:rPr>
            </w:pPr>
            <w:r>
              <w:rPr>
                <w:sz w:val="20"/>
                <w:szCs w:val="20"/>
              </w:rPr>
              <w:t>436 267,5</w:t>
            </w:r>
          </w:p>
        </w:tc>
        <w:tc>
          <w:tcPr>
            <w:tcW w:w="1311" w:type="dxa"/>
            <w:shd w:val="clear" w:color="auto" w:fill="auto"/>
          </w:tcPr>
          <w:p w:rsidR="00F20611" w:rsidRPr="00F07DD4" w:rsidRDefault="00F20611" w:rsidP="00902B01">
            <w:pPr>
              <w:spacing w:after="0" w:line="240" w:lineRule="auto"/>
              <w:jc w:val="center"/>
              <w:rPr>
                <w:sz w:val="20"/>
                <w:szCs w:val="20"/>
              </w:rPr>
            </w:pPr>
            <w:r>
              <w:rPr>
                <w:sz w:val="20"/>
                <w:szCs w:val="20"/>
              </w:rPr>
              <w:t>436 267,5</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 бюджет города</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4 311,3</w:t>
            </w:r>
          </w:p>
        </w:tc>
        <w:tc>
          <w:tcPr>
            <w:tcW w:w="1339"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w:t>
            </w:r>
            <w:r>
              <w:rPr>
                <w:sz w:val="20"/>
                <w:szCs w:val="20"/>
              </w:rPr>
              <w:t> 362,7</w:t>
            </w:r>
          </w:p>
        </w:tc>
        <w:tc>
          <w:tcPr>
            <w:tcW w:w="1311" w:type="dxa"/>
            <w:shd w:val="clear" w:color="auto" w:fill="auto"/>
          </w:tcPr>
          <w:p w:rsidR="00F20611" w:rsidRPr="00F07DD4" w:rsidRDefault="00F20611" w:rsidP="00902B01">
            <w:pPr>
              <w:spacing w:after="0" w:line="240" w:lineRule="auto"/>
              <w:jc w:val="center"/>
              <w:rPr>
                <w:sz w:val="20"/>
                <w:szCs w:val="20"/>
              </w:rPr>
            </w:pPr>
            <w:r w:rsidRPr="00F07DD4">
              <w:rPr>
                <w:sz w:val="20"/>
                <w:szCs w:val="20"/>
              </w:rPr>
              <w:t>4</w:t>
            </w:r>
            <w:r>
              <w:rPr>
                <w:sz w:val="20"/>
                <w:szCs w:val="20"/>
              </w:rPr>
              <w:t> 362,7</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r w:rsidR="00F20611" w:rsidRPr="00F07DD4" w:rsidTr="00902B01">
        <w:trPr>
          <w:trHeight w:val="300"/>
        </w:trPr>
        <w:tc>
          <w:tcPr>
            <w:tcW w:w="4077" w:type="dxa"/>
            <w:shd w:val="clear" w:color="auto" w:fill="auto"/>
            <w:hideMark/>
          </w:tcPr>
          <w:p w:rsidR="00F20611" w:rsidRPr="00F07DD4" w:rsidRDefault="00F20611" w:rsidP="00902B01">
            <w:pPr>
              <w:spacing w:after="0" w:line="240" w:lineRule="auto"/>
              <w:jc w:val="left"/>
              <w:rPr>
                <w:b/>
                <w:bCs/>
                <w:sz w:val="20"/>
                <w:szCs w:val="20"/>
              </w:rPr>
            </w:pPr>
            <w:r w:rsidRPr="00F07DD4">
              <w:rPr>
                <w:bCs/>
                <w:sz w:val="20"/>
                <w:szCs w:val="20"/>
              </w:rPr>
              <w:t xml:space="preserve">- бюджет автономного округа </w:t>
            </w:r>
          </w:p>
        </w:tc>
        <w:tc>
          <w:tcPr>
            <w:tcW w:w="1275"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426 815,7</w:t>
            </w:r>
          </w:p>
        </w:tc>
        <w:tc>
          <w:tcPr>
            <w:tcW w:w="1339" w:type="dxa"/>
            <w:shd w:val="clear" w:color="auto" w:fill="auto"/>
          </w:tcPr>
          <w:p w:rsidR="00F20611" w:rsidRPr="00F07DD4" w:rsidRDefault="00F20611" w:rsidP="00902B01">
            <w:pPr>
              <w:spacing w:after="0" w:line="240" w:lineRule="auto"/>
              <w:jc w:val="center"/>
              <w:rPr>
                <w:sz w:val="20"/>
                <w:szCs w:val="20"/>
              </w:rPr>
            </w:pPr>
            <w:r>
              <w:rPr>
                <w:sz w:val="20"/>
                <w:szCs w:val="20"/>
              </w:rPr>
              <w:t>431 904,8</w:t>
            </w:r>
          </w:p>
        </w:tc>
        <w:tc>
          <w:tcPr>
            <w:tcW w:w="1311" w:type="dxa"/>
            <w:shd w:val="clear" w:color="auto" w:fill="auto"/>
          </w:tcPr>
          <w:p w:rsidR="00F20611" w:rsidRPr="00F07DD4" w:rsidRDefault="00F20611" w:rsidP="00902B01">
            <w:pPr>
              <w:spacing w:after="0" w:line="240" w:lineRule="auto"/>
              <w:jc w:val="center"/>
              <w:rPr>
                <w:sz w:val="20"/>
                <w:szCs w:val="20"/>
              </w:rPr>
            </w:pPr>
            <w:r>
              <w:rPr>
                <w:sz w:val="20"/>
                <w:szCs w:val="20"/>
              </w:rPr>
              <w:t>431 904,8</w:t>
            </w:r>
          </w:p>
        </w:tc>
        <w:tc>
          <w:tcPr>
            <w:tcW w:w="1276" w:type="dxa"/>
            <w:shd w:val="clear" w:color="auto" w:fill="auto"/>
            <w:hideMark/>
          </w:tcPr>
          <w:p w:rsidR="00F20611" w:rsidRPr="00F07DD4" w:rsidRDefault="00F20611" w:rsidP="00902B01">
            <w:pPr>
              <w:spacing w:after="0" w:line="240" w:lineRule="auto"/>
              <w:jc w:val="center"/>
              <w:rPr>
                <w:sz w:val="20"/>
                <w:szCs w:val="20"/>
              </w:rPr>
            </w:pPr>
            <w:r w:rsidRPr="00F07DD4">
              <w:rPr>
                <w:sz w:val="20"/>
                <w:szCs w:val="20"/>
              </w:rPr>
              <w:t>100%</w:t>
            </w:r>
          </w:p>
        </w:tc>
      </w:tr>
    </w:tbl>
    <w:p w:rsidR="00F20611" w:rsidRDefault="00F20611" w:rsidP="00F20611">
      <w:pPr>
        <w:spacing w:after="0"/>
        <w:ind w:left="567" w:right="-1"/>
        <w:contextualSpacing/>
        <w:jc w:val="both"/>
        <w:rPr>
          <w:sz w:val="28"/>
          <w:szCs w:val="28"/>
        </w:rPr>
      </w:pPr>
    </w:p>
    <w:p w:rsidR="00F20611" w:rsidRDefault="00F20611" w:rsidP="00F20611">
      <w:pPr>
        <w:spacing w:after="0"/>
        <w:ind w:right="-1" w:firstLine="567"/>
        <w:contextualSpacing/>
        <w:jc w:val="both"/>
        <w:rPr>
          <w:sz w:val="28"/>
          <w:szCs w:val="28"/>
        </w:rPr>
      </w:pPr>
      <w:r w:rsidRPr="00F144AA">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F20611" w:rsidRDefault="00F20611" w:rsidP="00F20611">
      <w:pPr>
        <w:numPr>
          <w:ilvl w:val="0"/>
          <w:numId w:val="4"/>
        </w:numPr>
        <w:spacing w:after="0"/>
        <w:ind w:left="0" w:right="-1" w:firstLine="567"/>
        <w:contextualSpacing/>
        <w:jc w:val="both"/>
        <w:rPr>
          <w:sz w:val="28"/>
          <w:szCs w:val="28"/>
        </w:rPr>
      </w:pPr>
      <w:r w:rsidRPr="001B2F81">
        <w:rPr>
          <w:sz w:val="28"/>
          <w:szCs w:val="28"/>
        </w:rPr>
        <w:t xml:space="preserve"> </w:t>
      </w:r>
      <w:r>
        <w:rPr>
          <w:sz w:val="28"/>
          <w:szCs w:val="28"/>
        </w:rPr>
        <w:t xml:space="preserve">Основное мероприятие </w:t>
      </w:r>
      <w:r w:rsidRPr="001B2F81">
        <w:rPr>
          <w:sz w:val="28"/>
          <w:szCs w:val="28"/>
        </w:rPr>
        <w:t xml:space="preserve">«Обеспечение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 </w:t>
      </w:r>
      <w:r>
        <w:rPr>
          <w:sz w:val="28"/>
          <w:szCs w:val="28"/>
        </w:rPr>
        <w:t>в том числе:</w:t>
      </w:r>
    </w:p>
    <w:p w:rsidR="00F20611" w:rsidRDefault="00F20611" w:rsidP="00F20611">
      <w:pPr>
        <w:spacing w:after="0"/>
        <w:ind w:right="-1" w:firstLine="709"/>
        <w:jc w:val="both"/>
        <w:rPr>
          <w:sz w:val="28"/>
          <w:szCs w:val="28"/>
        </w:rPr>
      </w:pPr>
      <w:r>
        <w:rPr>
          <w:sz w:val="28"/>
          <w:szCs w:val="28"/>
        </w:rPr>
        <w:t>- о</w:t>
      </w:r>
      <w:r w:rsidRPr="00AB534D">
        <w:rPr>
          <w:sz w:val="28"/>
          <w:szCs w:val="28"/>
        </w:rPr>
        <w:t xml:space="preserve">беспечение и организация работ (услуг) по праздничному оформлению административного центра Ханты-Мансийского автономного округа </w:t>
      </w:r>
      <w:r>
        <w:rPr>
          <w:sz w:val="28"/>
          <w:szCs w:val="28"/>
        </w:rPr>
        <w:t>–</w:t>
      </w:r>
      <w:r w:rsidRPr="00AB534D">
        <w:rPr>
          <w:sz w:val="28"/>
          <w:szCs w:val="28"/>
        </w:rPr>
        <w:t xml:space="preserve"> Югры</w:t>
      </w:r>
      <w:r>
        <w:rPr>
          <w:sz w:val="28"/>
          <w:szCs w:val="28"/>
        </w:rPr>
        <w:t xml:space="preserve"> в сумме 18 278,0 тыс. рублей, в том числе средства автономного округа 18 095,2 тыс. рублей;</w:t>
      </w:r>
    </w:p>
    <w:p w:rsidR="00F20611" w:rsidRDefault="00F20611" w:rsidP="00F20611">
      <w:pPr>
        <w:spacing w:after="0"/>
        <w:ind w:right="-1" w:firstLine="709"/>
        <w:jc w:val="both"/>
        <w:rPr>
          <w:sz w:val="28"/>
          <w:szCs w:val="28"/>
        </w:rPr>
      </w:pPr>
      <w:r w:rsidRPr="00AB534D">
        <w:rPr>
          <w:sz w:val="28"/>
          <w:szCs w:val="28"/>
        </w:rPr>
        <w:t xml:space="preserve"> 2. </w:t>
      </w:r>
      <w:r>
        <w:rPr>
          <w:sz w:val="28"/>
          <w:szCs w:val="28"/>
        </w:rPr>
        <w:t xml:space="preserve">Основное мероприятие </w:t>
      </w:r>
      <w:r w:rsidRPr="00AB534D">
        <w:rPr>
          <w:sz w:val="28"/>
          <w:szCs w:val="28"/>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в том числе:</w:t>
      </w:r>
    </w:p>
    <w:p w:rsidR="00F20611" w:rsidRDefault="00F20611" w:rsidP="00F20611">
      <w:pPr>
        <w:spacing w:after="0"/>
        <w:ind w:right="-1" w:firstLine="709"/>
        <w:jc w:val="both"/>
        <w:rPr>
          <w:sz w:val="28"/>
          <w:szCs w:val="28"/>
        </w:rPr>
      </w:pPr>
      <w:r>
        <w:rPr>
          <w:sz w:val="28"/>
          <w:szCs w:val="28"/>
        </w:rPr>
        <w:t>- о</w:t>
      </w:r>
      <w:r w:rsidRPr="00AB534D">
        <w:rPr>
          <w:sz w:val="28"/>
          <w:szCs w:val="28"/>
        </w:rPr>
        <w:t xml:space="preserve">беспечение и организация работ (услуг) по содержанию объектов внешнего благоустройства, сохранению и улучшению внешнего облика административного центра Ханты-Мансийского автономного округа </w:t>
      </w:r>
      <w:r>
        <w:rPr>
          <w:sz w:val="28"/>
          <w:szCs w:val="28"/>
        </w:rPr>
        <w:t>–</w:t>
      </w:r>
      <w:r w:rsidRPr="00AB534D">
        <w:rPr>
          <w:sz w:val="28"/>
          <w:szCs w:val="28"/>
        </w:rPr>
        <w:t xml:space="preserve"> Югры</w:t>
      </w:r>
      <w:r>
        <w:rPr>
          <w:sz w:val="28"/>
          <w:szCs w:val="28"/>
        </w:rPr>
        <w:t xml:space="preserve"> в сумме 98 438,1 тыс. рублей, в том числе средства автономного округа 97 453,7 тыс. рублей;</w:t>
      </w:r>
    </w:p>
    <w:p w:rsidR="00F20611" w:rsidRDefault="00F20611" w:rsidP="00F20611">
      <w:pPr>
        <w:spacing w:after="0"/>
        <w:ind w:right="-1" w:firstLine="709"/>
        <w:jc w:val="both"/>
        <w:rPr>
          <w:sz w:val="28"/>
          <w:szCs w:val="28"/>
        </w:rPr>
      </w:pPr>
      <w:r>
        <w:rPr>
          <w:sz w:val="28"/>
          <w:szCs w:val="28"/>
        </w:rPr>
        <w:t>- о</w:t>
      </w:r>
      <w:r w:rsidRPr="00AB534D">
        <w:rPr>
          <w:sz w:val="28"/>
          <w:szCs w:val="28"/>
        </w:rPr>
        <w:t>беспечение работ (услуг) по содержанию объектов уличного освещения, архитектурно-художественной подсветки объектов</w:t>
      </w:r>
      <w:r>
        <w:rPr>
          <w:sz w:val="28"/>
          <w:szCs w:val="28"/>
        </w:rPr>
        <w:t xml:space="preserve"> в сумме 54 522,2 тыс. рублей, в том числе средства автономного округа 53 977,0 тыс. рублей;</w:t>
      </w:r>
    </w:p>
    <w:p w:rsidR="00F20611" w:rsidRDefault="00F20611" w:rsidP="00F20611">
      <w:pPr>
        <w:spacing w:after="0"/>
        <w:ind w:right="-1" w:firstLine="709"/>
        <w:jc w:val="both"/>
        <w:rPr>
          <w:sz w:val="28"/>
          <w:szCs w:val="28"/>
        </w:rPr>
      </w:pPr>
      <w:r>
        <w:rPr>
          <w:sz w:val="28"/>
          <w:szCs w:val="28"/>
        </w:rPr>
        <w:lastRenderedPageBreak/>
        <w:t>- о</w:t>
      </w:r>
      <w:r w:rsidRPr="00AB534D">
        <w:rPr>
          <w:sz w:val="28"/>
          <w:szCs w:val="28"/>
        </w:rPr>
        <w:t xml:space="preserve">беспечение и организация работ (услуг) по ремонту, благоустройству и санитарному содержанию объектов социальной инфраструктуры, мест отдыха и массового пребывания гостей и жителей административного центра Ханты-Мансийского автономного округа </w:t>
      </w:r>
      <w:r>
        <w:rPr>
          <w:sz w:val="28"/>
          <w:szCs w:val="28"/>
        </w:rPr>
        <w:t>–</w:t>
      </w:r>
      <w:r w:rsidRPr="00AB534D">
        <w:rPr>
          <w:sz w:val="28"/>
          <w:szCs w:val="28"/>
        </w:rPr>
        <w:t xml:space="preserve"> Югры</w:t>
      </w:r>
      <w:r>
        <w:rPr>
          <w:sz w:val="28"/>
          <w:szCs w:val="28"/>
        </w:rPr>
        <w:t xml:space="preserve"> в сумме 100,0 тыс. рублей, в том числе средства автономного округа 99,0 тыс. рублей;</w:t>
      </w:r>
    </w:p>
    <w:p w:rsidR="00F20611" w:rsidRDefault="00F20611" w:rsidP="00F20611">
      <w:pPr>
        <w:spacing w:after="0"/>
        <w:ind w:right="-1" w:firstLine="709"/>
        <w:jc w:val="both"/>
        <w:rPr>
          <w:sz w:val="28"/>
          <w:szCs w:val="28"/>
          <w:highlight w:val="yellow"/>
        </w:rPr>
      </w:pPr>
      <w:r>
        <w:rPr>
          <w:sz w:val="28"/>
          <w:szCs w:val="28"/>
        </w:rPr>
        <w:t>- о</w:t>
      </w:r>
      <w:r w:rsidRPr="00AB534D">
        <w:rPr>
          <w:sz w:val="28"/>
          <w:szCs w:val="28"/>
        </w:rPr>
        <w:t>беспечение и организация работ (услуг) по содержанию, ремонту и благоустройству улиц, проездов, дорог, парковок, автостоянок, эстакад, тротуаров, водопропусков, светофорных и иных объектов</w:t>
      </w:r>
      <w:r>
        <w:rPr>
          <w:sz w:val="28"/>
          <w:szCs w:val="28"/>
        </w:rPr>
        <w:t xml:space="preserve"> в сумме 283 207,2 тыс. рублей, в том числе средства автономного округа 280 375,1 тыс. рублей.</w:t>
      </w:r>
    </w:p>
    <w:sectPr w:rsidR="00F20611"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631" w:rsidRDefault="00392631" w:rsidP="00FF5332">
      <w:pPr>
        <w:spacing w:after="0" w:line="240" w:lineRule="auto"/>
      </w:pPr>
      <w:r>
        <w:separator/>
      </w:r>
    </w:p>
  </w:endnote>
  <w:endnote w:type="continuationSeparator" w:id="0">
    <w:p w:rsidR="00392631" w:rsidRDefault="00392631"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631" w:rsidRDefault="00392631" w:rsidP="00FF5332">
      <w:pPr>
        <w:spacing w:after="0" w:line="240" w:lineRule="auto"/>
      </w:pPr>
      <w:r>
        <w:separator/>
      </w:r>
    </w:p>
  </w:footnote>
  <w:footnote w:type="continuationSeparator" w:id="0">
    <w:p w:rsidR="00392631" w:rsidRDefault="00392631"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6DE7"/>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2631"/>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36CDD4-8835-49BC-A8A5-1E8638C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2025-04-03T06:28:00Z</dcterms:created>
  <dcterms:modified xsi:type="dcterms:W3CDTF">2025-04-03T06:28:00Z</dcterms:modified>
</cp:coreProperties>
</file>