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DBE" w:rsidRPr="00DB67F2" w:rsidRDefault="00C53DBE" w:rsidP="00C53DBE">
      <w:pPr>
        <w:autoSpaceDE w:val="0"/>
        <w:autoSpaceDN w:val="0"/>
        <w:adjustRightInd w:val="0"/>
        <w:jc w:val="center"/>
        <w:rPr>
          <w:rFonts w:eastAsiaTheme="minorHAnsi"/>
          <w:iCs/>
          <w:sz w:val="28"/>
          <w:szCs w:val="28"/>
          <w:lang w:eastAsia="en-US"/>
        </w:rPr>
      </w:pPr>
      <w:r>
        <w:rPr>
          <w:sz w:val="28"/>
          <w:szCs w:val="28"/>
        </w:rPr>
        <w:t>Д</w:t>
      </w:r>
      <w:r w:rsidRPr="00DB67F2">
        <w:rPr>
          <w:rFonts w:eastAsiaTheme="minorHAnsi"/>
          <w:iCs/>
          <w:sz w:val="28"/>
          <w:szCs w:val="28"/>
          <w:lang w:eastAsia="en-US"/>
        </w:rPr>
        <w:t>оклад о правоприменительной практике</w:t>
      </w:r>
    </w:p>
    <w:p w:rsidR="00C53DBE" w:rsidRPr="00DB67F2" w:rsidRDefault="00C53DBE" w:rsidP="00C53DBE">
      <w:pPr>
        <w:widowControl w:val="0"/>
        <w:tabs>
          <w:tab w:val="left" w:pos="0"/>
        </w:tabs>
        <w:autoSpaceDE w:val="0"/>
        <w:autoSpaceDN w:val="0"/>
        <w:adjustRightInd w:val="0"/>
        <w:jc w:val="center"/>
        <w:rPr>
          <w:sz w:val="28"/>
          <w:szCs w:val="28"/>
        </w:rPr>
      </w:pPr>
      <w:r w:rsidRPr="00DB67F2">
        <w:rPr>
          <w:sz w:val="28"/>
          <w:szCs w:val="28"/>
        </w:rPr>
        <w:t xml:space="preserve">осуществления муниципального земельного контроля на территории </w:t>
      </w:r>
    </w:p>
    <w:p w:rsidR="00C53DBE" w:rsidRPr="00DB67F2" w:rsidRDefault="00C53DBE" w:rsidP="00C53DBE">
      <w:pPr>
        <w:widowControl w:val="0"/>
        <w:tabs>
          <w:tab w:val="left" w:pos="0"/>
        </w:tabs>
        <w:autoSpaceDE w:val="0"/>
        <w:autoSpaceDN w:val="0"/>
        <w:adjustRightInd w:val="0"/>
        <w:jc w:val="center"/>
        <w:rPr>
          <w:sz w:val="28"/>
          <w:szCs w:val="28"/>
        </w:rPr>
      </w:pPr>
      <w:r w:rsidRPr="00DB67F2">
        <w:rPr>
          <w:sz w:val="28"/>
          <w:szCs w:val="28"/>
        </w:rPr>
        <w:t xml:space="preserve">города Ханты-Мансийска за 2022 год </w:t>
      </w:r>
    </w:p>
    <w:p w:rsidR="00C53DBE" w:rsidRDefault="00C53DBE" w:rsidP="00C53DBE">
      <w:pPr>
        <w:ind w:firstLine="709"/>
        <w:jc w:val="center"/>
        <w:rPr>
          <w:b/>
          <w:sz w:val="28"/>
          <w:szCs w:val="28"/>
        </w:rPr>
      </w:pPr>
    </w:p>
    <w:p w:rsidR="00C53DBE" w:rsidRDefault="00C53DBE" w:rsidP="00C53DBE">
      <w:pPr>
        <w:ind w:firstLine="708"/>
        <w:jc w:val="both"/>
        <w:rPr>
          <w:color w:val="000000"/>
          <w:sz w:val="28"/>
          <w:szCs w:val="28"/>
          <w:lang w:bidi="ru-RU"/>
        </w:rPr>
      </w:pPr>
      <w:r>
        <w:rPr>
          <w:sz w:val="28"/>
          <w:szCs w:val="28"/>
        </w:rPr>
        <w:t>Исполнение данной муниципальной функции осуществляется в соответствии с Федеральным законом от 06.10.2003 № 131-ФЗ «Об общих принципах организации местного само</w:t>
      </w:r>
      <w:r>
        <w:rPr>
          <w:sz w:val="28"/>
          <w:szCs w:val="28"/>
        </w:rPr>
        <w:softHyphen/>
        <w:t xml:space="preserve">управления в Российской Федерации», Федеральным законом от </w:t>
      </w:r>
      <w:r>
        <w:rPr>
          <w:color w:val="000000"/>
          <w:sz w:val="28"/>
          <w:szCs w:val="28"/>
          <w:lang w:bidi="ru-RU"/>
        </w:rPr>
        <w:t xml:space="preserve">31.07.2020 № 248-ФЗ «О государственном контроле (надзоре) и муниципальном </w:t>
      </w:r>
      <w:r w:rsidRPr="00815F3B">
        <w:rPr>
          <w:color w:val="000000"/>
          <w:sz w:val="28"/>
          <w:szCs w:val="28"/>
          <w:lang w:bidi="ru-RU"/>
        </w:rPr>
        <w:t>контроле в Российской Федерации»</w:t>
      </w:r>
      <w:r w:rsidRPr="00815F3B">
        <w:rPr>
          <w:sz w:val="28"/>
          <w:szCs w:val="28"/>
        </w:rPr>
        <w:t xml:space="preserve">, </w:t>
      </w:r>
      <w:r w:rsidRPr="00815F3B">
        <w:rPr>
          <w:color w:val="000000"/>
          <w:sz w:val="28"/>
          <w:szCs w:val="28"/>
          <w:lang w:bidi="ru-RU"/>
        </w:rPr>
        <w:t xml:space="preserve">решением </w:t>
      </w:r>
      <w:r w:rsidRPr="00815F3B">
        <w:rPr>
          <w:sz w:val="28"/>
          <w:szCs w:val="28"/>
        </w:rPr>
        <w:t>Думы города Ханты-Мансийска</w:t>
      </w:r>
      <w:r w:rsidRPr="00815F3B">
        <w:rPr>
          <w:color w:val="000000"/>
          <w:sz w:val="28"/>
          <w:szCs w:val="28"/>
          <w:lang w:bidi="ru-RU"/>
        </w:rPr>
        <w:t xml:space="preserve"> от 16.09.2021 №526-</w:t>
      </w:r>
      <w:r w:rsidRPr="00815F3B">
        <w:rPr>
          <w:color w:val="000000"/>
          <w:sz w:val="28"/>
          <w:szCs w:val="28"/>
          <w:lang w:val="en-US" w:bidi="ru-RU"/>
        </w:rPr>
        <w:t>VI</w:t>
      </w:r>
      <w:r w:rsidRPr="00815F3B">
        <w:rPr>
          <w:color w:val="000000"/>
          <w:sz w:val="28"/>
          <w:szCs w:val="28"/>
          <w:lang w:bidi="ru-RU"/>
        </w:rPr>
        <w:t xml:space="preserve"> РД «Об утверждении Положения о муниципальном земельном контроле на территории города Ханты-Мансийска».</w:t>
      </w:r>
    </w:p>
    <w:p w:rsidR="00C53DBE" w:rsidRDefault="00C53DBE" w:rsidP="00C53DBE">
      <w:pPr>
        <w:ind w:firstLine="708"/>
        <w:jc w:val="both"/>
        <w:rPr>
          <w:color w:val="000000"/>
          <w:sz w:val="28"/>
          <w:szCs w:val="28"/>
          <w:lang w:bidi="ru-RU"/>
        </w:rPr>
      </w:pPr>
      <w:r>
        <w:rPr>
          <w:color w:val="000000"/>
          <w:sz w:val="28"/>
          <w:szCs w:val="28"/>
          <w:lang w:bidi="ru-RU"/>
        </w:rPr>
        <w:t>Анализ правоприменительной практики подготовлен в целях информирования контролируемых лиц о результатах правоприменительной практики, устранения причин и условий, способствующих совершению нарушений обязательных требований, обеспечения защиты прав и свобод человека и гражданина.</w:t>
      </w:r>
    </w:p>
    <w:p w:rsidR="00C53DBE" w:rsidRDefault="00C53DBE" w:rsidP="00C53DBE">
      <w:pPr>
        <w:ind w:firstLine="708"/>
        <w:jc w:val="both"/>
        <w:rPr>
          <w:sz w:val="28"/>
          <w:szCs w:val="28"/>
        </w:rPr>
      </w:pPr>
      <w:r>
        <w:rPr>
          <w:sz w:val="28"/>
          <w:szCs w:val="28"/>
        </w:rPr>
        <w:t xml:space="preserve">В 2022 году проведено 1 внеплановое контрольное мероприятие, выдано 1 предписание об устранении нарушения. Плановые контрольные мероприятия не проводилось. </w:t>
      </w:r>
    </w:p>
    <w:p w:rsidR="00C53DBE" w:rsidRDefault="00C53DBE" w:rsidP="00C53DBE">
      <w:pPr>
        <w:ind w:firstLine="708"/>
        <w:jc w:val="both"/>
        <w:rPr>
          <w:sz w:val="28"/>
          <w:szCs w:val="28"/>
        </w:rPr>
      </w:pPr>
      <w:r>
        <w:rPr>
          <w:sz w:val="28"/>
          <w:szCs w:val="28"/>
        </w:rPr>
        <w:t>Постановлением Правительства Российской Федерации от 10.03.2022 №336 «Об особенностях организации и осуществления государственного контроля (надзора), муниципального контроля», проведение контрольных мероприятий в 2022 году было ограничено. Действия должностных лиц, в рамках осуществления муниципального земельного контроля, были направлены на проведение профилактических мероприятий.</w:t>
      </w:r>
    </w:p>
    <w:p w:rsidR="00C53DBE" w:rsidRPr="00815F3B" w:rsidRDefault="00C53DBE" w:rsidP="00C53DBE">
      <w:pPr>
        <w:ind w:firstLine="851"/>
        <w:jc w:val="both"/>
        <w:rPr>
          <w:sz w:val="28"/>
          <w:szCs w:val="28"/>
        </w:rPr>
      </w:pPr>
      <w:r>
        <w:rPr>
          <w:color w:val="000000"/>
          <w:sz w:val="28"/>
          <w:szCs w:val="28"/>
          <w:lang w:bidi="ru-RU"/>
        </w:rPr>
        <w:t xml:space="preserve">Положением о муниципальном земельном контроле, </w:t>
      </w:r>
      <w:r w:rsidRPr="00815F3B">
        <w:rPr>
          <w:color w:val="000000"/>
          <w:sz w:val="28"/>
          <w:szCs w:val="28"/>
          <w:lang w:bidi="ru-RU"/>
        </w:rPr>
        <w:t xml:space="preserve">утвержденным решением </w:t>
      </w:r>
      <w:r w:rsidRPr="00815F3B">
        <w:rPr>
          <w:sz w:val="28"/>
          <w:szCs w:val="28"/>
        </w:rPr>
        <w:t>Думы города Ханты-Мансийска</w:t>
      </w:r>
      <w:r w:rsidRPr="00815F3B">
        <w:rPr>
          <w:color w:val="000000"/>
          <w:sz w:val="28"/>
          <w:szCs w:val="28"/>
          <w:lang w:bidi="ru-RU"/>
        </w:rPr>
        <w:t xml:space="preserve"> от 16.09.2021 №526-</w:t>
      </w:r>
      <w:r w:rsidRPr="00815F3B">
        <w:rPr>
          <w:color w:val="000000"/>
          <w:sz w:val="28"/>
          <w:szCs w:val="28"/>
          <w:lang w:val="en-US" w:bidi="ru-RU"/>
        </w:rPr>
        <w:t>VI</w:t>
      </w:r>
      <w:r w:rsidRPr="00815F3B">
        <w:rPr>
          <w:color w:val="000000"/>
          <w:sz w:val="28"/>
          <w:szCs w:val="28"/>
          <w:lang w:bidi="ru-RU"/>
        </w:rPr>
        <w:t xml:space="preserve"> РД, установлены следующие виды </w:t>
      </w:r>
      <w:r w:rsidRPr="00815F3B">
        <w:rPr>
          <w:sz w:val="28"/>
          <w:szCs w:val="28"/>
        </w:rPr>
        <w:t>профилактических мероприятий:</w:t>
      </w:r>
    </w:p>
    <w:p w:rsidR="00C53DBE" w:rsidRDefault="00C53DBE" w:rsidP="00C53DBE">
      <w:pPr>
        <w:ind w:firstLine="851"/>
        <w:jc w:val="both"/>
        <w:rPr>
          <w:sz w:val="28"/>
          <w:szCs w:val="28"/>
        </w:rPr>
      </w:pPr>
      <w:r w:rsidRPr="00815F3B">
        <w:rPr>
          <w:sz w:val="28"/>
          <w:szCs w:val="28"/>
        </w:rPr>
        <w:t>информирование;</w:t>
      </w:r>
    </w:p>
    <w:p w:rsidR="00C53DBE" w:rsidRDefault="00C53DBE" w:rsidP="00C53DBE">
      <w:pPr>
        <w:ind w:firstLine="851"/>
        <w:jc w:val="both"/>
        <w:rPr>
          <w:sz w:val="28"/>
          <w:szCs w:val="28"/>
        </w:rPr>
      </w:pPr>
      <w:r>
        <w:rPr>
          <w:sz w:val="28"/>
          <w:szCs w:val="28"/>
        </w:rPr>
        <w:t>консультирование;</w:t>
      </w:r>
    </w:p>
    <w:p w:rsidR="00C53DBE" w:rsidRDefault="00C53DBE" w:rsidP="00C53DBE">
      <w:pPr>
        <w:ind w:firstLine="851"/>
        <w:jc w:val="both"/>
        <w:rPr>
          <w:sz w:val="28"/>
          <w:szCs w:val="28"/>
        </w:rPr>
      </w:pPr>
      <w:r>
        <w:rPr>
          <w:sz w:val="28"/>
          <w:szCs w:val="28"/>
        </w:rPr>
        <w:t>объявление предостережения;</w:t>
      </w:r>
    </w:p>
    <w:p w:rsidR="00C53DBE" w:rsidRDefault="00C53DBE" w:rsidP="00C53DBE">
      <w:pPr>
        <w:ind w:firstLine="851"/>
        <w:jc w:val="both"/>
        <w:rPr>
          <w:sz w:val="28"/>
          <w:szCs w:val="28"/>
        </w:rPr>
      </w:pPr>
      <w:r>
        <w:rPr>
          <w:sz w:val="28"/>
          <w:szCs w:val="28"/>
        </w:rPr>
        <w:t xml:space="preserve">профилактический визит. </w:t>
      </w:r>
    </w:p>
    <w:p w:rsidR="00C53DBE" w:rsidRPr="00E30AD0" w:rsidRDefault="00C53DBE" w:rsidP="00C53DBE">
      <w:pPr>
        <w:pStyle w:val="a4"/>
        <w:shd w:val="clear" w:color="auto" w:fill="FFFFFF"/>
        <w:spacing w:before="0" w:beforeAutospacing="0" w:after="0" w:afterAutospacing="0"/>
        <w:ind w:firstLine="540"/>
        <w:jc w:val="both"/>
        <w:rPr>
          <w:color w:val="000000"/>
          <w:sz w:val="28"/>
          <w:szCs w:val="28"/>
        </w:rPr>
      </w:pPr>
      <w:r w:rsidRPr="00E30AD0">
        <w:rPr>
          <w:sz w:val="28"/>
          <w:szCs w:val="28"/>
        </w:rPr>
        <w:t>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53DBE" w:rsidRDefault="00C53DBE" w:rsidP="00C53DBE">
      <w:pPr>
        <w:ind w:firstLine="851"/>
        <w:jc w:val="both"/>
        <w:rPr>
          <w:sz w:val="28"/>
          <w:szCs w:val="28"/>
        </w:rPr>
      </w:pPr>
      <w:r w:rsidRPr="00E30AD0">
        <w:rPr>
          <w:sz w:val="28"/>
          <w:szCs w:val="28"/>
        </w:rPr>
        <w:t>Консультирование контролируемых лиц осуществляется по телефону, посредством видео-конференц-связи, на личном приеме</w:t>
      </w:r>
      <w:r>
        <w:rPr>
          <w:sz w:val="28"/>
          <w:szCs w:val="28"/>
        </w:rPr>
        <w:t>,</w:t>
      </w:r>
      <w:r w:rsidRPr="00E30AD0">
        <w:rPr>
          <w:sz w:val="28"/>
          <w:szCs w:val="28"/>
        </w:rPr>
        <w:t xml:space="preserve"> либо в ходе проведен</w:t>
      </w:r>
      <w:r>
        <w:rPr>
          <w:sz w:val="28"/>
          <w:szCs w:val="28"/>
        </w:rPr>
        <w:t>ия профилактического визита</w:t>
      </w:r>
      <w:r w:rsidRPr="00E30AD0">
        <w:rPr>
          <w:sz w:val="28"/>
          <w:szCs w:val="28"/>
        </w:rPr>
        <w:t>. Консультирование осуществляется по вопросам организации</w:t>
      </w:r>
      <w:r>
        <w:rPr>
          <w:sz w:val="28"/>
          <w:szCs w:val="28"/>
        </w:rPr>
        <w:t xml:space="preserve"> и осуществления муниципального контроля.  </w:t>
      </w:r>
    </w:p>
    <w:p w:rsidR="00C53DBE" w:rsidRDefault="00C53DBE" w:rsidP="00C53DBE">
      <w:pPr>
        <w:autoSpaceDE w:val="0"/>
        <w:autoSpaceDN w:val="0"/>
        <w:adjustRightInd w:val="0"/>
        <w:ind w:firstLine="851"/>
        <w:jc w:val="both"/>
        <w:rPr>
          <w:sz w:val="28"/>
          <w:szCs w:val="28"/>
        </w:rPr>
      </w:pPr>
      <w:r>
        <w:rPr>
          <w:sz w:val="28"/>
          <w:szCs w:val="28"/>
        </w:rPr>
        <w:t xml:space="preserve">Предостережения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w:t>
      </w:r>
      <w:r>
        <w:rPr>
          <w:sz w:val="28"/>
          <w:szCs w:val="28"/>
        </w:rPr>
        <w:lastRenderedPageBreak/>
        <w:t xml:space="preserve">наличия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C53DBE" w:rsidRPr="00650649" w:rsidRDefault="00C53DBE" w:rsidP="00C53DBE">
      <w:pPr>
        <w:ind w:firstLine="851"/>
        <w:jc w:val="both"/>
        <w:rPr>
          <w:sz w:val="28"/>
          <w:szCs w:val="28"/>
        </w:rPr>
      </w:pPr>
      <w:r>
        <w:rPr>
          <w:sz w:val="28"/>
          <w:szCs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При проведении профилактического визита контролируемым лицам не выдаются предписания об устранении нарушений обязательных треб</w:t>
      </w:r>
      <w:r w:rsidRPr="00650649">
        <w:rPr>
          <w:sz w:val="28"/>
          <w:szCs w:val="28"/>
        </w:rPr>
        <w:t>ований. Разъяснения, полученные контролируемым лицом в ходе профилактического визита, носят рекомендательный характер.</w:t>
      </w:r>
      <w:r w:rsidR="001233A1">
        <w:rPr>
          <w:sz w:val="28"/>
          <w:szCs w:val="28"/>
        </w:rPr>
        <w:t xml:space="preserve"> Контролируемое лицо вправе отказаться от проведения профилактического визита.</w:t>
      </w:r>
    </w:p>
    <w:p w:rsidR="00C53DBE" w:rsidRPr="00650649" w:rsidRDefault="00C53DBE" w:rsidP="00C53DBE">
      <w:pPr>
        <w:autoSpaceDE w:val="0"/>
        <w:autoSpaceDN w:val="0"/>
        <w:adjustRightInd w:val="0"/>
        <w:ind w:firstLine="708"/>
        <w:jc w:val="both"/>
        <w:rPr>
          <w:sz w:val="28"/>
          <w:szCs w:val="28"/>
        </w:rPr>
      </w:pPr>
      <w:r w:rsidRPr="00650649">
        <w:rPr>
          <w:sz w:val="28"/>
          <w:szCs w:val="28"/>
        </w:rPr>
        <w:t xml:space="preserve">Деятельность муниципального земельного контроля направлена содействие укреплению законности и предупреждению правонарушений законодательства. </w:t>
      </w:r>
    </w:p>
    <w:p w:rsidR="00C53DBE" w:rsidRDefault="00C53DBE" w:rsidP="00C53DBE">
      <w:pPr>
        <w:ind w:firstLine="851"/>
        <w:jc w:val="both"/>
        <w:rPr>
          <w:sz w:val="28"/>
          <w:szCs w:val="28"/>
        </w:rPr>
      </w:pPr>
      <w:r w:rsidRPr="00650649">
        <w:rPr>
          <w:sz w:val="28"/>
          <w:szCs w:val="28"/>
        </w:rPr>
        <w:t>В 2022 г</w:t>
      </w:r>
      <w:r>
        <w:rPr>
          <w:sz w:val="28"/>
          <w:szCs w:val="28"/>
        </w:rPr>
        <w:t>оду в рамках осуществления муниципального земельного контроля были проведены следующие профилактические мероприятия:</w:t>
      </w:r>
    </w:p>
    <w:p w:rsidR="00C53DBE" w:rsidRPr="009C2A00" w:rsidRDefault="00C53DBE" w:rsidP="00C53DBE">
      <w:pPr>
        <w:jc w:val="both"/>
        <w:rPr>
          <w:sz w:val="28"/>
          <w:szCs w:val="28"/>
        </w:rPr>
      </w:pPr>
      <w:r>
        <w:rPr>
          <w:sz w:val="28"/>
          <w:szCs w:val="28"/>
        </w:rPr>
        <w:t xml:space="preserve">- </w:t>
      </w:r>
      <w:r w:rsidRPr="009C2A00">
        <w:rPr>
          <w:sz w:val="28"/>
          <w:szCs w:val="28"/>
        </w:rPr>
        <w:t>проведено 83 информирования контролируемых и иных заинтересованных лиц по вопросам соблюдения обязательных требований;</w:t>
      </w:r>
    </w:p>
    <w:p w:rsidR="00C53DBE" w:rsidRPr="009C2A00" w:rsidRDefault="00C53DBE" w:rsidP="00C53DBE">
      <w:pPr>
        <w:jc w:val="both"/>
        <w:rPr>
          <w:sz w:val="28"/>
          <w:szCs w:val="28"/>
        </w:rPr>
      </w:pPr>
      <w:r>
        <w:rPr>
          <w:sz w:val="28"/>
          <w:szCs w:val="28"/>
        </w:rPr>
        <w:t xml:space="preserve">- </w:t>
      </w:r>
      <w:r w:rsidRPr="009C2A00">
        <w:rPr>
          <w:sz w:val="28"/>
          <w:szCs w:val="28"/>
        </w:rPr>
        <w:t xml:space="preserve">объявлено 435 предостережений </w:t>
      </w:r>
      <w:r w:rsidRPr="009C2A00">
        <w:rPr>
          <w:rFonts w:eastAsia="Calibri"/>
          <w:sz w:val="28"/>
          <w:szCs w:val="28"/>
        </w:rPr>
        <w:t>о недопустимости нарушения обязательных требований;</w:t>
      </w:r>
    </w:p>
    <w:p w:rsidR="00C53DBE" w:rsidRPr="009C2A00" w:rsidRDefault="00C53DBE" w:rsidP="00C53DBE">
      <w:pPr>
        <w:jc w:val="both"/>
        <w:rPr>
          <w:sz w:val="28"/>
          <w:szCs w:val="28"/>
        </w:rPr>
      </w:pPr>
      <w:r>
        <w:rPr>
          <w:sz w:val="28"/>
          <w:szCs w:val="28"/>
        </w:rPr>
        <w:t xml:space="preserve">- </w:t>
      </w:r>
      <w:r w:rsidRPr="009C2A00">
        <w:rPr>
          <w:sz w:val="28"/>
          <w:szCs w:val="28"/>
        </w:rPr>
        <w:t>проведено 86 консультирований контролируемых лиц;</w:t>
      </w:r>
    </w:p>
    <w:p w:rsidR="00C53DBE" w:rsidRPr="009C2A00" w:rsidRDefault="00C53DBE" w:rsidP="00C53DBE">
      <w:pPr>
        <w:autoSpaceDE w:val="0"/>
        <w:autoSpaceDN w:val="0"/>
        <w:adjustRightInd w:val="0"/>
        <w:rPr>
          <w:rFonts w:eastAsia="Calibri"/>
          <w:sz w:val="28"/>
          <w:szCs w:val="28"/>
        </w:rPr>
      </w:pPr>
      <w:r>
        <w:rPr>
          <w:rFonts w:eastAsia="Calibri"/>
          <w:sz w:val="28"/>
          <w:szCs w:val="28"/>
        </w:rPr>
        <w:t xml:space="preserve">- </w:t>
      </w:r>
      <w:r w:rsidRPr="009C2A00">
        <w:rPr>
          <w:rFonts w:eastAsia="Calibri"/>
          <w:sz w:val="28"/>
          <w:szCs w:val="28"/>
        </w:rPr>
        <w:t>проведено 35 профилактических визитов.</w:t>
      </w:r>
    </w:p>
    <w:p w:rsidR="00C53DBE" w:rsidRDefault="00C53DBE" w:rsidP="00C53DBE">
      <w:pPr>
        <w:ind w:firstLine="851"/>
        <w:jc w:val="both"/>
        <w:rPr>
          <w:sz w:val="28"/>
          <w:szCs w:val="28"/>
        </w:rPr>
      </w:pPr>
      <w:r w:rsidRPr="009C2A00">
        <w:rPr>
          <w:sz w:val="28"/>
          <w:szCs w:val="28"/>
        </w:rPr>
        <w:t xml:space="preserve">По результатам </w:t>
      </w:r>
      <w:r w:rsidR="001233A1">
        <w:rPr>
          <w:sz w:val="28"/>
          <w:szCs w:val="28"/>
        </w:rPr>
        <w:t>осуществления муниципального земельного контроля</w:t>
      </w:r>
      <w:r>
        <w:rPr>
          <w:sz w:val="28"/>
          <w:szCs w:val="28"/>
        </w:rPr>
        <w:t>,</w:t>
      </w:r>
      <w:r w:rsidRPr="009C2A00">
        <w:rPr>
          <w:sz w:val="28"/>
          <w:szCs w:val="28"/>
        </w:rPr>
        <w:t xml:space="preserve"> выявлены</w:t>
      </w:r>
      <w:r>
        <w:rPr>
          <w:sz w:val="28"/>
          <w:szCs w:val="28"/>
        </w:rPr>
        <w:t xml:space="preserve"> следующие часто встречающиеся нарушения обязательных требований:</w:t>
      </w:r>
    </w:p>
    <w:p w:rsidR="00C53DBE" w:rsidRDefault="00C53DBE" w:rsidP="00C53DBE">
      <w:pPr>
        <w:pStyle w:val="a3"/>
        <w:numPr>
          <w:ilvl w:val="0"/>
          <w:numId w:val="1"/>
        </w:numPr>
        <w:ind w:left="0" w:firstLine="851"/>
        <w:jc w:val="both"/>
        <w:rPr>
          <w:sz w:val="28"/>
          <w:szCs w:val="28"/>
        </w:rPr>
      </w:pPr>
      <w:r>
        <w:rPr>
          <w:sz w:val="28"/>
          <w:szCs w:val="28"/>
        </w:rPr>
        <w:t>Самовольный захват земельного участка или его части, совершенный гражданами, юридическими лицами, индивидуальными предпринимателями рассматривается как нарушение земельного законодательства, наносящее ущерб экономике, пользователям земельных участков (ст. 7.1 Кодекса об административных правонарушениях Российской Федерации);</w:t>
      </w:r>
    </w:p>
    <w:p w:rsidR="00C53DBE" w:rsidRDefault="00C53DBE" w:rsidP="00C53DBE">
      <w:pPr>
        <w:pStyle w:val="a3"/>
        <w:numPr>
          <w:ilvl w:val="0"/>
          <w:numId w:val="1"/>
        </w:numPr>
        <w:ind w:left="0" w:firstLine="851"/>
        <w:jc w:val="both"/>
        <w:rPr>
          <w:sz w:val="28"/>
          <w:szCs w:val="28"/>
        </w:rPr>
      </w:pPr>
      <w:r>
        <w:rPr>
          <w:sz w:val="28"/>
          <w:szCs w:val="28"/>
        </w:rPr>
        <w:t>Использование земель не по целевому назначению, без соблюдения установленных для каждой категории режимов использования, законодатель понимает осуществление непредусмотренных видов деятельности, совершение действий, направленных на использование земельного участка без соблюдения, установленного для него, режима эксплуатации, сознательного изменения его целевого назначения (ст. 8.8 Кодекса об административных правонарушениях Российской Федерации).</w:t>
      </w:r>
    </w:p>
    <w:p w:rsidR="00C53DBE" w:rsidRDefault="00C53DBE" w:rsidP="00C53DBE">
      <w:pPr>
        <w:ind w:firstLine="851"/>
        <w:jc w:val="center"/>
        <w:rPr>
          <w:sz w:val="28"/>
          <w:szCs w:val="28"/>
        </w:rPr>
      </w:pPr>
    </w:p>
    <w:p w:rsidR="00E4267F" w:rsidRDefault="00E4267F">
      <w:bookmarkStart w:id="0" w:name="_GoBack"/>
      <w:bookmarkEnd w:id="0"/>
    </w:p>
    <w:sectPr w:rsidR="00E426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381FCE"/>
    <w:multiLevelType w:val="hybridMultilevel"/>
    <w:tmpl w:val="1918106A"/>
    <w:lvl w:ilvl="0" w:tplc="D21E6E0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DBE"/>
    <w:rsid w:val="001233A1"/>
    <w:rsid w:val="00C53DBE"/>
    <w:rsid w:val="00E42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AB98C1-2F66-4098-813A-2AB944C39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D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3DBE"/>
    <w:pPr>
      <w:ind w:left="720"/>
      <w:contextualSpacing/>
    </w:pPr>
  </w:style>
  <w:style w:type="paragraph" w:styleId="a4">
    <w:name w:val="Normal (Web)"/>
    <w:basedOn w:val="a"/>
    <w:uiPriority w:val="99"/>
    <w:unhideWhenUsed/>
    <w:rsid w:val="00C53DB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740</Words>
  <Characters>4220</Characters>
  <Application>Microsoft Office Word</Application>
  <DocSecurity>0</DocSecurity>
  <Lines>35</Lines>
  <Paragraphs>9</Paragraphs>
  <ScaleCrop>false</ScaleCrop>
  <Company/>
  <LinksUpToDate>false</LinksUpToDate>
  <CharactersWithSpaces>4951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Волошенюк Владимир Владимирович</dc:creator>
  <cp:keywords/>
  <dc:description/>
  <cp:lastModifiedBy>Волошенюк Владимир Владимирович</cp:lastModifiedBy>
  <cp:revision>2</cp:revision>
  <dcterms:created xsi:type="dcterms:W3CDTF">2023-03-16T05:29:00Z</dcterms:created>
  <dcterms:modified xsi:type="dcterms:W3CDTF">2023-03-16T07:00:00Z</dcterms:modified>
</cp:coreProperties>
</file>