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54" w:rsidRDefault="00312654">
      <w:pPr>
        <w:rPr>
          <w:sz w:val="2"/>
          <w:szCs w:val="2"/>
        </w:rPr>
      </w:pPr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421E8A" w:rsidRDefault="00421E8A">
      <w:pPr>
        <w:pStyle w:val="30"/>
        <w:shd w:val="clear" w:color="auto" w:fill="auto"/>
        <w:spacing w:before="751"/>
        <w:ind w:right="20"/>
      </w:pPr>
    </w:p>
    <w:p w:rsidR="00421E8A" w:rsidRDefault="00421E8A">
      <w:pPr>
        <w:pStyle w:val="30"/>
        <w:shd w:val="clear" w:color="auto" w:fill="auto"/>
        <w:spacing w:before="751"/>
        <w:ind w:right="20"/>
      </w:pP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7F495D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421E8A" w:rsidRPr="00142019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421E8A" w:rsidRPr="00421E8A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8A">
        <w:rPr>
          <w:rFonts w:ascii="Times New Roman" w:hAnsi="Times New Roman" w:cs="Times New Roman"/>
          <w:b/>
          <w:sz w:val="28"/>
          <w:szCs w:val="28"/>
        </w:rPr>
        <w:t>Индикаторы развития систем теплоснабжения города</w:t>
      </w: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E8A">
        <w:rPr>
          <w:rFonts w:ascii="Times New Roman" w:hAnsi="Times New Roman" w:cs="Times New Roman"/>
          <w:b/>
          <w:sz w:val="28"/>
          <w:szCs w:val="28"/>
        </w:rPr>
        <w:t>Ханты-Мансийска</w:t>
      </w:r>
    </w:p>
    <w:p w:rsidR="00421E8A" w:rsidRDefault="00421E8A" w:rsidP="00421E8A">
      <w:pPr>
        <w:pStyle w:val="40"/>
        <w:shd w:val="clear" w:color="auto" w:fill="auto"/>
        <w:spacing w:after="1002" w:line="326" w:lineRule="exact"/>
        <w:ind w:right="5640"/>
        <w:jc w:val="left"/>
      </w:pPr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421E8A" w:rsidRDefault="00421E8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421E8A" w:rsidRPr="00421E8A" w:rsidRDefault="008958E2" w:rsidP="00421E8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421E8A" w:rsidRPr="00421E8A">
        <w:rPr>
          <w:rFonts w:ascii="Times New Roman" w:eastAsia="Times New Roman" w:hAnsi="Times New Roman" w:cs="Times New Roman"/>
        </w:rPr>
        <w:t>. Ханты-Мансийск, 202</w:t>
      </w:r>
      <w:r>
        <w:rPr>
          <w:rFonts w:ascii="Times New Roman" w:eastAsia="Times New Roman" w:hAnsi="Times New Roman" w:cs="Times New Roman"/>
        </w:rPr>
        <w:t>1</w:t>
      </w:r>
      <w:r w:rsidR="00421E8A" w:rsidRPr="00421E8A">
        <w:rPr>
          <w:rFonts w:ascii="Times New Roman" w:eastAsia="Times New Roman" w:hAnsi="Times New Roman" w:cs="Times New Roman"/>
        </w:rPr>
        <w:t xml:space="preserve"> г.</w:t>
      </w:r>
    </w:p>
    <w:bookmarkStart w:id="0" w:name="bookmark0" w:displacedByCustomXml="next"/>
    <w:sdt>
      <w:sdtP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id w:val="19873532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124E" w:rsidRPr="00DA124E" w:rsidRDefault="00DA124E" w:rsidP="00DA124E">
          <w:pPr>
            <w:pStyle w:val="ae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A12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124E" w:rsidRPr="00DA124E" w:rsidRDefault="00DA124E">
          <w:pPr>
            <w:pStyle w:val="13"/>
            <w:tabs>
              <w:tab w:val="right" w:leader="dot" w:pos="9730"/>
            </w:tabs>
            <w:rPr>
              <w:rFonts w:ascii="Times New Roman" w:hAnsi="Times New Roman" w:cs="Times New Roman"/>
              <w:noProof/>
            </w:rPr>
          </w:pPr>
          <w:r w:rsidRPr="00DA124E">
            <w:rPr>
              <w:rFonts w:ascii="Times New Roman" w:hAnsi="Times New Roman" w:cs="Times New Roman"/>
              <w:bCs/>
            </w:rPr>
            <w:fldChar w:fldCharType="begin"/>
          </w:r>
          <w:r w:rsidRPr="00DA124E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DA124E">
            <w:rPr>
              <w:rFonts w:ascii="Times New Roman" w:hAnsi="Times New Roman" w:cs="Times New Roman"/>
              <w:bCs/>
            </w:rPr>
            <w:fldChar w:fldCharType="separate"/>
          </w:r>
          <w:hyperlink w:anchor="_Toc53619828" w:history="1">
            <w:r w:rsidRPr="00DA124E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instrText xml:space="preserve"> PAGEREF _Toc53619828 \h </w:instrTex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24E" w:rsidRPr="00DA124E" w:rsidRDefault="00C757F3">
          <w:pPr>
            <w:pStyle w:val="13"/>
            <w:tabs>
              <w:tab w:val="right" w:leader="dot" w:pos="9730"/>
            </w:tabs>
            <w:rPr>
              <w:rFonts w:ascii="Times New Roman" w:hAnsi="Times New Roman" w:cs="Times New Roman"/>
              <w:noProof/>
            </w:rPr>
          </w:pPr>
          <w:hyperlink w:anchor="_Toc53619829" w:history="1">
            <w:r w:rsidR="00DA124E" w:rsidRPr="00DA124E">
              <w:rPr>
                <w:rStyle w:val="a3"/>
                <w:rFonts w:ascii="Times New Roman" w:hAnsi="Times New Roman" w:cs="Times New Roman"/>
                <w:noProof/>
              </w:rPr>
              <w:t>Индикаторы развития систем теплоснабжения города Ханты-Мансийска</w: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instrText xml:space="preserve"> PAGEREF _Toc53619829 \h </w:instrTex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24E" w:rsidRPr="00DA124E" w:rsidRDefault="00DA124E">
          <w:pPr>
            <w:rPr>
              <w:rFonts w:ascii="Times New Roman" w:hAnsi="Times New Roman" w:cs="Times New Roman"/>
            </w:rPr>
          </w:pPr>
          <w:r w:rsidRPr="00DA124E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A124E" w:rsidRDefault="00DA124E" w:rsidP="00DA124E">
      <w:pPr>
        <w:pStyle w:val="ad"/>
      </w:pPr>
      <w:bookmarkStart w:id="1" w:name="_Toc53619828"/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312654" w:rsidRPr="00421E8A" w:rsidRDefault="004E7573" w:rsidP="00421E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8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  <w:bookmarkEnd w:id="1"/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Предложения по строительству, реконструкции и техническому перевооружению источников тепловой энергии разрабатываются в соответствии подпунктом «ж» пункта 4, пунктом 13 и пунктом 48 «Требований к схемам теплоснабжения», утвержденных постановлением Правительства РФ от 22.02.2012 г. № 154 (далее - </w:t>
      </w:r>
      <w:r w:rsidR="002D34B4">
        <w:t>ПП</w:t>
      </w:r>
      <w:r>
        <w:t xml:space="preserve"> РФ № 154).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пунктами 13 и 48 Требований к схеме теплоснабжения должны быть разработаны и обоснованы:</w:t>
      </w:r>
    </w:p>
    <w:p w:rsidR="00312654" w:rsidRDefault="004E7573">
      <w:pPr>
        <w:pStyle w:val="20"/>
        <w:shd w:val="clear" w:color="auto" w:fill="auto"/>
        <w:tabs>
          <w:tab w:val="left" w:pos="984"/>
          <w:tab w:val="left" w:pos="2558"/>
          <w:tab w:val="left" w:pos="3043"/>
          <w:tab w:val="left" w:pos="4253"/>
          <w:tab w:val="left" w:pos="5885"/>
          <w:tab w:val="left" w:pos="7289"/>
          <w:tab w:val="left" w:pos="7642"/>
        </w:tabs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</w:t>
      </w:r>
      <w:r>
        <w:tab/>
        <w:t>по</w:t>
      </w:r>
      <w:r>
        <w:tab/>
        <w:t>величине</w:t>
      </w:r>
      <w:r>
        <w:tab/>
        <w:t>необходимых</w:t>
      </w:r>
      <w:r>
        <w:tab/>
        <w:t>инвестиций</w:t>
      </w:r>
      <w:r>
        <w:tab/>
        <w:t>в</w:t>
      </w:r>
      <w:r>
        <w:tab/>
        <w:t>строительство,</w:t>
      </w:r>
    </w:p>
    <w:p w:rsidR="00312654" w:rsidRDefault="004E7573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источников тепловой энергии на каждом этапе;</w:t>
      </w:r>
    </w:p>
    <w:p w:rsidR="00312654" w:rsidRDefault="004E7573">
      <w:pPr>
        <w:pStyle w:val="20"/>
        <w:shd w:val="clear" w:color="auto" w:fill="auto"/>
        <w:tabs>
          <w:tab w:val="left" w:pos="984"/>
          <w:tab w:val="left" w:pos="2558"/>
          <w:tab w:val="left" w:pos="3043"/>
          <w:tab w:val="left" w:pos="4253"/>
          <w:tab w:val="left" w:pos="5885"/>
          <w:tab w:val="left" w:pos="7289"/>
          <w:tab w:val="left" w:pos="7642"/>
        </w:tabs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</w:t>
      </w:r>
      <w:r>
        <w:tab/>
        <w:t>по</w:t>
      </w:r>
      <w:r>
        <w:tab/>
        <w:t>величине</w:t>
      </w:r>
      <w:r>
        <w:tab/>
        <w:t>необходимых</w:t>
      </w:r>
      <w:r>
        <w:tab/>
        <w:t>инвестиций</w:t>
      </w:r>
      <w:r>
        <w:tab/>
        <w:t>в</w:t>
      </w:r>
      <w:r>
        <w:tab/>
        <w:t>строительство,</w:t>
      </w:r>
    </w:p>
    <w:p w:rsidR="00312654" w:rsidRDefault="004E7573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тепловых сетей, насосных станций и тепловых пунктов на каждом этапе;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Pr="00C017FC">
        <w:rPr>
          <w:lang w:eastAsia="en-US" w:bidi="en-US"/>
        </w:rPr>
        <w:t xml:space="preserve"> </w:t>
      </w:r>
      <w:r>
        <w:t>предложения по источникам инвестиций, обеспечивающих финансовые потребности;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Pr="00C017FC">
        <w:rPr>
          <w:lang w:eastAsia="en-US" w:bidi="en-US"/>
        </w:rPr>
        <w:t xml:space="preserve"> </w:t>
      </w:r>
      <w:r>
        <w:t>расчеты эффективности инвестиций;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Существующее состояние теплоснабжения на территории города Ханты-Мансийска характеризуется значениями базовых индикаторов функционирования систем теплоснабжения, определенных при анализе существующего состояния.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  <w:sectPr w:rsidR="00312654" w:rsidSect="009F6C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Оценка значений индикаторов, планируемых на перспективу (на срок реализации схемы теплоснабжения), произведена при условии полной реализации проектов, пред</w:t>
      </w:r>
      <w:r>
        <w:softHyphen/>
        <w:t>ложенных к включению в утверждаемую часть схемы теплоснабжения.</w:t>
      </w:r>
    </w:p>
    <w:p w:rsidR="00312654" w:rsidRDefault="004E7573" w:rsidP="00421E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bookmarkStart w:id="3" w:name="_Toc53619829"/>
      <w:r w:rsidRPr="00421E8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Индикаторы развития систем теплоснабжения </w:t>
      </w:r>
      <w:bookmarkEnd w:id="2"/>
      <w:bookmarkEnd w:id="3"/>
      <w:r w:rsidR="007F495D" w:rsidRPr="007F49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округа Ханты-Мансийск Ханты-Мансийского автономного округа </w:t>
      </w:r>
      <w:r w:rsidR="007F495D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7F495D" w:rsidRPr="007F49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Югры</w:t>
      </w:r>
      <w:r w:rsidR="007F49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(далее – по тексту – город Ханты-Мансийск)</w:t>
      </w:r>
    </w:p>
    <w:p w:rsidR="00421E8A" w:rsidRPr="00421E8A" w:rsidRDefault="00421E8A" w:rsidP="00421E8A"/>
    <w:p w:rsidR="00312654" w:rsidRDefault="004E7573">
      <w:pPr>
        <w:pStyle w:val="20"/>
        <w:shd w:val="clear" w:color="auto" w:fill="auto"/>
        <w:spacing w:before="0" w:line="240" w:lineRule="exact"/>
        <w:ind w:firstLine="600"/>
        <w:jc w:val="both"/>
      </w:pPr>
      <w:r>
        <w:t>Индикаторы развития систем теплоснабжения и их изменение характеризуют: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8" w:lineRule="exact"/>
        <w:jc w:val="both"/>
      </w:pPr>
      <w:r>
        <w:t>физическую доступность теплоснабжения для потребителей города;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8" w:lineRule="exact"/>
        <w:jc w:val="both"/>
      </w:pPr>
      <w:r>
        <w:t>энергетическую эффективность, надежность и качество теплоснабжения в зонах действия источников тепловой энергии;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</w:pPr>
      <w:r>
        <w:t>развитие систем теплоснабжения и надежность теплоснабжения города в части тепловых сетей.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Индикаторы развития систем теплоснабжения муниципального образования город Ханты-Мансийск определены на весь период действия схемы теплоснабжения. Базовые значения целевых показателей отражают формирование перспективного спроса на тепловую мощность и тепловую энергию. Прогноз перспективного спроса на тепловую энергию формирует основные перспективные показатели производственных программ действующих и создаваемых теплоснабжающих и теплосетевых предприятий города в части товарного отпуска тепловой энергии.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Кроме этого дополнительно включены индикаторы, характеризующие эффективность функционирования системы теплоснабжения всего муниципального образования: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</w:pPr>
      <w:r>
        <w:t>отношение материальной характеристики тепловых сетей, реконструированных за год, к общей материальной характеристике тепловых сетей;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  <w:sectPr w:rsidR="00312654" w:rsidSect="009F6C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отношение установленной тепловой мощности оборудования источников, реконструированного за год, к общей установленной тепловой мощности источников тепловой энергии.</w:t>
      </w:r>
    </w:p>
    <w:p w:rsidR="00312654" w:rsidRDefault="004E7573">
      <w:pPr>
        <w:pStyle w:val="a8"/>
        <w:framePr w:w="20016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1 - Индикаторы развития систем теплоснабжения муниципального образования города Ханты-Мансийска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42"/>
        <w:gridCol w:w="1434"/>
        <w:gridCol w:w="1495"/>
        <w:gridCol w:w="2200"/>
        <w:gridCol w:w="1435"/>
        <w:gridCol w:w="1443"/>
        <w:gridCol w:w="1435"/>
        <w:gridCol w:w="1443"/>
        <w:gridCol w:w="1435"/>
        <w:gridCol w:w="1443"/>
        <w:gridCol w:w="1459"/>
      </w:tblGrid>
      <w:tr w:rsidR="00312654" w:rsidRPr="000E2125" w:rsidTr="002D34B4">
        <w:trPr>
          <w:trHeight w:hRule="exact" w:val="346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after="60" w:line="210" w:lineRule="exact"/>
              <w:ind w:left="300"/>
              <w:jc w:val="left"/>
            </w:pPr>
            <w:bookmarkStart w:id="4" w:name="_GoBack"/>
            <w:r w:rsidRPr="000E2125">
              <w:rPr>
                <w:rStyle w:val="2105pt"/>
                <w:b w:val="0"/>
              </w:rPr>
              <w:t>№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</w:pPr>
            <w:r w:rsidRPr="000E2125">
              <w:rPr>
                <w:rStyle w:val="2105pt"/>
                <w:b w:val="0"/>
              </w:rPr>
              <w:t>п/п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Наименование показателя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Ед. изм.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 w:rsidRPr="000E2125">
              <w:rPr>
                <w:rStyle w:val="2105pt"/>
                <w:b w:val="0"/>
              </w:rPr>
              <w:t>Фактические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120" w:line="210" w:lineRule="exact"/>
            </w:pPr>
            <w:r w:rsidRPr="000E2125">
              <w:rPr>
                <w:rStyle w:val="2105pt"/>
                <w:b w:val="0"/>
              </w:rPr>
              <w:t>значения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Плановые значения</w:t>
            </w:r>
          </w:p>
        </w:tc>
      </w:tr>
      <w:tr w:rsidR="00312654" w:rsidRPr="000E2125" w:rsidTr="002D34B4">
        <w:trPr>
          <w:trHeight w:hRule="exact" w:val="336"/>
          <w:jc w:val="center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в т.ч. по годам реализации</w:t>
            </w:r>
          </w:p>
        </w:tc>
      </w:tr>
      <w:tr w:rsidR="00312654" w:rsidRPr="000E2125" w:rsidTr="002D34B4">
        <w:trPr>
          <w:trHeight w:hRule="exact" w:val="336"/>
          <w:jc w:val="center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2024-2028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2029-2033</w:t>
            </w:r>
          </w:p>
        </w:tc>
      </w:tr>
      <w:tr w:rsidR="00312654" w:rsidRPr="000E2125" w:rsidTr="002D34B4">
        <w:trPr>
          <w:trHeight w:hRule="exact" w:val="331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0E2125">
              <w:rPr>
                <w:rStyle w:val="295pt"/>
                <w:i w:val="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 w:rsidP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"/>
                <w:i w:val="0"/>
              </w:rPr>
            </w:pPr>
            <w:r w:rsidRPr="000E2125">
              <w:rPr>
                <w:rStyle w:val="295pt"/>
                <w:i w:val="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 w:rsidP="000E2125">
            <w:pPr>
              <w:framePr w:w="20016" w:wrap="notBeside" w:vAnchor="text" w:hAnchor="text" w:xAlign="center" w:y="1"/>
              <w:jc w:val="center"/>
              <w:rPr>
                <w:rStyle w:val="295pt"/>
                <w:rFonts w:eastAsia="Arial Unicode MS"/>
                <w:i w:val="0"/>
              </w:rPr>
            </w:pPr>
            <w:r w:rsidRPr="000E2125">
              <w:rPr>
                <w:rStyle w:val="295pt"/>
                <w:rFonts w:eastAsia="Arial Unicode MS"/>
                <w:i w:val="0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12</w:t>
            </w:r>
          </w:p>
        </w:tc>
      </w:tr>
      <w:tr w:rsidR="00312654" w:rsidRPr="000E2125" w:rsidTr="002D34B4">
        <w:trPr>
          <w:trHeight w:hRule="exact" w:val="111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на 1 км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0,32</w:t>
            </w:r>
          </w:p>
        </w:tc>
      </w:tr>
      <w:tr w:rsidR="00312654" w:rsidRPr="000E2125" w:rsidTr="002D34B4">
        <w:trPr>
          <w:trHeight w:hRule="exact" w:val="1114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0E2125">
              <w:rPr>
                <w:rStyle w:val="2105pt"/>
                <w:b w:val="0"/>
              </w:rPr>
              <w:t>на 1 Гкал/час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1,2</w:t>
            </w:r>
          </w:p>
        </w:tc>
      </w:tr>
      <w:tr w:rsidR="00312654" w:rsidRPr="000E2125" w:rsidTr="002D34B4">
        <w:trPr>
          <w:trHeight w:hRule="exact" w:val="408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3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proofErr w:type="spellStart"/>
            <w:r w:rsidRPr="000E2125">
              <w:rPr>
                <w:rStyle w:val="2105pt"/>
                <w:b w:val="0"/>
              </w:rPr>
              <w:t>т.у.т</w:t>
            </w:r>
            <w:proofErr w:type="spellEnd"/>
            <w:r w:rsidRPr="000E2125">
              <w:rPr>
                <w:rStyle w:val="2105pt"/>
                <w:b w:val="0"/>
              </w:rPr>
              <w:t>./Гкал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162,5</w:t>
            </w:r>
          </w:p>
        </w:tc>
      </w:tr>
      <w:tr w:rsidR="00312654" w:rsidRPr="000E2125" w:rsidTr="002D34B4">
        <w:trPr>
          <w:trHeight w:hRule="exact" w:val="350"/>
          <w:jc w:val="center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 w:rsidRPr="000E2125">
              <w:rPr>
                <w:rStyle w:val="2105pt"/>
                <w:b w:val="0"/>
              </w:rPr>
              <w:t>т.у.т</w:t>
            </w:r>
            <w:proofErr w:type="spellEnd"/>
            <w:r w:rsidRPr="000E2125">
              <w:rPr>
                <w:rStyle w:val="2105pt"/>
                <w:b w:val="0"/>
              </w:rPr>
              <w:t>./м</w:t>
            </w:r>
            <w:r w:rsidRPr="000E2125">
              <w:rPr>
                <w:rStyle w:val="2105pt"/>
                <w:b w:val="0"/>
                <w:vertAlign w:val="superscript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141,3</w:t>
            </w:r>
          </w:p>
        </w:tc>
      </w:tr>
      <w:tr w:rsidR="00312654" w:rsidRPr="000E2125" w:rsidTr="002D34B4">
        <w:trPr>
          <w:trHeight w:hRule="exact" w:val="619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 w:rsidRPr="000E2125">
              <w:rPr>
                <w:rStyle w:val="2105pt"/>
                <w:b w:val="0"/>
              </w:rPr>
              <w:t>кВтч</w:t>
            </w:r>
            <w:proofErr w:type="spellEnd"/>
            <w:r w:rsidRPr="000E2125">
              <w:rPr>
                <w:rStyle w:val="2105pt"/>
                <w:b w:val="0"/>
              </w:rPr>
              <w:t>/м</w:t>
            </w:r>
            <w:r w:rsidRPr="000E2125">
              <w:rPr>
                <w:rStyle w:val="2105pt"/>
                <w:b w:val="0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0,32</w:t>
            </w:r>
          </w:p>
        </w:tc>
      </w:tr>
      <w:tr w:rsidR="00312654" w:rsidRPr="000E2125" w:rsidTr="002D34B4">
        <w:trPr>
          <w:trHeight w:hRule="exact" w:val="57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электрической энергии на выработку тепловой энергии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proofErr w:type="spellStart"/>
            <w:r w:rsidRPr="000E2125">
              <w:rPr>
                <w:rStyle w:val="2105pt"/>
                <w:b w:val="0"/>
              </w:rPr>
              <w:t>кВтч</w:t>
            </w:r>
            <w:proofErr w:type="spellEnd"/>
            <w:r w:rsidRPr="000E2125">
              <w:rPr>
                <w:rStyle w:val="2105pt"/>
                <w:b w:val="0"/>
              </w:rPr>
              <w:t>/Гкал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25,2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22</w:t>
            </w:r>
          </w:p>
        </w:tc>
      </w:tr>
      <w:tr w:rsidR="00312654" w:rsidRPr="000E2125" w:rsidTr="002D34B4">
        <w:trPr>
          <w:trHeight w:hRule="exact" w:val="576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Объем присоединяемой тепловой нагрузки новых потребителей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Гкал/ч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38,26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62,45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83,28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108,06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121,7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121,42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289,16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416,93</w:t>
            </w:r>
          </w:p>
        </w:tc>
      </w:tr>
      <w:tr w:rsidR="00312654" w:rsidRPr="000E2125" w:rsidTr="002D34B4">
        <w:trPr>
          <w:trHeight w:hRule="exact" w:val="1114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40,6%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40,0%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36,0%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32,0%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28,0%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24,0%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14,0%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9,0%</w:t>
            </w:r>
          </w:p>
        </w:tc>
      </w:tr>
      <w:tr w:rsidR="00312654" w:rsidRPr="000E2125" w:rsidTr="002D34B4">
        <w:trPr>
          <w:trHeight w:hRule="exact" w:val="336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7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E2125">
              <w:rPr>
                <w:rStyle w:val="2105pt"/>
                <w:b w:val="0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Гкал в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47059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57411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58906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61043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61717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62620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63275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83258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89202</w:t>
            </w:r>
          </w:p>
        </w:tc>
      </w:tr>
      <w:tr w:rsidR="00312654" w:rsidRPr="000E2125" w:rsidTr="002D34B4">
        <w:trPr>
          <w:trHeight w:hRule="exact" w:val="845"/>
          <w:jc w:val="center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% от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полезного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отпуска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8,1%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9,7%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9,7%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8,6%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8,8%</w:t>
            </w:r>
          </w:p>
        </w:tc>
      </w:tr>
      <w:tr w:rsidR="00312654" w:rsidRPr="000E2125" w:rsidTr="002D34B4">
        <w:trPr>
          <w:trHeight w:hRule="exact" w:val="100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 w:rsidRPr="000E2125">
              <w:rPr>
                <w:rStyle w:val="2105pt"/>
                <w:b w:val="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м</w:t>
            </w:r>
            <w:r w:rsidRPr="000E2125">
              <w:rPr>
                <w:rStyle w:val="2105pt"/>
                <w:b w:val="0"/>
                <w:vertAlign w:val="superscript"/>
              </w:rPr>
              <w:t>2</w:t>
            </w:r>
            <w:r w:rsidRPr="000E2125">
              <w:rPr>
                <w:rStyle w:val="2105pt"/>
                <w:b w:val="0"/>
              </w:rPr>
              <w:t>/км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</w:tr>
      <w:bookmarkEnd w:id="4"/>
    </w:tbl>
    <w:p w:rsidR="00312654" w:rsidRDefault="00312654">
      <w:pPr>
        <w:framePr w:w="20016" w:wrap="notBeside" w:vAnchor="text" w:hAnchor="text" w:xAlign="center" w:y="1"/>
        <w:rPr>
          <w:sz w:val="2"/>
          <w:szCs w:val="2"/>
        </w:rPr>
      </w:pPr>
    </w:p>
    <w:p w:rsidR="00312654" w:rsidRDefault="00312654">
      <w:pPr>
        <w:rPr>
          <w:sz w:val="2"/>
          <w:szCs w:val="2"/>
        </w:rPr>
      </w:pPr>
    </w:p>
    <w:p w:rsidR="00312654" w:rsidRDefault="00312654">
      <w:pPr>
        <w:rPr>
          <w:sz w:val="2"/>
          <w:szCs w:val="2"/>
        </w:rPr>
      </w:pPr>
    </w:p>
    <w:sectPr w:rsidR="00312654" w:rsidSect="009F6CFA">
      <w:pgSz w:w="23800" w:h="16840" w:orient="landscape"/>
      <w:pgMar w:top="2125" w:right="2672" w:bottom="2125" w:left="1112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F3" w:rsidRDefault="00C757F3">
      <w:r>
        <w:separator/>
      </w:r>
    </w:p>
  </w:endnote>
  <w:endnote w:type="continuationSeparator" w:id="0">
    <w:p w:rsidR="00C757F3" w:rsidRDefault="00C7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DA12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DA12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DA124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31265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31265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3126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F3" w:rsidRDefault="00C757F3"/>
  </w:footnote>
  <w:footnote w:type="continuationSeparator" w:id="0">
    <w:p w:rsidR="00C757F3" w:rsidRDefault="00C75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C757F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4" o:spid="_x0000_s2061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C757F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5" o:spid="_x0000_s2062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E" w:rsidRDefault="00C757F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3" o:spid="_x0000_s2060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C757F3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7" o:spid="_x0000_s2064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C757F3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8" o:spid="_x0000_s2065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4" w:rsidRDefault="00C757F3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6" o:spid="_x0000_s2063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214"/>
    <w:multiLevelType w:val="multilevel"/>
    <w:tmpl w:val="6B8A0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2654"/>
    <w:rsid w:val="000E2125"/>
    <w:rsid w:val="002D34B4"/>
    <w:rsid w:val="00312654"/>
    <w:rsid w:val="003B46A0"/>
    <w:rsid w:val="00421E8A"/>
    <w:rsid w:val="004E7573"/>
    <w:rsid w:val="007F495D"/>
    <w:rsid w:val="008958E2"/>
    <w:rsid w:val="009F6CFA"/>
    <w:rsid w:val="00A50F79"/>
    <w:rsid w:val="00C017FC"/>
    <w:rsid w:val="00C757F3"/>
    <w:rsid w:val="00DA124E"/>
    <w:rsid w:val="00D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1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F6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CFA"/>
    <w:rPr>
      <w:color w:val="000000"/>
    </w:rPr>
  </w:style>
  <w:style w:type="paragraph" w:styleId="ab">
    <w:name w:val="footer"/>
    <w:basedOn w:val="a"/>
    <w:link w:val="ac"/>
    <w:uiPriority w:val="99"/>
    <w:unhideWhenUsed/>
    <w:rsid w:val="009F6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CFA"/>
    <w:rPr>
      <w:color w:val="000000"/>
    </w:rPr>
  </w:style>
  <w:style w:type="paragraph" w:styleId="ad">
    <w:name w:val="No Spacing"/>
    <w:uiPriority w:val="1"/>
    <w:qFormat/>
    <w:rsid w:val="00421E8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1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DA124E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A124E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0E21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21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Шеболдасов Олег Михайлович</cp:lastModifiedBy>
  <cp:revision>14</cp:revision>
  <dcterms:created xsi:type="dcterms:W3CDTF">2020-08-18T02:25:00Z</dcterms:created>
  <dcterms:modified xsi:type="dcterms:W3CDTF">2021-06-28T13:45:00Z</dcterms:modified>
</cp:coreProperties>
</file>