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0C" w:rsidRDefault="000C110C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ED6F91" w:rsidRPr="00B400B1" w:rsidRDefault="00ED6F91" w:rsidP="00ED6F9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Актуализация схемы теплоснабжения </w:t>
      </w:r>
      <w:r w:rsidR="00735F85">
        <w:rPr>
          <w:rFonts w:ascii="Times New Roman" w:hAnsi="Times New Roman" w:cs="Times New Roman"/>
          <w:b/>
          <w:sz w:val="28"/>
          <w:szCs w:val="28"/>
        </w:rPr>
        <w:t>городского округа Ханты-Мансийск Ханты-Мансийского автономного округа - Югры</w:t>
      </w:r>
    </w:p>
    <w:p w:rsidR="00ED6F91" w:rsidRPr="00B400B1" w:rsidRDefault="00ED6F91" w:rsidP="00ED6F9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ED6F91" w:rsidRPr="00142019" w:rsidRDefault="00ED6F91" w:rsidP="00ED6F9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D6F91" w:rsidRPr="00ED6F91" w:rsidRDefault="00ED6F91" w:rsidP="00ED6F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91">
        <w:rPr>
          <w:rFonts w:ascii="Times New Roman" w:hAnsi="Times New Roman" w:cs="Times New Roman"/>
          <w:b/>
          <w:sz w:val="28"/>
          <w:szCs w:val="28"/>
        </w:rPr>
        <w:t>Предложения по переводу открытых систем</w:t>
      </w:r>
    </w:p>
    <w:p w:rsidR="00ED6F91" w:rsidRPr="00ED6F91" w:rsidRDefault="00ED6F91" w:rsidP="00ED6F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91">
        <w:rPr>
          <w:rFonts w:ascii="Times New Roman" w:hAnsi="Times New Roman" w:cs="Times New Roman"/>
          <w:b/>
          <w:sz w:val="28"/>
          <w:szCs w:val="28"/>
        </w:rPr>
        <w:t>теплоснабжения (горячего водоснабжения) в закрытые</w:t>
      </w:r>
    </w:p>
    <w:p w:rsidR="006538BD" w:rsidRDefault="00ED6F91" w:rsidP="00ED6F91">
      <w:pPr>
        <w:spacing w:line="360" w:lineRule="auto"/>
        <w:jc w:val="center"/>
        <w:rPr>
          <w:sz w:val="2"/>
          <w:szCs w:val="2"/>
        </w:rPr>
      </w:pPr>
      <w:r w:rsidRPr="00ED6F91">
        <w:rPr>
          <w:rFonts w:ascii="Times New Roman" w:hAnsi="Times New Roman" w:cs="Times New Roman"/>
          <w:b/>
          <w:sz w:val="28"/>
          <w:szCs w:val="28"/>
        </w:rPr>
        <w:t>системы горячего водоснабжения</w:t>
      </w:r>
    </w:p>
    <w:p w:rsidR="000C110C" w:rsidRDefault="000C110C">
      <w:pPr>
        <w:pStyle w:val="40"/>
        <w:shd w:val="clear" w:color="auto" w:fill="auto"/>
        <w:spacing w:after="1371" w:line="509" w:lineRule="exact"/>
        <w:ind w:right="6060"/>
        <w:jc w:val="left"/>
      </w:pPr>
    </w:p>
    <w:p w:rsidR="006538BD" w:rsidRDefault="006538BD">
      <w:pPr>
        <w:pStyle w:val="40"/>
        <w:shd w:val="clear" w:color="auto" w:fill="auto"/>
        <w:spacing w:after="1371" w:line="509" w:lineRule="exact"/>
        <w:ind w:right="6060"/>
        <w:jc w:val="left"/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1A20D9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  <w:r>
        <w:rPr>
          <w:b w:val="0"/>
        </w:rPr>
        <w:t>г</w:t>
      </w:r>
      <w:r w:rsidR="00ED6F91" w:rsidRPr="00ED6F91">
        <w:rPr>
          <w:b w:val="0"/>
        </w:rPr>
        <w:t>. Ханты-Мансийск, 202</w:t>
      </w:r>
      <w:r>
        <w:rPr>
          <w:b w:val="0"/>
        </w:rPr>
        <w:t>1</w:t>
      </w:r>
      <w:r w:rsidR="00ED6F91" w:rsidRPr="00ED6F91">
        <w:rPr>
          <w:b w:val="0"/>
        </w:rPr>
        <w:t xml:space="preserve"> г.</w:t>
      </w:r>
    </w:p>
    <w:sdt>
      <w:sdtPr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  <w:lang w:bidi="ru-RU"/>
        </w:rPr>
        <w:id w:val="-557480838"/>
        <w:docPartObj>
          <w:docPartGallery w:val="Table of Contents"/>
          <w:docPartUnique/>
        </w:docPartObj>
      </w:sdtPr>
      <w:sdtEndPr>
        <w:rPr>
          <w:rFonts w:ascii="Arial Unicode MS" w:hAnsi="Arial Unicode MS" w:cs="Arial Unicode MS"/>
          <w:color w:val="000000"/>
        </w:rPr>
      </w:sdtEndPr>
      <w:sdtContent>
        <w:p w:rsidR="00ED6F91" w:rsidRPr="002A7857" w:rsidRDefault="00ED6F91" w:rsidP="002A7857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2A785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D6F91" w:rsidRPr="002A7857" w:rsidRDefault="00ED6F91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r w:rsidRPr="002A7857">
            <w:rPr>
              <w:rFonts w:ascii="Times New Roman" w:hAnsi="Times New Roman" w:cs="Times New Roman"/>
              <w:color w:val="auto"/>
            </w:rPr>
            <w:fldChar w:fldCharType="begin"/>
          </w:r>
          <w:r w:rsidRPr="002A7857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2A7857">
            <w:rPr>
              <w:rFonts w:ascii="Times New Roman" w:hAnsi="Times New Roman" w:cs="Times New Roman"/>
              <w:color w:val="auto"/>
            </w:rPr>
            <w:fldChar w:fldCharType="separate"/>
          </w:r>
          <w:hyperlink w:anchor="_Toc53499902" w:history="1">
            <w:r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АННОТАЦИЯ</w:t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_Toc53499902 \h </w:instrText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A60EB6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3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ОГЛАВЛЕНИЕ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_Toc53499903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4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A60EB6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4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ВВЕДЕНИЕ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_Toc53499904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5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A60EB6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5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_Toc53499905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8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A60EB6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6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Выбор и обоснование метода регулирования отпуска тепловой энергии от источников тепловой энергии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_Toc53499906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9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A60EB6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7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Предложения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_Toc53499907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9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A60EB6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8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Расчет потребности инвестиций для перевода открытой системы теплоснабжения (горячего водоснабжения) в закрытую систему горячего водоснабжения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_Toc53499908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9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A60EB6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9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Оценку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_Toc53499909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A60EB6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10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Предложения по источникам инвестиций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_Toc53499910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0C110C" w:rsidRDefault="00ED6F91" w:rsidP="000F36C0">
          <w:pPr>
            <w:sectPr w:rsidR="000C110C" w:rsidSect="00A253EF">
              <w:headerReference w:type="even" r:id="rId9"/>
              <w:headerReference w:type="default" r:id="rId10"/>
              <w:footerReference w:type="default" r:id="rId11"/>
              <w:headerReference w:type="first" r:id="rId12"/>
              <w:pgSz w:w="11900" w:h="16840"/>
              <w:pgMar w:top="1440" w:right="1080" w:bottom="1440" w:left="1080" w:header="0" w:footer="3" w:gutter="0"/>
              <w:pgBorders w:offsetFrom="page">
                <w:top w:val="threeDEngrave" w:sz="24" w:space="24" w:color="auto"/>
                <w:left w:val="threeDEngrave" w:sz="24" w:space="24" w:color="auto"/>
                <w:bottom w:val="threeDEmboss" w:sz="24" w:space="24" w:color="auto"/>
                <w:right w:val="threeDEmboss" w:sz="24" w:space="24" w:color="auto"/>
              </w:pgBorders>
              <w:cols w:space="720"/>
              <w:noEndnote/>
              <w:docGrid w:linePitch="360"/>
            </w:sectPr>
          </w:pPr>
          <w:r w:rsidRPr="002A7857">
            <w:rPr>
              <w:rFonts w:ascii="Times New Roman" w:hAnsi="Times New Roman" w:cs="Times New Roman"/>
              <w:b/>
              <w:bCs/>
              <w:color w:val="auto"/>
            </w:rPr>
            <w:fldChar w:fldCharType="end"/>
          </w:r>
        </w:p>
      </w:sdtContent>
    </w:sdt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499905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Технико-экономическое обоснование предложений по типам присоединений </w:t>
      </w:r>
      <w:proofErr w:type="spellStart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теплопотребляющих</w:t>
      </w:r>
      <w:proofErr w:type="spellEnd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0"/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В соответствии с п. 10. ФЗ №417 от 07.12.2011 г.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водоотведении»:</w:t>
      </w:r>
    </w:p>
    <w:p w:rsidR="000C110C" w:rsidRDefault="00A253EF">
      <w:pPr>
        <w:pStyle w:val="20"/>
        <w:numPr>
          <w:ilvl w:val="0"/>
          <w:numId w:val="4"/>
        </w:numPr>
        <w:shd w:val="clear" w:color="auto" w:fill="auto"/>
        <w:spacing w:before="0"/>
        <w:ind w:left="320" w:right="320" w:firstLine="560"/>
      </w:pPr>
      <w:r>
        <w:t xml:space="preserve">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0C110C" w:rsidRDefault="00A253EF">
      <w:pPr>
        <w:pStyle w:val="20"/>
        <w:numPr>
          <w:ilvl w:val="0"/>
          <w:numId w:val="4"/>
        </w:numPr>
        <w:shd w:val="clear" w:color="auto" w:fill="auto"/>
        <w:spacing w:before="0"/>
        <w:ind w:left="320" w:right="320" w:firstLine="560"/>
      </w:pPr>
      <w:r>
        <w:t xml:space="preserve">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0C110C" w:rsidRDefault="00A253EF">
      <w:pPr>
        <w:pStyle w:val="20"/>
        <w:shd w:val="clear" w:color="auto" w:fill="auto"/>
        <w:spacing w:before="0" w:after="116"/>
        <w:ind w:left="320" w:right="320" w:firstLine="560"/>
      </w:pPr>
      <w:r>
        <w:t>Дл</w:t>
      </w:r>
      <w:r w:rsidR="001A20D9">
        <w:t>я системы теплоснабжения города</w:t>
      </w:r>
      <w:r>
        <w:t xml:space="preserve"> Ханты-Мансийска характерны следующие типы присоединения </w:t>
      </w:r>
      <w:proofErr w:type="spellStart"/>
      <w:r>
        <w:t>теплопотребляющих</w:t>
      </w:r>
      <w:proofErr w:type="spellEnd"/>
      <w:r>
        <w:t xml:space="preserve"> установок потребителей к тепловым сетям:</w:t>
      </w:r>
    </w:p>
    <w:p w:rsidR="000C110C" w:rsidRDefault="00A253EF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before="0" w:line="418" w:lineRule="exact"/>
        <w:ind w:left="320" w:right="320" w:firstLine="560"/>
      </w:pPr>
      <w:r>
        <w:t>ЦТП (ИТП) с зависимой схемой присоединения систем отопления (при температурном графике отпуска тепла от источника в тепловые сети 95-70 °С);</w:t>
      </w:r>
    </w:p>
    <w:p w:rsidR="000C110C" w:rsidRDefault="00A253EF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before="0" w:line="418" w:lineRule="exact"/>
        <w:ind w:left="320" w:right="320" w:firstLine="560"/>
      </w:pPr>
      <w:r>
        <w:t>ЦТП (ИТП) с независимой схемой присоединения систем отопления (при температурном графике отпуска тепла от источника в тепловые сети 110-70 °С, 115-70 °С);</w:t>
      </w:r>
    </w:p>
    <w:p w:rsidR="000C110C" w:rsidRDefault="00A253EF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before="0" w:line="418" w:lineRule="exact"/>
        <w:ind w:left="320" w:right="320" w:firstLine="560"/>
        <w:sectPr w:rsidR="000C110C" w:rsidSect="00ED6F9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Система горячего водоснабжения - закрытая. Подготовка воды для горячего водоснабжения потребителей осуществляется либо непосредственно в бойлерной котельной либо в водо-водяных подогревателях, установленных в ЦТП (ИТП).</w:t>
      </w:r>
    </w:p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3"/>
      <w:bookmarkStart w:id="2" w:name="_Toc53499906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Выбор и обоснование метода регулирования отпуска тепловой энергии</w:t>
      </w:r>
      <w:bookmarkEnd w:id="1"/>
      <w:r w:rsidR="00ED6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от источников тепловой энергии</w:t>
      </w:r>
      <w:bookmarkEnd w:id="2"/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сезона внешних климатических условиях и заданной температуры горячей воды, поступающей в системы горячего водоснабжения при изменяющемся в течение суток расходе этой воды.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В соответствии с СП 124.13330.2012 «Тепловые сети» Актуализированная редакция СНиП 41-02-2003 при отпуске тепла от источников тепловой э</w:t>
      </w:r>
      <w:r w:rsidR="001A20D9">
        <w:t>нергии системы теплоснабжения города</w:t>
      </w:r>
      <w:r>
        <w:t xml:space="preserve"> Ханты-Мансийска применяется качественное регулирование (по нагрузке отопления или по совмещенной нагрузке отопления и горячего водоснабжения) согласно графику изменения температуры воды в зависимости от температуры наружного воздуха.</w:t>
      </w:r>
    </w:p>
    <w:p w:rsidR="000C110C" w:rsidRDefault="00A253EF">
      <w:pPr>
        <w:pStyle w:val="20"/>
        <w:shd w:val="clear" w:color="auto" w:fill="auto"/>
        <w:spacing w:before="0" w:after="332"/>
        <w:ind w:left="320" w:right="320" w:firstLine="560"/>
      </w:pPr>
      <w:r>
        <w:t xml:space="preserve">Регулирование отпуска тепловой энергии от котельных теплоснабжающей организации АО «Управление теплоснабжения и инженерных сетей» производится по температурным графикам </w:t>
      </w:r>
      <w:r w:rsidRPr="006538BD">
        <w:rPr>
          <w:lang w:eastAsia="en-US" w:bidi="en-US"/>
        </w:rPr>
        <w:t>95-70°</w:t>
      </w:r>
      <w:r>
        <w:rPr>
          <w:lang w:val="en-US" w:eastAsia="en-US" w:bidi="en-US"/>
        </w:rPr>
        <w:t>C</w:t>
      </w:r>
      <w:r w:rsidRPr="006538BD">
        <w:rPr>
          <w:lang w:eastAsia="en-US" w:bidi="en-US"/>
        </w:rPr>
        <w:t xml:space="preserve"> </w:t>
      </w:r>
      <w:r>
        <w:t xml:space="preserve">и </w:t>
      </w:r>
      <w:r w:rsidRPr="006538BD">
        <w:rPr>
          <w:lang w:eastAsia="en-US" w:bidi="en-US"/>
        </w:rPr>
        <w:t>110-70°</w:t>
      </w:r>
      <w:r>
        <w:rPr>
          <w:lang w:val="en-US" w:eastAsia="en-US" w:bidi="en-US"/>
        </w:rPr>
        <w:t>C</w:t>
      </w:r>
      <w:r w:rsidRPr="006538BD">
        <w:rPr>
          <w:lang w:eastAsia="en-US" w:bidi="en-US"/>
        </w:rPr>
        <w:t>.</w:t>
      </w:r>
    </w:p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4"/>
      <w:bookmarkStart w:id="4" w:name="_Toc53499907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Предложения по реконструкции тепловых сетей для обеспечения</w:t>
      </w:r>
      <w:bookmarkEnd w:id="3"/>
      <w:r w:rsidR="00ED6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передачи тепловой энергии при переходе от открытой системы</w:t>
      </w:r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br/>
        <w:t>теплоснабжения (горячего водоснабжения) к закрытой системе горячего</w:t>
      </w:r>
      <w:r w:rsidR="00ED6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водоснабжения</w:t>
      </w:r>
      <w:bookmarkEnd w:id="4"/>
    </w:p>
    <w:p w:rsidR="000C110C" w:rsidRDefault="00A253EF" w:rsidP="00DA03CE">
      <w:pPr>
        <w:pStyle w:val="20"/>
        <w:shd w:val="clear" w:color="auto" w:fill="auto"/>
        <w:tabs>
          <w:tab w:val="left" w:pos="1994"/>
          <w:tab w:val="left" w:pos="2805"/>
          <w:tab w:val="left" w:pos="3304"/>
          <w:tab w:val="left" w:pos="5301"/>
          <w:tab w:val="left" w:pos="6112"/>
          <w:tab w:val="left" w:pos="7485"/>
          <w:tab w:val="left" w:pos="8733"/>
        </w:tabs>
        <w:spacing w:before="0"/>
        <w:ind w:left="320" w:firstLine="560"/>
      </w:pPr>
      <w:r>
        <w:t>Данный</w:t>
      </w:r>
      <w:r w:rsidR="00DA03CE">
        <w:t xml:space="preserve"> </w:t>
      </w:r>
      <w:r>
        <w:t>раздел</w:t>
      </w:r>
      <w:r w:rsidR="00DA03CE">
        <w:t xml:space="preserve"> </w:t>
      </w:r>
      <w:r>
        <w:t>не</w:t>
      </w:r>
      <w:r w:rsidR="00DA03CE">
        <w:t xml:space="preserve"> </w:t>
      </w:r>
      <w:r>
        <w:t>рассматривается</w:t>
      </w:r>
      <w:r w:rsidR="00DA03CE">
        <w:t xml:space="preserve"> </w:t>
      </w:r>
      <w:r>
        <w:t>ввиду</w:t>
      </w:r>
      <w:r w:rsidR="00DA03CE">
        <w:t xml:space="preserve"> </w:t>
      </w:r>
      <w:r>
        <w:t>отсутствия</w:t>
      </w:r>
      <w:r w:rsidR="00DA03CE">
        <w:t xml:space="preserve"> </w:t>
      </w:r>
      <w:r>
        <w:t>открытой</w:t>
      </w:r>
      <w:r w:rsidR="00DA03CE">
        <w:t xml:space="preserve"> </w:t>
      </w:r>
      <w:r>
        <w:t>системы</w:t>
      </w:r>
      <w:r w:rsidR="00DA03CE">
        <w:t xml:space="preserve"> </w:t>
      </w:r>
      <w:r>
        <w:t>теплоснабжения (горячего водоснабже</w:t>
      </w:r>
      <w:r w:rsidR="001A20D9">
        <w:t>ния) в системе теплоснабжения города</w:t>
      </w:r>
      <w:r>
        <w:t xml:space="preserve"> Ханты-Мансийска.</w:t>
      </w:r>
      <w:bookmarkStart w:id="5" w:name="_GoBack"/>
      <w:bookmarkEnd w:id="5"/>
    </w:p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5"/>
      <w:bookmarkStart w:id="7" w:name="_Toc53499908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Расчет потребности инвестиций для перевода открытой системы теплоснабжения (горячего водоснабжения) в закрытую систему</w:t>
      </w:r>
      <w:bookmarkEnd w:id="6"/>
      <w:r w:rsidR="00ED6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горячего водоснабжения</w:t>
      </w:r>
      <w:bookmarkEnd w:id="7"/>
    </w:p>
    <w:p w:rsidR="000C110C" w:rsidRDefault="00A253EF" w:rsidP="00DA03CE">
      <w:pPr>
        <w:pStyle w:val="20"/>
        <w:shd w:val="clear" w:color="auto" w:fill="auto"/>
        <w:tabs>
          <w:tab w:val="left" w:pos="1994"/>
          <w:tab w:val="left" w:pos="2805"/>
          <w:tab w:val="left" w:pos="3304"/>
          <w:tab w:val="left" w:pos="5301"/>
          <w:tab w:val="left" w:pos="6112"/>
          <w:tab w:val="left" w:pos="7485"/>
          <w:tab w:val="left" w:pos="8733"/>
        </w:tabs>
        <w:spacing w:before="0"/>
        <w:ind w:left="320" w:firstLine="560"/>
        <w:sectPr w:rsidR="000C110C" w:rsidSect="00A253EF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Данный</w:t>
      </w:r>
      <w:r w:rsidR="00DA03CE">
        <w:t xml:space="preserve"> </w:t>
      </w:r>
      <w:r>
        <w:t>раздел</w:t>
      </w:r>
      <w:r w:rsidR="00DA03CE">
        <w:t xml:space="preserve"> </w:t>
      </w:r>
      <w:r>
        <w:t>не</w:t>
      </w:r>
      <w:r w:rsidR="00DA03CE">
        <w:t xml:space="preserve"> </w:t>
      </w:r>
      <w:r>
        <w:t>рассматривается</w:t>
      </w:r>
      <w:r w:rsidR="00DA03CE">
        <w:t xml:space="preserve"> </w:t>
      </w:r>
      <w:r>
        <w:t>ввиду</w:t>
      </w:r>
      <w:r w:rsidR="00DA03CE">
        <w:t xml:space="preserve"> </w:t>
      </w:r>
      <w:r>
        <w:t>отсутствия</w:t>
      </w:r>
      <w:r w:rsidR="00DA03CE">
        <w:t xml:space="preserve"> </w:t>
      </w:r>
      <w:r>
        <w:t>открытой</w:t>
      </w:r>
      <w:r w:rsidR="00DA03CE">
        <w:t xml:space="preserve"> </w:t>
      </w:r>
      <w:r>
        <w:t>системы</w:t>
      </w:r>
      <w:r w:rsidR="00DA03CE">
        <w:t xml:space="preserve"> </w:t>
      </w:r>
      <w:r>
        <w:t>теплоснабжения (горячего водоснабже</w:t>
      </w:r>
      <w:r w:rsidR="001A20D9">
        <w:t>ния) в системе теплоснабжения города</w:t>
      </w:r>
      <w:r>
        <w:t xml:space="preserve"> Ханты-Мансийска.</w:t>
      </w:r>
    </w:p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3499909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Оценку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</w:r>
      <w:bookmarkEnd w:id="8"/>
    </w:p>
    <w:p w:rsidR="000C110C" w:rsidRDefault="00A253EF">
      <w:pPr>
        <w:pStyle w:val="20"/>
        <w:shd w:val="clear" w:color="auto" w:fill="auto"/>
        <w:tabs>
          <w:tab w:val="left" w:pos="2045"/>
          <w:tab w:val="left" w:pos="2838"/>
          <w:tab w:val="left" w:pos="3323"/>
          <w:tab w:val="left" w:pos="5310"/>
          <w:tab w:val="left" w:pos="6141"/>
          <w:tab w:val="left" w:pos="7507"/>
          <w:tab w:val="left" w:pos="8771"/>
        </w:tabs>
        <w:spacing w:before="0" w:after="128" w:line="220" w:lineRule="exact"/>
        <w:ind w:left="880"/>
      </w:pPr>
      <w:r>
        <w:t>Данный</w:t>
      </w:r>
      <w:r>
        <w:tab/>
        <w:t>раздел</w:t>
      </w:r>
      <w:r>
        <w:tab/>
        <w:t>не</w:t>
      </w:r>
      <w:r>
        <w:tab/>
        <w:t>рассматривается</w:t>
      </w:r>
      <w:r>
        <w:tab/>
        <w:t>ввиду</w:t>
      </w:r>
      <w:r>
        <w:tab/>
        <w:t>отсутствия</w:t>
      </w:r>
      <w:r>
        <w:tab/>
        <w:t>открытой</w:t>
      </w:r>
      <w:r>
        <w:tab/>
        <w:t>системы</w:t>
      </w:r>
    </w:p>
    <w:p w:rsidR="000C110C" w:rsidRDefault="00A253EF">
      <w:pPr>
        <w:pStyle w:val="20"/>
        <w:shd w:val="clear" w:color="auto" w:fill="auto"/>
        <w:spacing w:before="0" w:after="657" w:line="220" w:lineRule="exact"/>
        <w:ind w:left="320"/>
        <w:jc w:val="left"/>
      </w:pPr>
      <w:r>
        <w:t>теплоснабжения (горячего водоснабжения) в системе теплоснабжения</w:t>
      </w:r>
      <w:r w:rsidR="001A20D9">
        <w:t xml:space="preserve"> города</w:t>
      </w:r>
      <w:r>
        <w:t xml:space="preserve"> Ханты-Мансийска.</w:t>
      </w:r>
    </w:p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bookmark6"/>
      <w:bookmarkStart w:id="10" w:name="_Toc53499910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Предложения по источникам инвестиций</w:t>
      </w:r>
      <w:bookmarkEnd w:id="9"/>
      <w:bookmarkEnd w:id="10"/>
    </w:p>
    <w:p w:rsidR="000C110C" w:rsidRDefault="00DD7F0C" w:rsidP="00DD7F0C">
      <w:pPr>
        <w:pStyle w:val="20"/>
        <w:shd w:val="clear" w:color="auto" w:fill="auto"/>
        <w:tabs>
          <w:tab w:val="left" w:pos="709"/>
          <w:tab w:val="left" w:pos="2838"/>
          <w:tab w:val="left" w:pos="3323"/>
          <w:tab w:val="left" w:pos="5310"/>
          <w:tab w:val="left" w:pos="6141"/>
          <w:tab w:val="left" w:pos="7507"/>
          <w:tab w:val="left" w:pos="8771"/>
        </w:tabs>
        <w:spacing w:before="0"/>
      </w:pPr>
      <w:r>
        <w:tab/>
      </w:r>
      <w:r w:rsidR="00A253EF">
        <w:t>Данный</w:t>
      </w:r>
      <w:r>
        <w:t xml:space="preserve"> </w:t>
      </w:r>
      <w:r w:rsidR="00A253EF">
        <w:t>раздел</w:t>
      </w:r>
      <w:r>
        <w:t xml:space="preserve"> </w:t>
      </w:r>
      <w:r w:rsidR="00A253EF">
        <w:t>не</w:t>
      </w:r>
      <w:r>
        <w:t xml:space="preserve"> </w:t>
      </w:r>
      <w:r w:rsidR="00A253EF">
        <w:t>рассматривается</w:t>
      </w:r>
      <w:r>
        <w:t xml:space="preserve"> </w:t>
      </w:r>
      <w:r w:rsidR="00A253EF">
        <w:t>ввиду</w:t>
      </w:r>
      <w:r>
        <w:t xml:space="preserve"> </w:t>
      </w:r>
      <w:r w:rsidR="00A253EF">
        <w:t>отсутствия</w:t>
      </w:r>
      <w:r>
        <w:t xml:space="preserve"> </w:t>
      </w:r>
      <w:r w:rsidR="00A253EF">
        <w:t>открытой</w:t>
      </w:r>
      <w:r>
        <w:t xml:space="preserve"> </w:t>
      </w:r>
      <w:r w:rsidR="00A253EF">
        <w:t>системы</w:t>
      </w:r>
      <w:r>
        <w:t xml:space="preserve"> </w:t>
      </w:r>
      <w:r w:rsidR="00A253EF">
        <w:t>теплоснабжения (горячего водоснабж</w:t>
      </w:r>
      <w:r w:rsidR="001A20D9">
        <w:t>ения) в системе теплоснабжения города</w:t>
      </w:r>
      <w:r w:rsidR="00A253EF">
        <w:t xml:space="preserve"> Ханты-Мансийска.</w:t>
      </w:r>
    </w:p>
    <w:sectPr w:rsidR="000C110C" w:rsidSect="00A253EF">
      <w:pgSz w:w="11900" w:h="16840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B6" w:rsidRDefault="00A60EB6">
      <w:r>
        <w:separator/>
      </w:r>
    </w:p>
  </w:endnote>
  <w:endnote w:type="continuationSeparator" w:id="0">
    <w:p w:rsidR="00A60EB6" w:rsidRDefault="00A6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0C" w:rsidRDefault="000C110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B6" w:rsidRDefault="00A60EB6"/>
  </w:footnote>
  <w:footnote w:type="continuationSeparator" w:id="0">
    <w:p w:rsidR="00A60EB6" w:rsidRDefault="00A60E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91" w:rsidRDefault="00A60EB6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221185" o:spid="_x0000_s2053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0C" w:rsidRDefault="00A60EB6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221186" o:spid="_x0000_s2054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91" w:rsidRDefault="00A60EB6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221184" o:spid="_x0000_s2052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B4F"/>
    <w:multiLevelType w:val="multilevel"/>
    <w:tmpl w:val="96920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3109A"/>
    <w:multiLevelType w:val="multilevel"/>
    <w:tmpl w:val="527EFE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579B6"/>
    <w:multiLevelType w:val="multilevel"/>
    <w:tmpl w:val="02C459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60661"/>
    <w:multiLevelType w:val="multilevel"/>
    <w:tmpl w:val="BE7C1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B5AA1"/>
    <w:multiLevelType w:val="multilevel"/>
    <w:tmpl w:val="5858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110C"/>
    <w:rsid w:val="000C110C"/>
    <w:rsid w:val="000C2CF7"/>
    <w:rsid w:val="000F36C0"/>
    <w:rsid w:val="001A20D9"/>
    <w:rsid w:val="002A7857"/>
    <w:rsid w:val="006538BD"/>
    <w:rsid w:val="006C14FE"/>
    <w:rsid w:val="00735F85"/>
    <w:rsid w:val="007E3012"/>
    <w:rsid w:val="00A253EF"/>
    <w:rsid w:val="00A60EB6"/>
    <w:rsid w:val="00AA2257"/>
    <w:rsid w:val="00DA03CE"/>
    <w:rsid w:val="00DD7F0C"/>
    <w:rsid w:val="00E65B9D"/>
    <w:rsid w:val="00E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D6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55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styleId="22">
    <w:name w:val="toc 2"/>
    <w:basedOn w:val="a"/>
    <w:link w:val="21"/>
    <w:autoRedefine/>
    <w:pPr>
      <w:shd w:val="clear" w:color="auto" w:fill="FFFFFF"/>
      <w:spacing w:after="60" w:line="35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ind w:hanging="4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6538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8BD"/>
    <w:rPr>
      <w:color w:val="000000"/>
    </w:rPr>
  </w:style>
  <w:style w:type="paragraph" w:styleId="a9">
    <w:name w:val="footer"/>
    <w:basedOn w:val="a"/>
    <w:link w:val="aa"/>
    <w:uiPriority w:val="99"/>
    <w:unhideWhenUsed/>
    <w:rsid w:val="006538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8BD"/>
    <w:rPr>
      <w:color w:val="000000"/>
    </w:rPr>
  </w:style>
  <w:style w:type="paragraph" w:styleId="ab">
    <w:name w:val="No Spacing"/>
    <w:uiPriority w:val="1"/>
    <w:qFormat/>
    <w:rsid w:val="00ED6F9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D6F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ED6F91"/>
    <w:pPr>
      <w:widowControl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ED6F91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ED6F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F91"/>
    <w:rPr>
      <w:rFonts w:ascii="Tahoma" w:hAnsi="Tahoma" w:cs="Tahoma"/>
      <w:color w:val="000000"/>
      <w:sz w:val="16"/>
      <w:szCs w:val="16"/>
    </w:rPr>
  </w:style>
  <w:style w:type="paragraph" w:customStyle="1" w:styleId="210">
    <w:name w:val="Основной текст (2)1"/>
    <w:basedOn w:val="a"/>
    <w:rsid w:val="001A20D9"/>
    <w:pPr>
      <w:shd w:val="clear" w:color="auto" w:fill="FFFFFF"/>
      <w:spacing w:before="1080" w:line="0" w:lineRule="atLeast"/>
      <w:ind w:hanging="3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9261-5D85-495C-8F9E-4F48BAB2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Шеболдасов Олег Михайлович</cp:lastModifiedBy>
  <cp:revision>16</cp:revision>
  <dcterms:created xsi:type="dcterms:W3CDTF">2020-10-09T05:34:00Z</dcterms:created>
  <dcterms:modified xsi:type="dcterms:W3CDTF">2021-06-28T10:58:00Z</dcterms:modified>
</cp:coreProperties>
</file>