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8C" w:rsidRPr="00F1698C" w:rsidRDefault="00D62050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98C" w:rsidRPr="00F1698C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от «___» __________ 202</w:t>
      </w:r>
      <w:r w:rsidR="00356044">
        <w:rPr>
          <w:rFonts w:ascii="Times New Roman" w:hAnsi="Times New Roman" w:cs="Times New Roman"/>
          <w:sz w:val="28"/>
          <w:szCs w:val="28"/>
        </w:rPr>
        <w:t>4</w:t>
      </w:r>
      <w:r w:rsidRPr="00F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F1698C" w:rsidRDefault="00F1698C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5976" w:rsidRPr="00F1698C" w:rsidRDefault="003F5976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1698C" w:rsidRPr="00F1698C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F1698C" w:rsidRPr="00F1698C" w:rsidRDefault="00512633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24.10.2013 №1367</w:t>
      </w:r>
      <w:r w:rsidR="00F1698C"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</w:p>
    <w:p w:rsidR="00512633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 w:rsidR="00512633">
        <w:rPr>
          <w:rFonts w:ascii="Times New Roman" w:hAnsi="Times New Roman" w:cs="Times New Roman"/>
          <w:sz w:val="28"/>
          <w:szCs w:val="28"/>
        </w:rPr>
        <w:t xml:space="preserve">Управление муниципальными </w:t>
      </w:r>
    </w:p>
    <w:p w:rsidR="00F1698C" w:rsidRPr="00F1698C" w:rsidRDefault="00512633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F1698C" w:rsidRPr="00F1698C">
        <w:rPr>
          <w:rFonts w:ascii="Times New Roman" w:hAnsi="Times New Roman" w:cs="Times New Roman"/>
          <w:sz w:val="28"/>
          <w:szCs w:val="28"/>
        </w:rPr>
        <w:t xml:space="preserve">города Ханты-Мансийска» </w:t>
      </w:r>
    </w:p>
    <w:p w:rsidR="00F1698C" w:rsidRDefault="00F1698C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AA7" w:rsidRPr="00F1698C" w:rsidRDefault="00957AA7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9834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</w:t>
      </w:r>
      <w:r w:rsidR="0051263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98C">
        <w:rPr>
          <w:rFonts w:ascii="Times New Roman" w:hAnsi="Times New Roman" w:cs="Times New Roman"/>
          <w:sz w:val="28"/>
          <w:szCs w:val="28"/>
        </w:rPr>
        <w:t>Ханты-Мансийска в соответствие с действующим законодательством,</w:t>
      </w:r>
      <w:r w:rsidR="00526D0D"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Ханты-Мансийска:</w:t>
      </w:r>
    </w:p>
    <w:p w:rsidR="00356044" w:rsidRDefault="00F1698C" w:rsidP="00356044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="00D62050"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города Ханты-Мансийска от </w:t>
      </w:r>
      <w:r w:rsidR="00957AA7">
        <w:rPr>
          <w:rFonts w:ascii="Times New Roman" w:hAnsi="Times New Roman" w:cs="Times New Roman"/>
          <w:sz w:val="28"/>
          <w:szCs w:val="28"/>
        </w:rPr>
        <w:t>24.10.2013</w:t>
      </w:r>
      <w:r w:rsidRPr="00F1698C">
        <w:rPr>
          <w:rFonts w:ascii="Times New Roman" w:hAnsi="Times New Roman" w:cs="Times New Roman"/>
          <w:sz w:val="28"/>
          <w:szCs w:val="28"/>
        </w:rPr>
        <w:t xml:space="preserve"> № 1</w:t>
      </w:r>
      <w:r w:rsidR="00957AA7">
        <w:rPr>
          <w:rFonts w:ascii="Times New Roman" w:hAnsi="Times New Roman" w:cs="Times New Roman"/>
          <w:sz w:val="28"/>
          <w:szCs w:val="28"/>
        </w:rPr>
        <w:t>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</w:t>
      </w:r>
      <w:r w:rsidR="00957AA7">
        <w:rPr>
          <w:rFonts w:ascii="Times New Roman" w:hAnsi="Times New Roman" w:cs="Times New Roman"/>
          <w:sz w:val="28"/>
          <w:szCs w:val="28"/>
        </w:rPr>
        <w:t>Управление муниципальными финансами города Ханты-Мансийска</w:t>
      </w:r>
      <w:r w:rsidRPr="00F1698C">
        <w:rPr>
          <w:rFonts w:ascii="Times New Roman" w:hAnsi="Times New Roman" w:cs="Times New Roman"/>
          <w:sz w:val="28"/>
          <w:szCs w:val="28"/>
        </w:rPr>
        <w:t>»</w:t>
      </w:r>
      <w:r w:rsidR="00D62050">
        <w:rPr>
          <w:rFonts w:ascii="Times New Roman" w:hAnsi="Times New Roman" w:cs="Times New Roman"/>
          <w:sz w:val="28"/>
          <w:szCs w:val="28"/>
        </w:rPr>
        <w:t xml:space="preserve"> </w:t>
      </w:r>
      <w:r w:rsidR="0035604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1698C">
        <w:rPr>
          <w:rFonts w:ascii="Times New Roman" w:hAnsi="Times New Roman" w:cs="Times New Roman"/>
          <w:sz w:val="28"/>
          <w:szCs w:val="28"/>
        </w:rPr>
        <w:t>изменения</w:t>
      </w:r>
      <w:r w:rsidR="00356044">
        <w:rPr>
          <w:rFonts w:ascii="Times New Roman" w:hAnsi="Times New Roman" w:cs="Times New Roman"/>
          <w:sz w:val="28"/>
          <w:szCs w:val="28"/>
        </w:rPr>
        <w:t>:</w:t>
      </w:r>
    </w:p>
    <w:p w:rsidR="00356044" w:rsidRDefault="00356044" w:rsidP="00A95580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постановления изложить в следующей редакции: </w:t>
      </w:r>
    </w:p>
    <w:p w:rsidR="00F1698C" w:rsidRDefault="00356044" w:rsidP="00A955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муниципальной программе города Ханты-Мансийска «Управление муниципальными финансами»</w:t>
      </w:r>
      <w:r w:rsidR="00A95580">
        <w:rPr>
          <w:rFonts w:ascii="Times New Roman" w:hAnsi="Times New Roman" w:cs="Times New Roman"/>
          <w:sz w:val="28"/>
          <w:szCs w:val="28"/>
        </w:rPr>
        <w:t>.</w:t>
      </w:r>
    </w:p>
    <w:p w:rsidR="00A95580" w:rsidRDefault="00A95580" w:rsidP="00A95580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постановления слова «от 27.12.2021 №1534» заменить словами: «</w:t>
      </w:r>
      <w:r w:rsidR="00442569">
        <w:rPr>
          <w:rFonts w:ascii="Times New Roman" w:hAnsi="Times New Roman" w:cs="Times New Roman"/>
          <w:sz w:val="28"/>
          <w:szCs w:val="28"/>
        </w:rPr>
        <w:t xml:space="preserve">от </w:t>
      </w:r>
      <w:r w:rsidR="00BA1557">
        <w:rPr>
          <w:rFonts w:ascii="Times New Roman" w:hAnsi="Times New Roman" w:cs="Times New Roman"/>
          <w:sz w:val="28"/>
          <w:szCs w:val="28"/>
        </w:rPr>
        <w:t>05</w:t>
      </w:r>
      <w:r w:rsidR="00442569">
        <w:rPr>
          <w:rFonts w:ascii="Times New Roman" w:hAnsi="Times New Roman" w:cs="Times New Roman"/>
          <w:sz w:val="28"/>
          <w:szCs w:val="28"/>
        </w:rPr>
        <w:t>.</w:t>
      </w:r>
      <w:r w:rsidR="00BA1557">
        <w:rPr>
          <w:rFonts w:ascii="Times New Roman" w:hAnsi="Times New Roman" w:cs="Times New Roman"/>
          <w:sz w:val="28"/>
          <w:szCs w:val="28"/>
        </w:rPr>
        <w:t>11</w:t>
      </w:r>
      <w:r w:rsidR="00442569">
        <w:rPr>
          <w:rFonts w:ascii="Times New Roman" w:hAnsi="Times New Roman" w:cs="Times New Roman"/>
          <w:sz w:val="28"/>
          <w:szCs w:val="28"/>
        </w:rPr>
        <w:t>.2024 №</w:t>
      </w:r>
      <w:r w:rsidR="00BA1557">
        <w:rPr>
          <w:rFonts w:ascii="Times New Roman" w:hAnsi="Times New Roman" w:cs="Times New Roman"/>
          <w:sz w:val="28"/>
          <w:szCs w:val="28"/>
        </w:rPr>
        <w:t>623</w:t>
      </w:r>
      <w:r w:rsidR="00442569">
        <w:rPr>
          <w:rFonts w:ascii="Times New Roman" w:hAnsi="Times New Roman" w:cs="Times New Roman"/>
          <w:sz w:val="28"/>
          <w:szCs w:val="28"/>
        </w:rPr>
        <w:t>».</w:t>
      </w:r>
    </w:p>
    <w:p w:rsidR="00356044" w:rsidRDefault="00442569" w:rsidP="00442569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69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415BD8" w:rsidRDefault="00F1698C" w:rsidP="009834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2.</w:t>
      </w:r>
      <w:r w:rsidR="00415BD8" w:rsidRPr="00415BD8">
        <w:t xml:space="preserve"> </w:t>
      </w:r>
      <w:r w:rsidR="00415BD8" w:rsidRPr="00415B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013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</w:t>
      </w:r>
      <w:r w:rsidR="00C50134" w:rsidRPr="00A37FE9">
        <w:rPr>
          <w:rFonts w:ascii="Times New Roman" w:hAnsi="Times New Roman" w:cs="Times New Roman"/>
          <w:sz w:val="28"/>
          <w:szCs w:val="28"/>
        </w:rPr>
        <w:t xml:space="preserve"> на правоотно</w:t>
      </w:r>
      <w:r w:rsidR="00C50134">
        <w:rPr>
          <w:rFonts w:ascii="Times New Roman" w:hAnsi="Times New Roman" w:cs="Times New Roman"/>
          <w:sz w:val="28"/>
          <w:szCs w:val="28"/>
        </w:rPr>
        <w:t xml:space="preserve">шения, возникшие </w:t>
      </w:r>
      <w:r w:rsidR="00C50134" w:rsidRPr="00A37FE9">
        <w:rPr>
          <w:rFonts w:ascii="Times New Roman" w:hAnsi="Times New Roman" w:cs="Times New Roman"/>
          <w:sz w:val="28"/>
          <w:szCs w:val="28"/>
        </w:rPr>
        <w:t>с 01.01.202</w:t>
      </w:r>
      <w:r w:rsidR="00442569">
        <w:rPr>
          <w:rFonts w:ascii="Times New Roman" w:hAnsi="Times New Roman" w:cs="Times New Roman"/>
          <w:sz w:val="28"/>
          <w:szCs w:val="28"/>
        </w:rPr>
        <w:t>5 года</w:t>
      </w:r>
      <w:r w:rsidR="00A37FE9" w:rsidRPr="00A37F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698C" w:rsidRDefault="00F1698C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633" w:rsidRPr="00F1698C" w:rsidRDefault="00512633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F5976" w:rsidRDefault="00F1698C" w:rsidP="009F3E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6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98C">
        <w:rPr>
          <w:rFonts w:ascii="Times New Roman" w:hAnsi="Times New Roman" w:cs="Times New Roman"/>
          <w:sz w:val="28"/>
          <w:szCs w:val="28"/>
        </w:rPr>
        <w:t>М.П. Ряшин</w:t>
      </w:r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F1698C" w:rsidRDefault="00F1698C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0D0D" w:rsidRDefault="00E20D0D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20D0D" w:rsidSect="00564A49">
          <w:pgSz w:w="11905" w:h="16838"/>
          <w:pgMar w:top="1276" w:right="1134" w:bottom="1559" w:left="1418" w:header="709" w:footer="709" w:gutter="0"/>
          <w:pgNumType w:chapStyle="1"/>
          <w:cols w:space="708"/>
          <w:titlePg/>
          <w:docGrid w:linePitch="360"/>
        </w:sect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к постановлению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Ханты-Мансийска 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______________2024 №_______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 xml:space="preserve">ПАСПОРТ 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442569">
        <w:rPr>
          <w:sz w:val="28"/>
          <w:szCs w:val="28"/>
          <w:lang w:eastAsia="en-US"/>
        </w:rPr>
        <w:t>униципальной программы города Ханты-Мансийска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«Управление муниципальными финансами» (далее – муниципальная программа)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1.Основные положения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42569" w:rsidRPr="00442569" w:rsidTr="00115793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Куратор муниципальной программы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 xml:space="preserve">Дунаевская Наталья Аркадьевна - первый заместитель Главы города Ханты-Мансийска </w:t>
            </w:r>
          </w:p>
        </w:tc>
      </w:tr>
      <w:tr w:rsidR="00442569" w:rsidRPr="00442569" w:rsidTr="00115793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Ответственный исполнитель муниципальной программы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Департамент управления финансами Администрации города Ханты-Мансийска (далее – Департамент управления финансами)</w:t>
            </w:r>
          </w:p>
        </w:tc>
      </w:tr>
      <w:tr w:rsidR="00442569" w:rsidRPr="00442569" w:rsidTr="00115793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 xml:space="preserve">Период реализации муниципальной программы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202</w:t>
            </w:r>
            <w:r>
              <w:rPr>
                <w:sz w:val="22"/>
                <w:szCs w:val="28"/>
                <w:lang w:eastAsia="en-US"/>
              </w:rPr>
              <w:t>0</w:t>
            </w:r>
            <w:r w:rsidRPr="00442569">
              <w:rPr>
                <w:sz w:val="22"/>
                <w:szCs w:val="28"/>
                <w:lang w:eastAsia="en-US"/>
              </w:rPr>
              <w:t>-2030</w:t>
            </w:r>
          </w:p>
        </w:tc>
      </w:tr>
      <w:tr w:rsidR="00442569" w:rsidRPr="00442569" w:rsidTr="00115793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 xml:space="preserve">1.Обеспечение долгосрочной сбалансированности и устойчивости бюджетной системы муниципального образования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2.Повышение качества управления муниципальными финансами города Ханты-Мансийска.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</w:tr>
      <w:tr w:rsidR="00442569" w:rsidRPr="00442569" w:rsidTr="00115793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2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2"/>
                <w:lang w:eastAsia="en-US"/>
              </w:rPr>
            </w:pPr>
            <w:r w:rsidRPr="00442569">
              <w:rPr>
                <w:sz w:val="22"/>
                <w:szCs w:val="22"/>
                <w:lang w:eastAsia="en-US"/>
              </w:rPr>
              <w:t>3 496 061 379,44 рубля</w:t>
            </w: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105310" w:rsidRPr="00442569" w:rsidRDefault="00105310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2.Показатели муниципальной программы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14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2904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709"/>
        <w:gridCol w:w="2268"/>
        <w:gridCol w:w="1559"/>
        <w:gridCol w:w="1134"/>
      </w:tblGrid>
      <w:tr w:rsidR="00442569" w:rsidRPr="00442569" w:rsidTr="00115793">
        <w:tc>
          <w:tcPr>
            <w:tcW w:w="499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№ п/п</w:t>
            </w:r>
          </w:p>
        </w:tc>
        <w:tc>
          <w:tcPr>
            <w:tcW w:w="2904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left="-108" w:right="-108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left="-108" w:right="-108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Связь с показателями национальных целей</w:t>
            </w:r>
          </w:p>
        </w:tc>
      </w:tr>
      <w:tr w:rsidR="00442569" w:rsidRPr="00442569" w:rsidTr="00115793">
        <w:trPr>
          <w:trHeight w:val="485"/>
        </w:trPr>
        <w:tc>
          <w:tcPr>
            <w:tcW w:w="499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2904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значение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2025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val="en-US"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2026</w:t>
            </w:r>
          </w:p>
        </w:tc>
        <w:tc>
          <w:tcPr>
            <w:tcW w:w="70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val="en-US"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2027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2028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2029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2030</w:t>
            </w:r>
          </w:p>
        </w:tc>
        <w:tc>
          <w:tcPr>
            <w:tcW w:w="2268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</w:tr>
      <w:tr w:rsidR="00442569" w:rsidRPr="00442569" w:rsidTr="00115793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442569" w:rsidRPr="00442569" w:rsidTr="00115793">
        <w:tc>
          <w:tcPr>
            <w:tcW w:w="15877" w:type="dxa"/>
            <w:gridSpan w:val="15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Цель 1</w:t>
            </w:r>
            <w:r w:rsidRPr="00442569">
              <w:rPr>
                <w:b/>
                <w:sz w:val="18"/>
                <w:szCs w:val="18"/>
                <w:lang w:eastAsia="en-US"/>
              </w:rPr>
              <w:t xml:space="preserve"> «</w:t>
            </w:r>
            <w:r w:rsidRPr="00442569">
              <w:rPr>
                <w:sz w:val="18"/>
                <w:szCs w:val="18"/>
                <w:lang w:eastAsia="en-US"/>
              </w:rPr>
              <w:t>Обеспечение долгосрочной сбалансированности и устойчивости бюджетной системы муниципального образования»</w:t>
            </w:r>
          </w:p>
        </w:tc>
      </w:tr>
      <w:tr w:rsidR="00442569" w:rsidRPr="00442569" w:rsidTr="00115793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1.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Доля расходов бюджета на обслуживание муниципального долга в общем годовом объеме расходов бюджета, за исключением расходов, осуществляемых за счет субвенций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67" w:type="dxa"/>
          </w:tcPr>
          <w:p w:rsidR="00442569" w:rsidRPr="00442569" w:rsidRDefault="006A1159" w:rsidP="006A115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442569" w:rsidP="006A115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202</w:t>
            </w:r>
            <w:r w:rsidR="006A115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B940A9" w:rsidP="00B940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Бюджетный кодекс Российской Федерации</w:t>
            </w:r>
          </w:p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(ст. 107.1)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Департамент управления финансами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42569" w:rsidRPr="00442569" w:rsidTr="00115793">
        <w:tc>
          <w:tcPr>
            <w:tcW w:w="15877" w:type="dxa"/>
            <w:gridSpan w:val="15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Цель 2 «Повышение качества управления муниципальными финансами»</w:t>
            </w:r>
          </w:p>
        </w:tc>
      </w:tr>
      <w:tr w:rsidR="00442569" w:rsidRPr="00442569" w:rsidTr="00115793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2.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без учета субвенций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ОМСУ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67" w:type="dxa"/>
          </w:tcPr>
          <w:p w:rsidR="00442569" w:rsidRPr="00442569" w:rsidRDefault="0060480A" w:rsidP="006A115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</w:tcPr>
          <w:p w:rsidR="00442569" w:rsidRPr="00442569" w:rsidRDefault="00442569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202</w:t>
            </w:r>
            <w:r w:rsidR="0060480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442569" w:rsidRPr="00442569" w:rsidRDefault="0060480A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442569" w:rsidRPr="00442569" w:rsidRDefault="0060480A" w:rsidP="006048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Российской Федерации от 17.12.2012 №1317 «О мерах по реализации Указа Президента Российской Федерации от 28 апреля 2008 г.№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N 601 «Об основных направлениях совершенствования системы государственного управления»;</w:t>
            </w:r>
          </w:p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Распоряжение Правительства Ханты-</w:t>
            </w:r>
            <w:r w:rsidRPr="0044256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Мансийского автономного округа-Югры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lastRenderedPageBreak/>
              <w:t>Департамент управления финансами</w:t>
            </w: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42569" w:rsidRPr="00442569" w:rsidTr="00115793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3.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Доля главных распорядителей бюджетных средств города Ханты-Мансийска, имеющих итоговую оценку качества финансового менеджмента более 60 баллов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6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202</w:t>
            </w:r>
            <w:r w:rsidR="0060480A">
              <w:rPr>
                <w:sz w:val="18"/>
                <w:szCs w:val="18"/>
                <w:lang w:eastAsia="en-US"/>
              </w:rPr>
              <w:t>0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Распоряжение Администрации города Ханты-Мансийска от 25.12.2015 № 237-р «Об утверждении Порядка проведения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города Ханты-Мансийска»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Главные распорядители бюджетных средств города Ханты-Мансийска</w:t>
            </w: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3.Структура муниципальной программы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Cs w:val="28"/>
          <w:lang w:eastAsia="en-US"/>
        </w:rPr>
      </w:pPr>
    </w:p>
    <w:tbl>
      <w:tblPr>
        <w:tblStyle w:val="14"/>
        <w:tblW w:w="15588" w:type="dxa"/>
        <w:tblLook w:val="04A0" w:firstRow="1" w:lastRow="0" w:firstColumn="1" w:lastColumn="0" w:noHBand="0" w:noVBand="1"/>
      </w:tblPr>
      <w:tblGrid>
        <w:gridCol w:w="841"/>
        <w:gridCol w:w="4399"/>
        <w:gridCol w:w="6095"/>
        <w:gridCol w:w="4253"/>
      </w:tblGrid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№ п/п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 xml:space="preserve">Задачи основного мероприятия 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Связь с показателями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1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4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1.</w:t>
            </w:r>
          </w:p>
        </w:tc>
        <w:tc>
          <w:tcPr>
            <w:tcW w:w="14747" w:type="dxa"/>
            <w:gridSpan w:val="3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 «</w:t>
            </w:r>
            <w:r w:rsidRPr="00442569">
              <w:rPr>
                <w:rFonts w:eastAsiaTheme="minorHAnsi"/>
                <w:lang w:eastAsia="en-US"/>
              </w:rPr>
              <w:t>Обеспечение сбалансированности бюджета и эффективное управление муниципальным долгом»</w:t>
            </w:r>
          </w:p>
        </w:tc>
      </w:tr>
      <w:tr w:rsidR="00442569" w:rsidRPr="00442569" w:rsidTr="00115793">
        <w:trPr>
          <w:trHeight w:val="403"/>
        </w:trPr>
        <w:tc>
          <w:tcPr>
            <w:tcW w:w="5240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Ответственный за реализацию: Департамент управления финансами </w:t>
            </w:r>
          </w:p>
        </w:tc>
        <w:tc>
          <w:tcPr>
            <w:tcW w:w="10348" w:type="dxa"/>
            <w:gridSpan w:val="2"/>
          </w:tcPr>
          <w:p w:rsidR="00442569" w:rsidRPr="00442569" w:rsidRDefault="00442569" w:rsidP="00B940A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Срок реализации: 202</w:t>
            </w:r>
            <w:r w:rsidR="00B940A9">
              <w:rPr>
                <w:lang w:eastAsia="en-US"/>
              </w:rPr>
              <w:t>0</w:t>
            </w:r>
            <w:r w:rsidRPr="00442569">
              <w:rPr>
                <w:lang w:eastAsia="en-US"/>
              </w:rPr>
              <w:t>-2030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1.1.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 w:rsidRPr="00442569">
              <w:t>Обеспечение формирования резервного фонда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</w:pPr>
            <w:r w:rsidRPr="00442569">
              <w:rPr>
                <w:lang w:eastAsia="en-US"/>
              </w:rPr>
              <w:t xml:space="preserve">Формирование резервного фонда в целях обеспечения </w:t>
            </w:r>
            <w:r w:rsidRPr="00442569">
              <w:rPr>
                <w:color w:val="000000"/>
                <w:spacing w:val="-1"/>
              </w:rPr>
              <w:t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      </w:r>
            <w:r w:rsidRPr="00442569">
              <w:t xml:space="preserve"> расходов, возникновение потребности в которых нельзя предусмотреть заранее в силу обстоятельств </w:t>
            </w:r>
            <w:r w:rsidRPr="00442569">
              <w:lastRenderedPageBreak/>
              <w:t>объективного характера и которые не могли быть учтены при формировании расходов бюджета на соответствующий финансовый год и плановый период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2569" w:rsidRPr="00442569" w:rsidTr="00115793">
        <w:trPr>
          <w:trHeight w:val="1434"/>
        </w:trPr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1.2.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Эффективное управление муниципальным долгом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  <w:r w:rsidRPr="00442569">
              <w:rPr>
                <w:lang w:eastAsia="en-US"/>
              </w:rPr>
              <w:t>Полное и своевременное исполнение муниципальных долговых обязательств; осуществление своевременных платежей по обслуживанию муниципального долга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  <w:r w:rsidRPr="00442569">
              <w:rPr>
                <w:rFonts w:eastAsiaTheme="minorHAnsi"/>
                <w:lang w:eastAsia="en-US"/>
              </w:rPr>
              <w:t>доля расходов бюджета города Ханты-Мансийска на обслуживание муниципального долга в общем годовом объеме расходов бюджета города Ханты-Мансийска, за исключением расходов, осуществляемых за счет субвенций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2.</w:t>
            </w:r>
          </w:p>
        </w:tc>
        <w:tc>
          <w:tcPr>
            <w:tcW w:w="14747" w:type="dxa"/>
            <w:gridSpan w:val="3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 «Функционирование информационного пространства в сфере муниципальных финансов»</w:t>
            </w:r>
          </w:p>
        </w:tc>
      </w:tr>
      <w:tr w:rsidR="00442569" w:rsidRPr="00442569" w:rsidTr="00115793">
        <w:tc>
          <w:tcPr>
            <w:tcW w:w="5240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Ответственный за реализацию: Департамент управления финансами</w:t>
            </w:r>
          </w:p>
        </w:tc>
        <w:tc>
          <w:tcPr>
            <w:tcW w:w="10348" w:type="dxa"/>
            <w:gridSpan w:val="2"/>
          </w:tcPr>
          <w:p w:rsidR="00442569" w:rsidRPr="00442569" w:rsidRDefault="00442569" w:rsidP="00EC7477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Срок реализации: 202</w:t>
            </w:r>
            <w:r w:rsidR="00EC7477">
              <w:rPr>
                <w:lang w:eastAsia="en-US"/>
              </w:rPr>
              <w:t>3</w:t>
            </w:r>
            <w:r w:rsidRPr="00442569">
              <w:rPr>
                <w:lang w:eastAsia="en-US"/>
              </w:rPr>
              <w:t>-2030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2.1.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Обеспечение условий по сопровождению бюджета города в подсистеме исполнения бюджета Государственной информационной системы Ханты-Мансийского автономного округа-Югры «Региональный электронный бюджет Югры» 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  <w:r w:rsidRPr="00442569">
              <w:rPr>
                <w:lang w:eastAsia="en-US"/>
              </w:rPr>
              <w:t>работа пользователей Администрации города Ханты-Мансийска и подведомственных учреждений в программных комплексах «Региональный электронный бюджет. Бюджетное планирование», «Региональный электронный бюджет. Исполнение»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</w:p>
        </w:tc>
      </w:tr>
      <w:tr w:rsidR="00442569" w:rsidRPr="00442569" w:rsidTr="00115793">
        <w:trPr>
          <w:trHeight w:val="388"/>
        </w:trPr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</w:t>
            </w:r>
          </w:p>
        </w:tc>
        <w:tc>
          <w:tcPr>
            <w:tcW w:w="14747" w:type="dxa"/>
            <w:gridSpan w:val="3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 «Обеспечение деятельности органов местного самоуправления» </w:t>
            </w:r>
          </w:p>
        </w:tc>
      </w:tr>
      <w:tr w:rsidR="00442569" w:rsidRPr="00442569" w:rsidTr="00115793">
        <w:tc>
          <w:tcPr>
            <w:tcW w:w="5240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Ответственный за реализацию Департамент управления финансами</w:t>
            </w:r>
          </w:p>
        </w:tc>
        <w:tc>
          <w:tcPr>
            <w:tcW w:w="10348" w:type="dxa"/>
            <w:gridSpan w:val="2"/>
          </w:tcPr>
          <w:p w:rsidR="00442569" w:rsidRPr="00442569" w:rsidRDefault="00442569" w:rsidP="00EC7477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Срок реализации: 202</w:t>
            </w:r>
            <w:r w:rsidR="00EC7477">
              <w:rPr>
                <w:lang w:eastAsia="en-US"/>
              </w:rPr>
              <w:t>0</w:t>
            </w:r>
            <w:r w:rsidRPr="00442569">
              <w:rPr>
                <w:lang w:eastAsia="en-US"/>
              </w:rPr>
              <w:t>-2030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3.1.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выполнения полномочий и функций финансового органа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деятельности Департамента управления финансами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numPr>
                <w:ilvl w:val="0"/>
                <w:numId w:val="28"/>
              </w:numPr>
              <w:tabs>
                <w:tab w:val="left" w:pos="8986"/>
              </w:tabs>
              <w:ind w:left="34" w:right="40"/>
              <w:rPr>
                <w:lang w:eastAsia="en-US"/>
              </w:rPr>
            </w:pPr>
            <w:r w:rsidRPr="00442569">
              <w:rPr>
                <w:rFonts w:eastAsiaTheme="minorHAnsi"/>
                <w:lang w:eastAsia="en-US"/>
              </w:rPr>
              <w:t>1)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без учета субвенций;</w:t>
            </w:r>
          </w:p>
          <w:p w:rsidR="00442569" w:rsidRPr="00442569" w:rsidRDefault="00442569" w:rsidP="00442569">
            <w:pPr>
              <w:widowControl w:val="0"/>
              <w:numPr>
                <w:ilvl w:val="0"/>
                <w:numId w:val="28"/>
              </w:numPr>
              <w:tabs>
                <w:tab w:val="left" w:pos="8986"/>
              </w:tabs>
              <w:ind w:left="34" w:right="40"/>
              <w:rPr>
                <w:lang w:eastAsia="en-US"/>
              </w:rPr>
            </w:pPr>
            <w:r w:rsidRPr="00442569">
              <w:rPr>
                <w:rFonts w:eastAsiaTheme="minorHAnsi"/>
                <w:lang w:eastAsia="en-US"/>
              </w:rPr>
              <w:t>2) доля главных распорядителей бюджетных средств города Ханты-Мансийска, имеющих итоговую оценку качества финансового менеджмента более 60 баллов</w:t>
            </w: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3.2.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полномочий и функций Думы города Ханты-Мансийска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деятельности Думы города Ханты-Мансийска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</w:p>
        </w:tc>
      </w:tr>
      <w:tr w:rsidR="00442569" w:rsidRPr="00442569" w:rsidTr="00115793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3.3.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выполнения полномочий и функций Счетной палаты города Ханты-Мансийска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деятельности Счетной палаты города Ханты-Мансийска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lastRenderedPageBreak/>
        <w:t>4.Финансовое обеспечение муниципальной программы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both"/>
        <w:rPr>
          <w:szCs w:val="28"/>
          <w:lang w:eastAsia="en-US"/>
        </w:rPr>
      </w:pPr>
    </w:p>
    <w:tbl>
      <w:tblPr>
        <w:tblStyle w:val="14"/>
        <w:tblW w:w="15588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701"/>
        <w:gridCol w:w="1559"/>
        <w:gridCol w:w="1701"/>
        <w:gridCol w:w="1417"/>
        <w:gridCol w:w="1985"/>
      </w:tblGrid>
      <w:tr w:rsidR="00442569" w:rsidRPr="00442569" w:rsidTr="00115793">
        <w:tc>
          <w:tcPr>
            <w:tcW w:w="3681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11907" w:type="dxa"/>
            <w:gridSpan w:val="7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Объем финансового обеспечения по годам, рублей</w:t>
            </w:r>
          </w:p>
        </w:tc>
      </w:tr>
      <w:tr w:rsidR="00442569" w:rsidRPr="00442569" w:rsidTr="00115793">
        <w:tc>
          <w:tcPr>
            <w:tcW w:w="3681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val="en-US" w:eastAsia="en-US"/>
              </w:rPr>
            </w:pPr>
            <w:r w:rsidRPr="00442569">
              <w:rPr>
                <w:szCs w:val="28"/>
                <w:lang w:val="en-US" w:eastAsia="en-US"/>
              </w:rPr>
              <w:t>2025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2026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2027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2028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2029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2030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Всего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8</w:t>
            </w:r>
          </w:p>
        </w:tc>
      </w:tr>
      <w:tr w:rsidR="00442569" w:rsidRPr="00442569" w:rsidTr="00115793">
        <w:trPr>
          <w:trHeight w:val="556"/>
        </w:trPr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lang w:eastAsia="en-US"/>
              </w:rPr>
            </w:pPr>
            <w:r w:rsidRPr="00442569">
              <w:rPr>
                <w:b/>
                <w:lang w:eastAsia="en-US"/>
              </w:rPr>
              <w:t xml:space="preserve">Муниципальная программа «Управление муниципальными финансами» (всего),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lang w:eastAsia="en-US"/>
              </w:rPr>
            </w:pPr>
            <w:r w:rsidRPr="00442569">
              <w:rPr>
                <w:b/>
                <w:lang w:eastAsia="en-US"/>
              </w:rPr>
              <w:t xml:space="preserve"> том числе: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750 764 228,94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1 030 478 534,94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3 496 061 379,44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Cs w:val="28"/>
                <w:lang w:eastAsia="en-US"/>
              </w:rPr>
            </w:pPr>
            <w:r w:rsidRPr="00442569">
              <w:rPr>
                <w:b/>
                <w:szCs w:val="28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750 764 228,94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1 030 478 534,94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428 704 653,89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b/>
                <w:sz w:val="18"/>
                <w:szCs w:val="18"/>
                <w:lang w:eastAsia="en-US"/>
              </w:rPr>
              <w:t>3 496 061 379,44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EC7477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1.</w:t>
            </w:r>
            <w:r w:rsidR="00EC7477">
              <w:rPr>
                <w:szCs w:val="28"/>
                <w:lang w:eastAsia="en-US"/>
              </w:rPr>
              <w:t xml:space="preserve"> </w:t>
            </w:r>
            <w:r w:rsidRPr="00442569">
              <w:rPr>
                <w:szCs w:val="28"/>
                <w:lang w:eastAsia="en-US"/>
              </w:rPr>
              <w:t>«</w:t>
            </w:r>
            <w:r w:rsidRPr="00442569">
              <w:rPr>
                <w:rFonts w:eastAsiaTheme="minorHAnsi"/>
                <w:lang w:eastAsia="en-US"/>
              </w:rPr>
              <w:t>Обеспечение сбалансированности бюджета и эффективное управление муниципальным долгом</w:t>
            </w:r>
            <w:r w:rsidRPr="00442569">
              <w:rPr>
                <w:szCs w:val="28"/>
                <w:lang w:eastAsia="en-US"/>
              </w:rPr>
              <w:t xml:space="preserve">» (всего),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589 938 054,00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870 000 000,00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268 226 118 ,95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268 226 118 ,95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268 226 118 ,95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268 226 118 ,95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2 532 842 529,80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numPr>
                <w:ilvl w:val="1"/>
                <w:numId w:val="27"/>
              </w:numPr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589 938 054,00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870 000 000,00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268 226 118 ,95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42569" w:rsidRPr="00442569" w:rsidRDefault="00442569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268 226 118 ,95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268 226 118 ,95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268 226 118 ,95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 w:firstLine="34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2 532 842 529,80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EC7477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2.</w:t>
            </w:r>
            <w:r w:rsidR="00EC7477">
              <w:rPr>
                <w:szCs w:val="28"/>
                <w:lang w:eastAsia="en-US"/>
              </w:rPr>
              <w:t xml:space="preserve"> </w:t>
            </w:r>
            <w:r w:rsidRPr="00442569">
              <w:rPr>
                <w:szCs w:val="28"/>
                <w:lang w:eastAsia="en-US"/>
              </w:rPr>
              <w:t>«</w:t>
            </w:r>
            <w:r w:rsidRPr="00442569">
              <w:rPr>
                <w:rFonts w:eastAsiaTheme="minorHAnsi"/>
                <w:lang w:eastAsia="en-US"/>
              </w:rPr>
              <w:t>Функционирование информационного пространства в сфере муниципальных финансов</w:t>
            </w:r>
            <w:r w:rsidRPr="00442569">
              <w:rPr>
                <w:szCs w:val="28"/>
                <w:lang w:eastAsia="en-US"/>
              </w:rPr>
              <w:t xml:space="preserve">» (всего),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numPr>
                <w:ilvl w:val="0"/>
                <w:numId w:val="29"/>
              </w:num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480 880,00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numPr>
                <w:ilvl w:val="1"/>
                <w:numId w:val="28"/>
              </w:numPr>
              <w:tabs>
                <w:tab w:val="left" w:pos="8986"/>
              </w:tabs>
              <w:ind w:left="313" w:right="40" w:hanging="313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Местный бюджет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left="454" w:right="4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35 480 880,00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EC7477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3. «Обеспечение деятельности органов местного самоуправления»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154 912 694,94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154 565 054,94   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154 565 054,94   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154 565 054,94   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154 565 054,94   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ind w:lef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ind w:lef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154 565 054,94   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927 737 796,64</w:t>
            </w:r>
          </w:p>
        </w:tc>
      </w:tr>
      <w:tr w:rsidR="00442569" w:rsidRPr="00442569" w:rsidTr="00115793"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3.1. Местный бюджет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154 912 694,94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154 565 054,94   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154 565 054,94   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154 565 054,94   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154 565 054,94   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ind w:lef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42569" w:rsidRPr="00442569" w:rsidRDefault="00442569" w:rsidP="00442569">
            <w:pPr>
              <w:ind w:lef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154 565 054,94   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927 737 796,64</w:t>
            </w: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both"/>
        <w:rPr>
          <w:szCs w:val="28"/>
          <w:lang w:eastAsia="en-US"/>
        </w:rPr>
      </w:pPr>
    </w:p>
    <w:p w:rsidR="00383DA8" w:rsidRPr="00312719" w:rsidRDefault="00383DA8" w:rsidP="00442569">
      <w:pPr>
        <w:pStyle w:val="ConsPlusNormal"/>
        <w:ind w:firstLine="0"/>
        <w:jc w:val="right"/>
        <w:rPr>
          <w:rFonts w:eastAsiaTheme="minorHAnsi"/>
        </w:rPr>
      </w:pPr>
    </w:p>
    <w:sectPr w:rsidR="00383DA8" w:rsidRPr="00312719" w:rsidSect="00FE2D36">
      <w:footerReference w:type="default" r:id="rId8"/>
      <w:pgSz w:w="16838" w:h="11905" w:orient="landscape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04" w:rsidRDefault="00F70704">
      <w:r>
        <w:separator/>
      </w:r>
    </w:p>
  </w:endnote>
  <w:endnote w:type="continuationSeparator" w:id="0">
    <w:p w:rsidR="00F70704" w:rsidRDefault="00F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19689"/>
      <w:docPartObj>
        <w:docPartGallery w:val="Page Numbers (Bottom of Page)"/>
        <w:docPartUnique/>
      </w:docPartObj>
    </w:sdtPr>
    <w:sdtEndPr/>
    <w:sdtContent>
      <w:p w:rsidR="00351229" w:rsidRDefault="00EC74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57">
          <w:rPr>
            <w:noProof/>
          </w:rPr>
          <w:t>6</w:t>
        </w:r>
        <w:r>
          <w:fldChar w:fldCharType="end"/>
        </w:r>
      </w:p>
    </w:sdtContent>
  </w:sdt>
  <w:p w:rsidR="00351229" w:rsidRDefault="00F707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04" w:rsidRDefault="00F70704">
      <w:r>
        <w:separator/>
      </w:r>
    </w:p>
  </w:footnote>
  <w:footnote w:type="continuationSeparator" w:id="0">
    <w:p w:rsidR="00F70704" w:rsidRDefault="00F7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860"/>
    <w:multiLevelType w:val="multilevel"/>
    <w:tmpl w:val="EFD8CD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28B0EAF"/>
    <w:multiLevelType w:val="hybridMultilevel"/>
    <w:tmpl w:val="024EB330"/>
    <w:lvl w:ilvl="0" w:tplc="1B82B4D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08121E"/>
    <w:multiLevelType w:val="multilevel"/>
    <w:tmpl w:val="E65010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4213CA4"/>
    <w:multiLevelType w:val="hybridMultilevel"/>
    <w:tmpl w:val="85442B38"/>
    <w:lvl w:ilvl="0" w:tplc="ABB01CE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7" w15:restartNumberingAfterBreak="0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6B73757C"/>
    <w:multiLevelType w:val="hybridMultilevel"/>
    <w:tmpl w:val="110449DC"/>
    <w:lvl w:ilvl="0" w:tplc="2EA0F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2B368D"/>
    <w:multiLevelType w:val="multilevel"/>
    <w:tmpl w:val="E94A7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5"/>
  </w:num>
  <w:num w:numId="5">
    <w:abstractNumId w:val="22"/>
  </w:num>
  <w:num w:numId="6">
    <w:abstractNumId w:val="12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1"/>
  </w:num>
  <w:num w:numId="21">
    <w:abstractNumId w:val="25"/>
  </w:num>
  <w:num w:numId="22">
    <w:abstractNumId w:val="6"/>
  </w:num>
  <w:num w:numId="23">
    <w:abstractNumId w:val="21"/>
  </w:num>
  <w:num w:numId="24">
    <w:abstractNumId w:val="9"/>
  </w:num>
  <w:num w:numId="25">
    <w:abstractNumId w:val="15"/>
  </w:num>
  <w:num w:numId="26">
    <w:abstractNumId w:val="19"/>
  </w:num>
  <w:num w:numId="27">
    <w:abstractNumId w:val="23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9"/>
    <w:rsid w:val="000004F7"/>
    <w:rsid w:val="00000C4E"/>
    <w:rsid w:val="00001A17"/>
    <w:rsid w:val="000250D8"/>
    <w:rsid w:val="00025284"/>
    <w:rsid w:val="000402C9"/>
    <w:rsid w:val="00045CF2"/>
    <w:rsid w:val="00082ABA"/>
    <w:rsid w:val="000A2C11"/>
    <w:rsid w:val="000C26D1"/>
    <w:rsid w:val="000D5494"/>
    <w:rsid w:val="000E4703"/>
    <w:rsid w:val="00105310"/>
    <w:rsid w:val="00115D0A"/>
    <w:rsid w:val="00120DCA"/>
    <w:rsid w:val="001644E8"/>
    <w:rsid w:val="00192303"/>
    <w:rsid w:val="001A0DE1"/>
    <w:rsid w:val="001D5493"/>
    <w:rsid w:val="001D7EA3"/>
    <w:rsid w:val="001F7930"/>
    <w:rsid w:val="00204B82"/>
    <w:rsid w:val="00224953"/>
    <w:rsid w:val="00235CCE"/>
    <w:rsid w:val="00253A51"/>
    <w:rsid w:val="00280052"/>
    <w:rsid w:val="00284753"/>
    <w:rsid w:val="002C6F22"/>
    <w:rsid w:val="002D0BE7"/>
    <w:rsid w:val="002D7AE6"/>
    <w:rsid w:val="002F5A3B"/>
    <w:rsid w:val="00310540"/>
    <w:rsid w:val="00312719"/>
    <w:rsid w:val="00356044"/>
    <w:rsid w:val="0036635E"/>
    <w:rsid w:val="0037230F"/>
    <w:rsid w:val="00383DA8"/>
    <w:rsid w:val="003D27CA"/>
    <w:rsid w:val="003E1154"/>
    <w:rsid w:val="003E307B"/>
    <w:rsid w:val="003F2D15"/>
    <w:rsid w:val="003F5976"/>
    <w:rsid w:val="00403352"/>
    <w:rsid w:val="00415BD8"/>
    <w:rsid w:val="00415D95"/>
    <w:rsid w:val="00423F4B"/>
    <w:rsid w:val="00442569"/>
    <w:rsid w:val="004444D8"/>
    <w:rsid w:val="004508D7"/>
    <w:rsid w:val="0045323D"/>
    <w:rsid w:val="0045341B"/>
    <w:rsid w:val="004540B7"/>
    <w:rsid w:val="0045655A"/>
    <w:rsid w:val="004600C0"/>
    <w:rsid w:val="004662AD"/>
    <w:rsid w:val="00484B74"/>
    <w:rsid w:val="0048788E"/>
    <w:rsid w:val="004940FF"/>
    <w:rsid w:val="004A37AA"/>
    <w:rsid w:val="004A7660"/>
    <w:rsid w:val="004B34A1"/>
    <w:rsid w:val="004C314D"/>
    <w:rsid w:val="004D6AE8"/>
    <w:rsid w:val="004F34E2"/>
    <w:rsid w:val="00504D7E"/>
    <w:rsid w:val="00507305"/>
    <w:rsid w:val="00510D3E"/>
    <w:rsid w:val="00512633"/>
    <w:rsid w:val="00526D0D"/>
    <w:rsid w:val="00564A49"/>
    <w:rsid w:val="00575EC2"/>
    <w:rsid w:val="005B360B"/>
    <w:rsid w:val="0060480A"/>
    <w:rsid w:val="0060699B"/>
    <w:rsid w:val="00617A8A"/>
    <w:rsid w:val="00626CAA"/>
    <w:rsid w:val="00630498"/>
    <w:rsid w:val="00675513"/>
    <w:rsid w:val="00675687"/>
    <w:rsid w:val="0068145E"/>
    <w:rsid w:val="006927BF"/>
    <w:rsid w:val="00696B88"/>
    <w:rsid w:val="006A1159"/>
    <w:rsid w:val="006B2759"/>
    <w:rsid w:val="006C203A"/>
    <w:rsid w:val="006F5505"/>
    <w:rsid w:val="006F63D2"/>
    <w:rsid w:val="00705A19"/>
    <w:rsid w:val="00707EA1"/>
    <w:rsid w:val="00723365"/>
    <w:rsid w:val="0079582A"/>
    <w:rsid w:val="007A5C03"/>
    <w:rsid w:val="007A782F"/>
    <w:rsid w:val="007B46A4"/>
    <w:rsid w:val="007C7171"/>
    <w:rsid w:val="007E328B"/>
    <w:rsid w:val="008008DB"/>
    <w:rsid w:val="00813C3B"/>
    <w:rsid w:val="008334F4"/>
    <w:rsid w:val="00833B1A"/>
    <w:rsid w:val="00844733"/>
    <w:rsid w:val="00860A7F"/>
    <w:rsid w:val="00891633"/>
    <w:rsid w:val="00893A0C"/>
    <w:rsid w:val="008A5AD7"/>
    <w:rsid w:val="008C3B78"/>
    <w:rsid w:val="008D0902"/>
    <w:rsid w:val="008E6303"/>
    <w:rsid w:val="009116E0"/>
    <w:rsid w:val="0094643A"/>
    <w:rsid w:val="0095283F"/>
    <w:rsid w:val="00957AA7"/>
    <w:rsid w:val="00967F89"/>
    <w:rsid w:val="00981CAB"/>
    <w:rsid w:val="0098340A"/>
    <w:rsid w:val="009A6DE1"/>
    <w:rsid w:val="009E4B63"/>
    <w:rsid w:val="009F3EEE"/>
    <w:rsid w:val="00A25C5C"/>
    <w:rsid w:val="00A37FE9"/>
    <w:rsid w:val="00A74D5C"/>
    <w:rsid w:val="00A95580"/>
    <w:rsid w:val="00AD4AAA"/>
    <w:rsid w:val="00AD5239"/>
    <w:rsid w:val="00AE51B1"/>
    <w:rsid w:val="00AF77AB"/>
    <w:rsid w:val="00B119C7"/>
    <w:rsid w:val="00B13A31"/>
    <w:rsid w:val="00B33489"/>
    <w:rsid w:val="00B33C78"/>
    <w:rsid w:val="00B500B1"/>
    <w:rsid w:val="00B940A9"/>
    <w:rsid w:val="00BA1557"/>
    <w:rsid w:val="00BA5FBE"/>
    <w:rsid w:val="00BB3E0D"/>
    <w:rsid w:val="00BC08BC"/>
    <w:rsid w:val="00BC1EC3"/>
    <w:rsid w:val="00BF6371"/>
    <w:rsid w:val="00C00CB4"/>
    <w:rsid w:val="00C03BC0"/>
    <w:rsid w:val="00C149F4"/>
    <w:rsid w:val="00C27265"/>
    <w:rsid w:val="00C35441"/>
    <w:rsid w:val="00C37E4F"/>
    <w:rsid w:val="00C50134"/>
    <w:rsid w:val="00C670CC"/>
    <w:rsid w:val="00C7240C"/>
    <w:rsid w:val="00C80B4D"/>
    <w:rsid w:val="00C856A5"/>
    <w:rsid w:val="00CC424E"/>
    <w:rsid w:val="00CD1943"/>
    <w:rsid w:val="00CE46E8"/>
    <w:rsid w:val="00CF0912"/>
    <w:rsid w:val="00CF5685"/>
    <w:rsid w:val="00D14DD9"/>
    <w:rsid w:val="00D23200"/>
    <w:rsid w:val="00D420DE"/>
    <w:rsid w:val="00D47C8A"/>
    <w:rsid w:val="00D62050"/>
    <w:rsid w:val="00D62105"/>
    <w:rsid w:val="00D7632B"/>
    <w:rsid w:val="00D824F8"/>
    <w:rsid w:val="00D86031"/>
    <w:rsid w:val="00DA55DE"/>
    <w:rsid w:val="00DA6FEF"/>
    <w:rsid w:val="00DC212D"/>
    <w:rsid w:val="00DD39CE"/>
    <w:rsid w:val="00DE2D98"/>
    <w:rsid w:val="00E03DF3"/>
    <w:rsid w:val="00E20D0D"/>
    <w:rsid w:val="00E341E5"/>
    <w:rsid w:val="00E36872"/>
    <w:rsid w:val="00E434BB"/>
    <w:rsid w:val="00E47EB5"/>
    <w:rsid w:val="00E50553"/>
    <w:rsid w:val="00E66AE4"/>
    <w:rsid w:val="00E66BEF"/>
    <w:rsid w:val="00E71993"/>
    <w:rsid w:val="00EA7661"/>
    <w:rsid w:val="00EC7477"/>
    <w:rsid w:val="00ED3D4F"/>
    <w:rsid w:val="00EE3104"/>
    <w:rsid w:val="00EE5A56"/>
    <w:rsid w:val="00F01659"/>
    <w:rsid w:val="00F05A49"/>
    <w:rsid w:val="00F06B19"/>
    <w:rsid w:val="00F13EE7"/>
    <w:rsid w:val="00F1698C"/>
    <w:rsid w:val="00F25265"/>
    <w:rsid w:val="00F351CF"/>
    <w:rsid w:val="00F408EC"/>
    <w:rsid w:val="00F40FCA"/>
    <w:rsid w:val="00F60365"/>
    <w:rsid w:val="00F70704"/>
    <w:rsid w:val="00F85E46"/>
    <w:rsid w:val="00F91E52"/>
    <w:rsid w:val="00F928F9"/>
    <w:rsid w:val="00FA20A9"/>
    <w:rsid w:val="00FB75E0"/>
    <w:rsid w:val="00FD2F2D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8808D-9478-446E-8094-BC50CC1A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8340A"/>
  </w:style>
  <w:style w:type="paragraph" w:styleId="afe">
    <w:name w:val="footnote text"/>
    <w:basedOn w:val="a"/>
    <w:link w:val="aff"/>
    <w:uiPriority w:val="99"/>
    <w:semiHidden/>
    <w:unhideWhenUsed/>
    <w:rsid w:val="0098340A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8340A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98340A"/>
    <w:rPr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44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2447-FCD7-4C22-B61D-F0E8B03A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Павлюченко Татьяна Викторовна</cp:lastModifiedBy>
  <cp:revision>5</cp:revision>
  <cp:lastPrinted>2024-11-02T11:11:00Z</cp:lastPrinted>
  <dcterms:created xsi:type="dcterms:W3CDTF">2023-05-30T11:52:00Z</dcterms:created>
  <dcterms:modified xsi:type="dcterms:W3CDTF">2024-11-07T11:26:00Z</dcterms:modified>
</cp:coreProperties>
</file>