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22F28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r w:rsidRPr="001264B3">
        <w:rPr>
          <w:sz w:val="28"/>
          <w:szCs w:val="28"/>
        </w:rPr>
        <w:t>П</w:t>
      </w:r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1F3CCA" w:rsidRDefault="00F458CB" w:rsidP="001F3CCA">
      <w:pPr>
        <w:tabs>
          <w:tab w:val="left" w:pos="4535"/>
        </w:tabs>
        <w:ind w:right="5103"/>
        <w:rPr>
          <w:sz w:val="28"/>
        </w:rPr>
      </w:pPr>
      <w:r w:rsidRPr="001264B3">
        <w:rPr>
          <w:sz w:val="28"/>
          <w:szCs w:val="28"/>
        </w:rPr>
        <w:t>О муниципальной программ</w:t>
      </w:r>
      <w:r w:rsidR="00F13441">
        <w:rPr>
          <w:sz w:val="28"/>
          <w:szCs w:val="28"/>
        </w:rPr>
        <w:t>е города Ханты-Мансийска</w:t>
      </w:r>
      <w:r w:rsidRPr="001264B3">
        <w:rPr>
          <w:sz w:val="28"/>
          <w:szCs w:val="28"/>
        </w:rPr>
        <w:t xml:space="preserve"> </w:t>
      </w:r>
      <w:r w:rsidR="00F13441">
        <w:rPr>
          <w:sz w:val="28"/>
          <w:szCs w:val="28"/>
        </w:rPr>
        <w:t>«</w:t>
      </w:r>
      <w:r w:rsidR="001F3CCA">
        <w:rPr>
          <w:sz w:val="28"/>
        </w:rPr>
        <w:t xml:space="preserve">Осуществление городом Ханты-Мансийском функций административного центра </w:t>
      </w:r>
    </w:p>
    <w:p w:rsidR="008442EE" w:rsidRPr="001264B3" w:rsidRDefault="001F3CCA" w:rsidP="001F3CCA">
      <w:pPr>
        <w:tabs>
          <w:tab w:val="left" w:pos="4535"/>
        </w:tabs>
        <w:ind w:right="5103"/>
        <w:rPr>
          <w:sz w:val="28"/>
        </w:rPr>
      </w:pPr>
      <w:r>
        <w:rPr>
          <w:sz w:val="28"/>
        </w:rPr>
        <w:t xml:space="preserve">Ханты-Мансийского автономного округа </w:t>
      </w:r>
      <w:r w:rsidR="00F13441">
        <w:rPr>
          <w:sz w:val="28"/>
        </w:rPr>
        <w:t>–</w:t>
      </w:r>
      <w:r>
        <w:rPr>
          <w:sz w:val="28"/>
        </w:rPr>
        <w:t xml:space="preserve"> Югры</w:t>
      </w:r>
      <w:r w:rsidR="00F13441">
        <w:rPr>
          <w:sz w:val="28"/>
        </w:rPr>
        <w:t>»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13441" w:rsidRDefault="00F13441" w:rsidP="00F13441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4B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целях приведения муниципальных правовых актов города Ханты-Мансийска в соответствие с действующим законодательством, учитывая Протокол заседания совместной комиссии Думы города Ханты-Мансийска от 11.11.2024 №10, на основании постановления Администрации города Ханты-Мансийска от 05.11.2024 №623 «О муниципальных программах города Ханты-Мансийска», руководствуясь статьей 71 Устава города Ханты-Мансийска:</w:t>
      </w:r>
    </w:p>
    <w:p w:rsidR="00F13441" w:rsidRDefault="00F458CB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 w:rsidRPr="001264B3">
        <w:rPr>
          <w:sz w:val="28"/>
          <w:szCs w:val="28"/>
        </w:rPr>
        <w:t xml:space="preserve">1. </w:t>
      </w:r>
      <w:r w:rsidR="00F13441" w:rsidRPr="001264B3">
        <w:rPr>
          <w:sz w:val="28"/>
          <w:szCs w:val="28"/>
        </w:rPr>
        <w:t>Утвердить</w:t>
      </w:r>
      <w:r w:rsidR="00F13441">
        <w:rPr>
          <w:sz w:val="28"/>
          <w:szCs w:val="28"/>
        </w:rPr>
        <w:t>:</w:t>
      </w:r>
    </w:p>
    <w:p w:rsidR="00F13441" w:rsidRDefault="00F13441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264B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64B3">
        <w:rPr>
          <w:sz w:val="28"/>
          <w:szCs w:val="28"/>
        </w:rPr>
        <w:t xml:space="preserve">униципальную программу </w:t>
      </w:r>
      <w:r>
        <w:rPr>
          <w:sz w:val="28"/>
          <w:szCs w:val="28"/>
        </w:rPr>
        <w:t>города Ханты-Мансийска</w:t>
      </w:r>
      <w:r w:rsidRPr="001264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29A7">
        <w:rPr>
          <w:sz w:val="28"/>
          <w:szCs w:val="28"/>
        </w:rPr>
        <w:t>Осуществление городом Ханты-Мансийском функций административного центра</w:t>
      </w:r>
      <w:r>
        <w:rPr>
          <w:sz w:val="28"/>
          <w:szCs w:val="28"/>
        </w:rPr>
        <w:t xml:space="preserve"> </w:t>
      </w:r>
      <w:r w:rsidRPr="004929A7">
        <w:rPr>
          <w:sz w:val="28"/>
          <w:szCs w:val="28"/>
        </w:rPr>
        <w:t>Ханты-Мансийского автономного округа - Югры</w:t>
      </w:r>
      <w:r>
        <w:rPr>
          <w:sz w:val="28"/>
          <w:szCs w:val="28"/>
        </w:rPr>
        <w:t>»</w:t>
      </w:r>
      <w:r w:rsidRPr="001264B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 к настоящему постановлению</w:t>
      </w:r>
      <w:r w:rsidR="00F458CB" w:rsidRPr="001264B3">
        <w:rPr>
          <w:sz w:val="28"/>
          <w:szCs w:val="28"/>
        </w:rPr>
        <w:t>.</w:t>
      </w:r>
    </w:p>
    <w:p w:rsidR="008442EE" w:rsidRPr="00F13441" w:rsidRDefault="00F13441" w:rsidP="00F1344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3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F458CB" w:rsidRPr="00F13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344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мероприятий (результатов) на 2025-2027 годы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1344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города Ханты-Мансийска «Осуществление городом Ханты-Мансийском функций административного центра Ханты-Мансийского автономного округа – Югры»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929A7" w:rsidRDefault="00F13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8CB" w:rsidRPr="001264B3">
        <w:rPr>
          <w:sz w:val="28"/>
          <w:szCs w:val="28"/>
        </w:rPr>
        <w:t>. Пр</w:t>
      </w:r>
      <w:r w:rsidR="004929A7">
        <w:rPr>
          <w:sz w:val="28"/>
          <w:szCs w:val="28"/>
        </w:rPr>
        <w:t>изнать утратившими силу постановления Администрации города Ханты-Мансийска:</w:t>
      </w:r>
    </w:p>
    <w:p w:rsidR="00B47E0C" w:rsidRDefault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13.02.2015 №359 «Об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 на 2015-2020 годы»;</w:t>
      </w:r>
    </w:p>
    <w:p w:rsidR="00B47E0C" w:rsidRDefault="00B47E0C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18.06.2015 №733 «О внесении изменений в постановление Администрации города Ханты-Мансийска от 13.02.2015 №</w:t>
      </w:r>
      <w:r w:rsidR="0047244C">
        <w:rPr>
          <w:sz w:val="28"/>
          <w:szCs w:val="28"/>
        </w:rPr>
        <w:t>359 «</w:t>
      </w:r>
      <w:r>
        <w:rPr>
          <w:sz w:val="28"/>
          <w:szCs w:val="28"/>
        </w:rPr>
        <w:t xml:space="preserve">Об утверждении муниципальной программы </w:t>
      </w:r>
      <w:r w:rsidRPr="00B47E0C">
        <w:rPr>
          <w:sz w:val="28"/>
          <w:szCs w:val="28"/>
        </w:rPr>
        <w:t>«Осуществление городом</w:t>
      </w:r>
      <w:r w:rsidR="0047244C">
        <w:rPr>
          <w:sz w:val="28"/>
          <w:szCs w:val="28"/>
        </w:rPr>
        <w:t xml:space="preserve"> </w:t>
      </w:r>
      <w:bookmarkStart w:id="0" w:name="_GoBack"/>
      <w:bookmarkEnd w:id="0"/>
      <w:r w:rsidRPr="00B47E0C">
        <w:rPr>
          <w:sz w:val="28"/>
          <w:szCs w:val="28"/>
        </w:rPr>
        <w:t>Ханты-Мансийском функций административного центра Ханты-Мансийского автономного округа – Югры» на 2015-2020 годы»;</w:t>
      </w:r>
    </w:p>
    <w:p w:rsidR="00B47E0C" w:rsidRDefault="00B47E0C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47E0C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30.12.2015</w:t>
      </w:r>
      <w:r w:rsidRPr="00B47E0C">
        <w:rPr>
          <w:sz w:val="28"/>
          <w:szCs w:val="28"/>
        </w:rPr>
        <w:t xml:space="preserve"> №</w:t>
      </w:r>
      <w:r>
        <w:rPr>
          <w:sz w:val="28"/>
          <w:szCs w:val="28"/>
        </w:rPr>
        <w:t>1511</w:t>
      </w:r>
      <w:r w:rsidRPr="00B47E0C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B47E0C">
        <w:rPr>
          <w:sz w:val="28"/>
          <w:szCs w:val="28"/>
        </w:rPr>
        <w:t>Об утверждении муниципальной программы «Осуществление городом           Ханты-Мансийском функций административного центра Ханты-Мансийского автономного округа – Югры» на 2015-2020 годы»;</w:t>
      </w:r>
    </w:p>
    <w:p w:rsidR="00B47E0C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>
        <w:rPr>
          <w:sz w:val="28"/>
          <w:szCs w:val="28"/>
        </w:rPr>
        <w:t>27.01.2017</w:t>
      </w:r>
      <w:r w:rsidRPr="00532695">
        <w:rPr>
          <w:sz w:val="28"/>
          <w:szCs w:val="28"/>
        </w:rPr>
        <w:t xml:space="preserve"> №</w:t>
      </w:r>
      <w:r>
        <w:rPr>
          <w:sz w:val="28"/>
          <w:szCs w:val="28"/>
        </w:rPr>
        <w:t>35</w:t>
      </w:r>
      <w:r w:rsidRPr="00532695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532695">
        <w:rPr>
          <w:sz w:val="28"/>
          <w:szCs w:val="28"/>
        </w:rPr>
        <w:t xml:space="preserve">Об утверждении муниципальной программы </w:t>
      </w:r>
      <w:r w:rsidR="00621CAC">
        <w:rPr>
          <w:sz w:val="28"/>
          <w:szCs w:val="28"/>
        </w:rPr>
        <w:t>«Осуществление городом</w:t>
      </w:r>
      <w:r w:rsidRPr="00532695">
        <w:rPr>
          <w:sz w:val="28"/>
          <w:szCs w:val="28"/>
        </w:rPr>
        <w:t xml:space="preserve"> Ханты-Мансийском функций административного центра Ханты-Мансийского автоном</w:t>
      </w:r>
      <w:r>
        <w:rPr>
          <w:sz w:val="28"/>
          <w:szCs w:val="28"/>
        </w:rPr>
        <w:t>ного округа – Югры» на 2016</w:t>
      </w:r>
      <w:r w:rsidRPr="00532695">
        <w:rPr>
          <w:sz w:val="28"/>
          <w:szCs w:val="28"/>
        </w:rPr>
        <w:t>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53269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32695">
        <w:rPr>
          <w:sz w:val="28"/>
          <w:szCs w:val="28"/>
        </w:rPr>
        <w:t>2.201</w:t>
      </w:r>
      <w:r>
        <w:rPr>
          <w:sz w:val="28"/>
          <w:szCs w:val="28"/>
        </w:rPr>
        <w:t>8</w:t>
      </w:r>
      <w:r w:rsidRPr="00532695">
        <w:rPr>
          <w:sz w:val="28"/>
          <w:szCs w:val="28"/>
        </w:rPr>
        <w:t xml:space="preserve"> №</w:t>
      </w:r>
      <w:r>
        <w:rPr>
          <w:sz w:val="28"/>
          <w:szCs w:val="28"/>
        </w:rPr>
        <w:t>86</w:t>
      </w:r>
      <w:r w:rsidRPr="00532695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532695">
        <w:rPr>
          <w:sz w:val="28"/>
          <w:szCs w:val="28"/>
        </w:rPr>
        <w:t>Об утверждении муниципальной программы «Осуществление городом</w:t>
      </w:r>
      <w:r w:rsidR="00621CAC">
        <w:rPr>
          <w:sz w:val="28"/>
          <w:szCs w:val="28"/>
        </w:rPr>
        <w:t xml:space="preserve"> </w:t>
      </w:r>
      <w:r w:rsidRPr="00532695">
        <w:rPr>
          <w:sz w:val="28"/>
          <w:szCs w:val="28"/>
        </w:rPr>
        <w:t>Ханты-Мансийском функций административного центра Ханты-Мансийского автономного округа – Югры» на 201</w:t>
      </w:r>
      <w:r>
        <w:rPr>
          <w:sz w:val="28"/>
          <w:szCs w:val="28"/>
        </w:rPr>
        <w:t>6</w:t>
      </w:r>
      <w:r w:rsidRPr="00532695">
        <w:rPr>
          <w:sz w:val="28"/>
          <w:szCs w:val="28"/>
        </w:rPr>
        <w:t>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532695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32695">
        <w:rPr>
          <w:sz w:val="28"/>
          <w:szCs w:val="28"/>
        </w:rPr>
        <w:t xml:space="preserve"> №1</w:t>
      </w:r>
      <w:r>
        <w:rPr>
          <w:sz w:val="28"/>
          <w:szCs w:val="28"/>
        </w:rPr>
        <w:t>384</w:t>
      </w:r>
      <w:r w:rsidRPr="00532695">
        <w:rPr>
          <w:sz w:val="28"/>
          <w:szCs w:val="28"/>
        </w:rPr>
        <w:t xml:space="preserve"> «О внесении изменений в постановление Администрации города Ханты-Мансийска от 13.02.20</w:t>
      </w:r>
      <w:r w:rsidR="0047244C">
        <w:rPr>
          <w:sz w:val="28"/>
          <w:szCs w:val="28"/>
        </w:rPr>
        <w:t>15 №359 «</w:t>
      </w:r>
      <w:r w:rsidRPr="00532695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 на 201</w:t>
      </w:r>
      <w:r>
        <w:rPr>
          <w:sz w:val="28"/>
          <w:szCs w:val="28"/>
        </w:rPr>
        <w:t>6</w:t>
      </w:r>
      <w:r w:rsidRPr="00532695">
        <w:rPr>
          <w:sz w:val="28"/>
          <w:szCs w:val="28"/>
        </w:rPr>
        <w:t>-2020 годы»;</w:t>
      </w:r>
    </w:p>
    <w:p w:rsidR="00532695" w:rsidRDefault="0053269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32695">
        <w:rPr>
          <w:sz w:val="28"/>
          <w:szCs w:val="28"/>
        </w:rPr>
        <w:t xml:space="preserve">от </w:t>
      </w:r>
      <w:r>
        <w:rPr>
          <w:sz w:val="28"/>
          <w:szCs w:val="28"/>
        </w:rPr>
        <w:t>26.07.2019</w:t>
      </w:r>
      <w:r w:rsidRPr="00532695">
        <w:rPr>
          <w:sz w:val="28"/>
          <w:szCs w:val="28"/>
        </w:rPr>
        <w:t xml:space="preserve"> №</w:t>
      </w:r>
      <w:r>
        <w:rPr>
          <w:sz w:val="28"/>
          <w:szCs w:val="28"/>
        </w:rPr>
        <w:t>864</w:t>
      </w:r>
      <w:r w:rsidRPr="00532695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532695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4329E">
        <w:rPr>
          <w:sz w:val="28"/>
          <w:szCs w:val="28"/>
        </w:rPr>
        <w:t>.2019 №</w:t>
      </w:r>
      <w:r>
        <w:rPr>
          <w:sz w:val="28"/>
          <w:szCs w:val="28"/>
        </w:rPr>
        <w:t>1304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4329E">
        <w:rPr>
          <w:sz w:val="28"/>
          <w:szCs w:val="28"/>
        </w:rPr>
        <w:t>.2019 №</w:t>
      </w:r>
      <w:r>
        <w:rPr>
          <w:sz w:val="28"/>
          <w:szCs w:val="28"/>
        </w:rPr>
        <w:t>1533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Ханты-Мансийска от 13.02.2015 №359 </w:t>
      </w:r>
      <w:r w:rsidR="0047244C">
        <w:rPr>
          <w:sz w:val="28"/>
          <w:szCs w:val="28"/>
        </w:rPr>
        <w:t>«</w:t>
      </w:r>
      <w:r w:rsidRPr="0064329E">
        <w:rPr>
          <w:sz w:val="28"/>
          <w:szCs w:val="28"/>
        </w:rPr>
        <w:t>Об утверждении муниципальной программы «Осуществление городом</w:t>
      </w:r>
      <w:r w:rsidR="00621CAC">
        <w:rPr>
          <w:sz w:val="28"/>
          <w:szCs w:val="28"/>
        </w:rPr>
        <w:t xml:space="preserve"> </w:t>
      </w:r>
      <w:r w:rsidRPr="0064329E">
        <w:rPr>
          <w:sz w:val="28"/>
          <w:szCs w:val="28"/>
        </w:rPr>
        <w:t>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169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1089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29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1563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26.04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409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651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1560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>от 2</w:t>
      </w:r>
      <w:r>
        <w:rPr>
          <w:sz w:val="28"/>
          <w:szCs w:val="28"/>
        </w:rPr>
        <w:t>5.01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61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>от 2</w:t>
      </w:r>
      <w:r>
        <w:rPr>
          <w:sz w:val="28"/>
          <w:szCs w:val="28"/>
        </w:rPr>
        <w:t>5.04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433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1306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25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17</w:t>
      </w:r>
      <w:r w:rsidRPr="0064329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116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643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4329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4329E">
        <w:rPr>
          <w:sz w:val="28"/>
          <w:szCs w:val="28"/>
        </w:rPr>
        <w:t xml:space="preserve"> №</w:t>
      </w:r>
      <w:r>
        <w:rPr>
          <w:sz w:val="28"/>
          <w:szCs w:val="28"/>
        </w:rPr>
        <w:t>771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Югры»;</w:t>
      </w:r>
    </w:p>
    <w:p w:rsidR="0064329E" w:rsidRDefault="0064329E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329E">
        <w:rPr>
          <w:sz w:val="28"/>
          <w:szCs w:val="28"/>
        </w:rPr>
        <w:t xml:space="preserve">от </w:t>
      </w:r>
      <w:r w:rsidR="00B30672">
        <w:rPr>
          <w:sz w:val="28"/>
          <w:szCs w:val="28"/>
        </w:rPr>
        <w:t>09</w:t>
      </w:r>
      <w:r w:rsidRPr="0064329E">
        <w:rPr>
          <w:sz w:val="28"/>
          <w:szCs w:val="28"/>
        </w:rPr>
        <w:t>.0</w:t>
      </w:r>
      <w:r w:rsidR="00B30672">
        <w:rPr>
          <w:sz w:val="28"/>
          <w:szCs w:val="28"/>
        </w:rPr>
        <w:t>2</w:t>
      </w:r>
      <w:r w:rsidRPr="0064329E">
        <w:rPr>
          <w:sz w:val="28"/>
          <w:szCs w:val="28"/>
        </w:rPr>
        <w:t>.20</w:t>
      </w:r>
      <w:r w:rsidR="00B30672">
        <w:rPr>
          <w:sz w:val="28"/>
          <w:szCs w:val="28"/>
        </w:rPr>
        <w:t>24</w:t>
      </w:r>
      <w:r w:rsidRPr="0064329E">
        <w:rPr>
          <w:sz w:val="28"/>
          <w:szCs w:val="28"/>
        </w:rPr>
        <w:t xml:space="preserve"> №</w:t>
      </w:r>
      <w:r w:rsidR="00B30672">
        <w:rPr>
          <w:sz w:val="28"/>
          <w:szCs w:val="28"/>
        </w:rPr>
        <w:t>49</w:t>
      </w:r>
      <w:r w:rsidRPr="0064329E">
        <w:rPr>
          <w:sz w:val="28"/>
          <w:szCs w:val="28"/>
        </w:rPr>
        <w:t xml:space="preserve"> «О внесении изменений в постановление Администрации города Хант</w:t>
      </w:r>
      <w:r w:rsidR="0047244C">
        <w:rPr>
          <w:sz w:val="28"/>
          <w:szCs w:val="28"/>
        </w:rPr>
        <w:t>ы-Мансийска от 13.02.2015 №359 «</w:t>
      </w:r>
      <w:r w:rsidRPr="0064329E">
        <w:rPr>
          <w:sz w:val="28"/>
          <w:szCs w:val="28"/>
        </w:rPr>
        <w:t>Об утверждении муниципальной программы «Осуществление городом Ханты-Мансийском функций административного центра Ханты-Мансийского автономного округа – Югры»</w:t>
      </w:r>
      <w:r w:rsidR="00B30672">
        <w:rPr>
          <w:sz w:val="28"/>
          <w:szCs w:val="28"/>
        </w:rPr>
        <w:t>.</w:t>
      </w:r>
    </w:p>
    <w:p w:rsidR="00B44226" w:rsidRPr="001264B3" w:rsidRDefault="00946C32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458CB" w:rsidRPr="001264B3">
        <w:rPr>
          <w:sz w:val="28"/>
          <w:szCs w:val="28"/>
        </w:rPr>
        <w:t xml:space="preserve">. </w:t>
      </w:r>
      <w:r w:rsidR="00B44226" w:rsidRPr="001264B3">
        <w:rPr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 сво</w:t>
      </w:r>
      <w:r w:rsidR="00F13441">
        <w:rPr>
          <w:bCs/>
          <w:sz w:val="28"/>
          <w:szCs w:val="28"/>
        </w:rPr>
        <w:t>е</w:t>
      </w:r>
      <w:r w:rsidR="00B44226" w:rsidRPr="001264B3">
        <w:rPr>
          <w:bCs/>
          <w:sz w:val="28"/>
          <w:szCs w:val="28"/>
        </w:rPr>
        <w:t xml:space="preserve"> действие на правоотношения, возникшие с 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.202</w:t>
      </w:r>
      <w:r w:rsidR="00CC297D" w:rsidRPr="001264B3">
        <w:rPr>
          <w:bCs/>
          <w:sz w:val="28"/>
          <w:szCs w:val="28"/>
        </w:rPr>
        <w:t>5</w:t>
      </w:r>
      <w:r w:rsidR="00B44226" w:rsidRPr="001264B3">
        <w:rPr>
          <w:bCs/>
          <w:sz w:val="28"/>
          <w:szCs w:val="28"/>
        </w:rPr>
        <w:t xml:space="preserve"> года.</w:t>
      </w:r>
    </w:p>
    <w:p w:rsidR="008442EE" w:rsidRPr="001264B3" w:rsidRDefault="00946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8CB" w:rsidRPr="001264B3">
        <w:rPr>
          <w:sz w:val="28"/>
          <w:szCs w:val="28"/>
        </w:rPr>
        <w:t>. Контроль за выполнением постанов</w:t>
      </w:r>
      <w:r w:rsidR="00B44226" w:rsidRPr="001264B3">
        <w:rPr>
          <w:sz w:val="28"/>
          <w:szCs w:val="28"/>
        </w:rPr>
        <w:t xml:space="preserve">ления возложить на </w:t>
      </w:r>
      <w:r>
        <w:rPr>
          <w:sz w:val="28"/>
          <w:szCs w:val="28"/>
        </w:rPr>
        <w:t xml:space="preserve">первого </w:t>
      </w:r>
      <w:r w:rsidR="00B44226" w:rsidRPr="001264B3">
        <w:rPr>
          <w:sz w:val="28"/>
          <w:szCs w:val="28"/>
        </w:rPr>
        <w:t>заместителя Г</w:t>
      </w:r>
      <w:r w:rsidR="00F458CB" w:rsidRPr="001264B3">
        <w:rPr>
          <w:sz w:val="28"/>
          <w:szCs w:val="28"/>
        </w:rPr>
        <w:t>лавы города</w:t>
      </w:r>
      <w:r w:rsidR="00B44226" w:rsidRPr="001264B3">
        <w:rPr>
          <w:sz w:val="28"/>
          <w:szCs w:val="28"/>
        </w:rPr>
        <w:t xml:space="preserve"> Ханты-Мансийска</w:t>
      </w:r>
      <w:r w:rsidR="00A433EE" w:rsidRPr="001264B3">
        <w:rPr>
          <w:sz w:val="28"/>
          <w:szCs w:val="28"/>
        </w:rPr>
        <w:t xml:space="preserve"> </w:t>
      </w:r>
      <w:r>
        <w:rPr>
          <w:sz w:val="28"/>
          <w:szCs w:val="28"/>
        </w:rPr>
        <w:t>Дунаевскую Н</w:t>
      </w:r>
      <w:r w:rsidR="00A433EE" w:rsidRPr="001264B3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433EE" w:rsidRPr="001264B3" w:rsidRDefault="00A433EE" w:rsidP="00A433EE">
      <w:pPr>
        <w:ind w:firstLine="567"/>
        <w:jc w:val="both"/>
        <w:rPr>
          <w:sz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Приложение</w:t>
      </w:r>
      <w:r w:rsidR="00F13441">
        <w:rPr>
          <w:sz w:val="28"/>
          <w:szCs w:val="28"/>
        </w:rPr>
        <w:t xml:space="preserve"> 1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к постановлению Администрации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 № ________</w:t>
      </w:r>
    </w:p>
    <w:p w:rsidR="00F13441" w:rsidRDefault="00F13441" w:rsidP="00F13441">
      <w:pPr>
        <w:contextualSpacing/>
        <w:jc w:val="center"/>
        <w:rPr>
          <w:sz w:val="28"/>
          <w:szCs w:val="28"/>
        </w:rPr>
      </w:pP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t>Паспорт</w:t>
      </w: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t>муниципальной программы города Ханты-Мансийска</w:t>
      </w:r>
    </w:p>
    <w:p w:rsidR="00F13441" w:rsidRPr="00C67271" w:rsidRDefault="00F13441" w:rsidP="00F13441">
      <w:pPr>
        <w:contextualSpacing/>
        <w:jc w:val="center"/>
        <w:rPr>
          <w:sz w:val="28"/>
          <w:szCs w:val="28"/>
        </w:rPr>
      </w:pPr>
      <w:r w:rsidRPr="00C67271">
        <w:rPr>
          <w:sz w:val="28"/>
          <w:szCs w:val="28"/>
        </w:rPr>
        <w:t xml:space="preserve">«Осуществление городом Ханты-Мансийском функций административного центра </w:t>
      </w: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t>Ханты-Мансийского автономного округа – Югры»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Pr="001264B3" w:rsidRDefault="00F13441" w:rsidP="00F13441">
      <w:pPr>
        <w:contextualSpacing/>
        <w:jc w:val="center"/>
      </w:pP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t>1. Основные положения</w:t>
      </w:r>
    </w:p>
    <w:p w:rsidR="00F13441" w:rsidRPr="001264B3" w:rsidRDefault="00F13441" w:rsidP="00F13441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F13441" w:rsidRPr="001264B3" w:rsidTr="00F13441">
        <w:trPr>
          <w:trHeight w:val="47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 w:rsidRPr="001264B3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>
              <w:t>Дунаевская Наталья Аркадьевна – первый заместитель Главы города Ханты-Мансийска</w:t>
            </w:r>
          </w:p>
        </w:tc>
      </w:tr>
      <w:tr w:rsidR="00F13441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 w:rsidRPr="001264B3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</w:tr>
      <w:tr w:rsidR="00F13441" w:rsidRPr="001264B3" w:rsidTr="008A1C99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 w:rsidRPr="001264B3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F13441">
            <w:pPr>
              <w:contextualSpacing/>
              <w:jc w:val="both"/>
            </w:pPr>
            <w:r w:rsidRPr="001264B3">
              <w:t>202</w:t>
            </w:r>
            <w:r>
              <w:t>5</w:t>
            </w:r>
            <w:r w:rsidRPr="001264B3">
              <w:t xml:space="preserve"> - 203</w:t>
            </w:r>
            <w:r>
              <w:t>0</w:t>
            </w:r>
          </w:p>
        </w:tc>
      </w:tr>
      <w:tr w:rsidR="00F13441" w:rsidRPr="001264B3" w:rsidTr="008A1C99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 w:rsidRPr="001264B3">
              <w:t>Цел</w:t>
            </w:r>
            <w:r>
              <w:t>ь</w:t>
            </w:r>
            <w:r w:rsidRPr="001264B3">
              <w:t xml:space="preserve">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4929A7">
              <w:t>Обеспечение исполнения городом Ханты-Мансийском функций административного центра Ханты-Мансийского автономного округа - Югры</w:t>
            </w:r>
          </w:p>
        </w:tc>
      </w:tr>
      <w:tr w:rsidR="00F13441" w:rsidRPr="001264B3" w:rsidTr="008A1C99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  <w:jc w:val="both"/>
            </w:pPr>
            <w:r w:rsidRPr="001264B3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1264B3" w:rsidRDefault="00F13441" w:rsidP="008A1C99">
            <w:pPr>
              <w:contextualSpacing/>
            </w:pPr>
            <w:r w:rsidRPr="000B4122">
              <w:t xml:space="preserve">3 585 044 242,44 </w:t>
            </w:r>
            <w:r w:rsidRPr="001264B3">
              <w:t>рублей</w:t>
            </w:r>
          </w:p>
        </w:tc>
      </w:tr>
    </w:tbl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Default="00F13441" w:rsidP="00F13441">
      <w:pPr>
        <w:contextualSpacing/>
        <w:jc w:val="center"/>
      </w:pP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lastRenderedPageBreak/>
        <w:t>2. Показатели муниципальной программы</w:t>
      </w:r>
    </w:p>
    <w:p w:rsidR="00F13441" w:rsidRPr="001264B3" w:rsidRDefault="00F13441" w:rsidP="00F13441">
      <w:pPr>
        <w:contextualSpacing/>
        <w:jc w:val="center"/>
      </w:pPr>
    </w:p>
    <w:tbl>
      <w:tblPr>
        <w:tblW w:w="52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256"/>
        <w:gridCol w:w="1156"/>
        <w:gridCol w:w="1274"/>
        <w:gridCol w:w="1033"/>
        <w:gridCol w:w="608"/>
        <w:gridCol w:w="700"/>
        <w:gridCol w:w="697"/>
        <w:gridCol w:w="700"/>
        <w:gridCol w:w="700"/>
        <w:gridCol w:w="700"/>
        <w:gridCol w:w="675"/>
        <w:gridCol w:w="1137"/>
        <w:gridCol w:w="2123"/>
        <w:gridCol w:w="1530"/>
      </w:tblGrid>
      <w:tr w:rsidR="00F13441" w:rsidRPr="00D1400E" w:rsidTr="008A1C99">
        <w:trPr>
          <w:trHeight w:val="348"/>
          <w:jc w:val="center"/>
        </w:trPr>
        <w:tc>
          <w:tcPr>
            <w:tcW w:w="174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№</w:t>
            </w:r>
          </w:p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12" w:type="pct"/>
            <w:vMerge w:val="restart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 xml:space="preserve">Наименование </w:t>
            </w:r>
          </w:p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365" w:type="pct"/>
            <w:vMerge w:val="restart"/>
          </w:tcPr>
          <w:p w:rsidR="00F13441" w:rsidRPr="00D1400E" w:rsidRDefault="00F13441" w:rsidP="008A1C99">
            <w:pPr>
              <w:ind w:left="-425" w:right="-407"/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 xml:space="preserve">Уровень </w:t>
            </w:r>
          </w:p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402" w:type="pct"/>
            <w:vMerge w:val="restart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 xml:space="preserve">Единица </w:t>
            </w:r>
          </w:p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измерения (по ОКЕИ)</w:t>
            </w:r>
          </w:p>
        </w:tc>
        <w:tc>
          <w:tcPr>
            <w:tcW w:w="518" w:type="pct"/>
            <w:gridSpan w:val="2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317" w:type="pct"/>
            <w:gridSpan w:val="6"/>
            <w:tcBorders>
              <w:right w:val="single" w:sz="4" w:space="0" w:color="auto"/>
            </w:tcBorders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441" w:rsidRPr="004216E2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441" w:rsidRPr="004216E2" w:rsidRDefault="00F13441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4216E2">
              <w:rPr>
                <w:sz w:val="20"/>
                <w:szCs w:val="20"/>
              </w:rPr>
              <w:t>Ответственный</w:t>
            </w:r>
          </w:p>
          <w:p w:rsidR="00F13441" w:rsidRPr="004216E2" w:rsidRDefault="00F13441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4216E2">
              <w:rPr>
                <w:sz w:val="20"/>
                <w:szCs w:val="20"/>
              </w:rPr>
              <w:t xml:space="preserve">за достижение </w:t>
            </w:r>
          </w:p>
          <w:p w:rsidR="00F13441" w:rsidRPr="004216E2" w:rsidRDefault="00F13441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 w:rsidRPr="004216E2">
              <w:rPr>
                <w:sz w:val="20"/>
                <w:szCs w:val="20"/>
              </w:rPr>
              <w:t>показателя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</w:tcPr>
          <w:p w:rsidR="00F13441" w:rsidRPr="00D1400E" w:rsidRDefault="00F13441" w:rsidP="008A1C99">
            <w:pPr>
              <w:ind w:left="-142" w:right="-18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F13441" w:rsidRPr="00D1400E" w:rsidTr="008A1C99">
        <w:trPr>
          <w:trHeight w:val="265"/>
          <w:jc w:val="center"/>
        </w:trPr>
        <w:tc>
          <w:tcPr>
            <w:tcW w:w="174" w:type="pct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D1400E" w:rsidRDefault="00F13441" w:rsidP="008A1C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441" w:rsidRPr="00D1400E" w:rsidRDefault="00F13441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F13441" w:rsidRPr="00D1400E" w:rsidRDefault="00F13441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441" w:rsidRPr="00D1400E" w:rsidRDefault="00F13441" w:rsidP="008A1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92" w:type="pct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21" w:type="pct"/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220" w:type="pct"/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221" w:type="pct"/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2027</w:t>
            </w:r>
          </w:p>
        </w:tc>
        <w:tc>
          <w:tcPr>
            <w:tcW w:w="221" w:type="pct"/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2028</w:t>
            </w:r>
          </w:p>
        </w:tc>
        <w:tc>
          <w:tcPr>
            <w:tcW w:w="221" w:type="pct"/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2029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 w:rsidRPr="00D1400E">
              <w:rPr>
                <w:b/>
                <w:bCs/>
                <w:sz w:val="20"/>
                <w:szCs w:val="20"/>
                <w:lang w:val="en-US"/>
              </w:rPr>
              <w:t>2030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</w:tcPr>
          <w:p w:rsidR="00F13441" w:rsidRPr="00D1400E" w:rsidRDefault="00F13441" w:rsidP="008A1C99">
            <w:pPr>
              <w:rPr>
                <w:sz w:val="20"/>
                <w:szCs w:val="20"/>
              </w:rPr>
            </w:pPr>
          </w:p>
        </w:tc>
      </w:tr>
      <w:tr w:rsidR="00F13441" w:rsidRPr="0009641D" w:rsidTr="008A1C99">
        <w:trPr>
          <w:trHeight w:val="265"/>
          <w:jc w:val="center"/>
        </w:trPr>
        <w:tc>
          <w:tcPr>
            <w:tcW w:w="174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09641D" w:rsidRDefault="00F13441" w:rsidP="008A1C99">
            <w:pPr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1</w:t>
            </w:r>
          </w:p>
        </w:tc>
        <w:tc>
          <w:tcPr>
            <w:tcW w:w="712" w:type="pct"/>
          </w:tcPr>
          <w:p w:rsidR="00F13441" w:rsidRPr="0009641D" w:rsidRDefault="00F13441" w:rsidP="008A1C99">
            <w:pPr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F13441" w:rsidRPr="0009641D" w:rsidRDefault="00F13441" w:rsidP="008A1C99">
            <w:pPr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</w:tcPr>
          <w:p w:rsidR="00F13441" w:rsidRPr="0009641D" w:rsidRDefault="00F13441" w:rsidP="008A1C99">
            <w:pPr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</w:tcPr>
          <w:p w:rsidR="00F13441" w:rsidRPr="0009641D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</w:tcPr>
          <w:p w:rsidR="00F13441" w:rsidRPr="0009641D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6</w:t>
            </w:r>
          </w:p>
        </w:tc>
        <w:tc>
          <w:tcPr>
            <w:tcW w:w="221" w:type="pct"/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0" w:type="pct"/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1" w:type="pct"/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1" w:type="pct"/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1" w:type="pct"/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right w:val="single" w:sz="4" w:space="0" w:color="auto"/>
            </w:tcBorders>
          </w:tcPr>
          <w:p w:rsidR="00F13441" w:rsidRPr="0009641D" w:rsidRDefault="00F13441" w:rsidP="008A1C9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09641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F13441" w:rsidRPr="0009641D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13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</w:tcPr>
          <w:p w:rsidR="00F13441" w:rsidRPr="0009641D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14</w:t>
            </w:r>
          </w:p>
        </w:tc>
        <w:tc>
          <w:tcPr>
            <w:tcW w:w="483" w:type="pct"/>
            <w:tcBorders>
              <w:left w:val="single" w:sz="4" w:space="0" w:color="auto"/>
            </w:tcBorders>
          </w:tcPr>
          <w:p w:rsidR="00F13441" w:rsidRPr="0009641D" w:rsidRDefault="00F13441" w:rsidP="008A1C99">
            <w:pPr>
              <w:jc w:val="center"/>
              <w:rPr>
                <w:sz w:val="20"/>
                <w:szCs w:val="20"/>
              </w:rPr>
            </w:pPr>
            <w:r w:rsidRPr="0009641D">
              <w:rPr>
                <w:sz w:val="20"/>
                <w:szCs w:val="20"/>
              </w:rPr>
              <w:t>15</w:t>
            </w:r>
          </w:p>
        </w:tc>
      </w:tr>
      <w:tr w:rsidR="00F13441" w:rsidRPr="00D1400E" w:rsidTr="008A1C99">
        <w:trPr>
          <w:trHeight w:val="63"/>
          <w:jc w:val="center"/>
        </w:trPr>
        <w:tc>
          <w:tcPr>
            <w:tcW w:w="5000" w:type="pct"/>
            <w:gridSpan w:val="15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D1400E">
              <w:rPr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 «</w:t>
            </w:r>
            <w:r w:rsidRPr="00D1400E">
              <w:rPr>
                <w:sz w:val="20"/>
                <w:szCs w:val="20"/>
              </w:rPr>
              <w:t>Обеспечение исполнения городом Ханты-Мансийском функций административного центра Ханты-Мансийс</w:t>
            </w:r>
            <w:r>
              <w:rPr>
                <w:sz w:val="20"/>
                <w:szCs w:val="20"/>
              </w:rPr>
              <w:t>кого автономного округа – Югры»</w:t>
            </w:r>
          </w:p>
        </w:tc>
      </w:tr>
      <w:tr w:rsidR="00F13441" w:rsidRPr="00D1400E" w:rsidTr="008A1C99">
        <w:trPr>
          <w:trHeight w:val="1380"/>
          <w:jc w:val="center"/>
        </w:trPr>
        <w:tc>
          <w:tcPr>
            <w:tcW w:w="174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2" w:type="pct"/>
            <w:vAlign w:val="center"/>
          </w:tcPr>
          <w:p w:rsidR="00F13441" w:rsidRPr="0062674A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 w:rsidRPr="0062674A">
              <w:rPr>
                <w:rFonts w:eastAsia="Calibri"/>
                <w:sz w:val="20"/>
                <w:szCs w:val="20"/>
                <w:lang w:eastAsia="zh-CN"/>
              </w:rPr>
              <w:t>Количество гостей административного центра в связи с проводимыми масштабными мероприятиями</w:t>
            </w:r>
          </w:p>
        </w:tc>
        <w:tc>
          <w:tcPr>
            <w:tcW w:w="365" w:type="pct"/>
            <w:vAlign w:val="center"/>
          </w:tcPr>
          <w:p w:rsidR="00F13441" w:rsidRPr="00D1400E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02" w:type="pct"/>
            <w:vAlign w:val="center"/>
          </w:tcPr>
          <w:p w:rsidR="00F13441" w:rsidRPr="002616D4" w:rsidRDefault="00F13441" w:rsidP="008A1C99">
            <w:pPr>
              <w:contextualSpacing/>
              <w:jc w:val="center"/>
              <w:rPr>
                <w:sz w:val="20"/>
                <w:szCs w:val="20"/>
              </w:rPr>
            </w:pPr>
            <w:r w:rsidRPr="002616D4">
              <w:rPr>
                <w:rFonts w:eastAsia="Calibri"/>
                <w:sz w:val="20"/>
                <w:szCs w:val="20"/>
                <w:lang w:eastAsia="zh-CN"/>
              </w:rPr>
              <w:t>тыс. человек в год</w:t>
            </w:r>
          </w:p>
        </w:tc>
        <w:tc>
          <w:tcPr>
            <w:tcW w:w="326" w:type="pct"/>
            <w:vAlign w:val="center"/>
          </w:tcPr>
          <w:p w:rsidR="00F13441" w:rsidRPr="009B28D6" w:rsidRDefault="00F13441" w:rsidP="008A1C99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202,7</w:t>
            </w:r>
          </w:p>
        </w:tc>
        <w:tc>
          <w:tcPr>
            <w:tcW w:w="192" w:type="pct"/>
            <w:vAlign w:val="center"/>
          </w:tcPr>
          <w:p w:rsidR="00F13441" w:rsidRPr="00D1400E" w:rsidRDefault="00F13441" w:rsidP="00F1344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1" w:type="pct"/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20" w:type="pct"/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21" w:type="pct"/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21" w:type="pct"/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21" w:type="pct"/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F13441" w:rsidRPr="00585A10" w:rsidRDefault="00F13441" w:rsidP="008A1C99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441" w:rsidRPr="00585A10" w:rsidRDefault="00F13441" w:rsidP="008A1C99">
            <w:pPr>
              <w:ind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F13441" w:rsidRPr="00D1400E" w:rsidRDefault="00F13441" w:rsidP="008A1C9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«Центр молодежных проектов»</w:t>
            </w:r>
          </w:p>
        </w:tc>
        <w:tc>
          <w:tcPr>
            <w:tcW w:w="483" w:type="pct"/>
            <w:vAlign w:val="center"/>
          </w:tcPr>
          <w:p w:rsidR="00F13441" w:rsidRPr="00585A10" w:rsidRDefault="00F13441" w:rsidP="008A1C99">
            <w:pPr>
              <w:ind w:right="-1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44C" w:rsidRPr="00D1400E" w:rsidTr="008A1C99">
        <w:trPr>
          <w:trHeight w:val="1380"/>
          <w:jc w:val="center"/>
        </w:trPr>
        <w:tc>
          <w:tcPr>
            <w:tcW w:w="174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47244C" w:rsidRPr="00B32134" w:rsidRDefault="0047244C" w:rsidP="0047244C">
            <w:pPr>
              <w:contextualSpacing/>
              <w:jc w:val="center"/>
              <w:rPr>
                <w:sz w:val="20"/>
                <w:szCs w:val="20"/>
              </w:rPr>
            </w:pPr>
            <w:r w:rsidRPr="00B32134">
              <w:rPr>
                <w:sz w:val="20"/>
                <w:szCs w:val="20"/>
              </w:rPr>
              <w:t>2.</w:t>
            </w:r>
          </w:p>
        </w:tc>
        <w:tc>
          <w:tcPr>
            <w:tcW w:w="712" w:type="pct"/>
            <w:vAlign w:val="center"/>
          </w:tcPr>
          <w:p w:rsidR="0047244C" w:rsidRPr="00B32134" w:rsidRDefault="0047244C" w:rsidP="0047244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 w:rsidRPr="00B32134">
              <w:rPr>
                <w:rFonts w:eastAsia="Calibri"/>
                <w:sz w:val="20"/>
                <w:szCs w:val="20"/>
                <w:lang w:eastAsia="zh-CN"/>
              </w:rPr>
              <w:t>Площадь дорог, объектов внешнего благоустройства, находящихся на обслуживании</w:t>
            </w:r>
          </w:p>
          <w:p w:rsidR="0047244C" w:rsidRPr="00B32134" w:rsidRDefault="0047244C" w:rsidP="0047244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65" w:type="pct"/>
            <w:vAlign w:val="center"/>
          </w:tcPr>
          <w:p w:rsidR="0047244C" w:rsidRPr="00B32134" w:rsidRDefault="0047244C" w:rsidP="0047244C">
            <w:pPr>
              <w:contextualSpacing/>
              <w:jc w:val="center"/>
              <w:rPr>
                <w:sz w:val="20"/>
                <w:szCs w:val="20"/>
              </w:rPr>
            </w:pPr>
            <w:r w:rsidRPr="00B32134">
              <w:rPr>
                <w:sz w:val="20"/>
                <w:szCs w:val="20"/>
              </w:rPr>
              <w:t>МП</w:t>
            </w:r>
          </w:p>
        </w:tc>
        <w:tc>
          <w:tcPr>
            <w:tcW w:w="402" w:type="pct"/>
            <w:vAlign w:val="center"/>
          </w:tcPr>
          <w:p w:rsidR="0047244C" w:rsidRPr="00B32134" w:rsidRDefault="0047244C" w:rsidP="0047244C">
            <w:pPr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B32134">
              <w:rPr>
                <w:rFonts w:eastAsia="Calibri"/>
                <w:sz w:val="20"/>
                <w:szCs w:val="20"/>
                <w:lang w:eastAsia="zh-CN"/>
              </w:rPr>
              <w:t>тыс. кв. м</w:t>
            </w:r>
          </w:p>
        </w:tc>
        <w:tc>
          <w:tcPr>
            <w:tcW w:w="326" w:type="pct"/>
            <w:vAlign w:val="center"/>
          </w:tcPr>
          <w:p w:rsidR="0047244C" w:rsidRPr="009B28D6" w:rsidRDefault="0047244C" w:rsidP="0047244C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1 579</w:t>
            </w:r>
          </w:p>
        </w:tc>
        <w:tc>
          <w:tcPr>
            <w:tcW w:w="192" w:type="pct"/>
            <w:vAlign w:val="center"/>
          </w:tcPr>
          <w:p w:rsidR="0047244C" w:rsidRPr="00B32134" w:rsidRDefault="0047244C" w:rsidP="0047244C">
            <w:pPr>
              <w:contextualSpacing/>
              <w:jc w:val="center"/>
              <w:rPr>
                <w:sz w:val="20"/>
                <w:szCs w:val="20"/>
              </w:rPr>
            </w:pPr>
            <w:r w:rsidRPr="00B3213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vAlign w:val="center"/>
          </w:tcPr>
          <w:p w:rsidR="0047244C" w:rsidRPr="00590042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590042">
              <w:rPr>
                <w:sz w:val="20"/>
                <w:szCs w:val="20"/>
              </w:rPr>
              <w:t>1 602,4</w:t>
            </w:r>
          </w:p>
        </w:tc>
        <w:tc>
          <w:tcPr>
            <w:tcW w:w="220" w:type="pct"/>
            <w:vAlign w:val="center"/>
          </w:tcPr>
          <w:p w:rsidR="0047244C" w:rsidRPr="00590042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590042">
              <w:rPr>
                <w:sz w:val="20"/>
                <w:szCs w:val="20"/>
              </w:rPr>
              <w:t>1 602,4</w:t>
            </w:r>
          </w:p>
        </w:tc>
        <w:tc>
          <w:tcPr>
            <w:tcW w:w="221" w:type="pct"/>
            <w:vAlign w:val="center"/>
          </w:tcPr>
          <w:p w:rsidR="0047244C" w:rsidRPr="0047244C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47244C">
              <w:rPr>
                <w:sz w:val="20"/>
                <w:szCs w:val="20"/>
              </w:rPr>
              <w:t>1 714,1</w:t>
            </w:r>
          </w:p>
        </w:tc>
        <w:tc>
          <w:tcPr>
            <w:tcW w:w="221" w:type="pct"/>
            <w:vAlign w:val="center"/>
          </w:tcPr>
          <w:p w:rsidR="0047244C" w:rsidRPr="0047244C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47244C">
              <w:rPr>
                <w:sz w:val="20"/>
                <w:szCs w:val="20"/>
              </w:rPr>
              <w:t>1714,1</w:t>
            </w:r>
          </w:p>
        </w:tc>
        <w:tc>
          <w:tcPr>
            <w:tcW w:w="221" w:type="pct"/>
            <w:vAlign w:val="center"/>
          </w:tcPr>
          <w:p w:rsidR="0047244C" w:rsidRPr="0047244C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47244C">
              <w:rPr>
                <w:sz w:val="20"/>
                <w:szCs w:val="20"/>
              </w:rPr>
              <w:t>1965,0</w:t>
            </w:r>
          </w:p>
        </w:tc>
        <w:tc>
          <w:tcPr>
            <w:tcW w:w="213" w:type="pct"/>
            <w:tcBorders>
              <w:right w:val="single" w:sz="4" w:space="0" w:color="auto"/>
            </w:tcBorders>
            <w:vAlign w:val="center"/>
          </w:tcPr>
          <w:p w:rsidR="0047244C" w:rsidRPr="0047244C" w:rsidRDefault="0047244C" w:rsidP="0047244C">
            <w:pPr>
              <w:ind w:left="-138" w:right="-134"/>
              <w:contextualSpacing/>
              <w:jc w:val="center"/>
              <w:rPr>
                <w:sz w:val="20"/>
                <w:szCs w:val="20"/>
              </w:rPr>
            </w:pPr>
            <w:r w:rsidRPr="0047244C">
              <w:rPr>
                <w:sz w:val="20"/>
                <w:szCs w:val="20"/>
              </w:rPr>
              <w:t>1965,0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44C" w:rsidRPr="00B32134" w:rsidRDefault="0047244C" w:rsidP="0047244C">
            <w:pPr>
              <w:ind w:right="-134"/>
              <w:contextualSpacing/>
              <w:jc w:val="center"/>
              <w:rPr>
                <w:sz w:val="20"/>
                <w:szCs w:val="20"/>
              </w:rPr>
            </w:pPr>
            <w:r w:rsidRPr="00B32134">
              <w:rPr>
                <w:sz w:val="20"/>
                <w:szCs w:val="20"/>
              </w:rPr>
              <w:t>-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47244C" w:rsidRPr="00B32134" w:rsidRDefault="0047244C" w:rsidP="0047244C">
            <w:pPr>
              <w:contextualSpacing/>
              <w:rPr>
                <w:sz w:val="20"/>
                <w:szCs w:val="20"/>
              </w:rPr>
            </w:pPr>
            <w:r w:rsidRPr="00B32134">
              <w:rPr>
                <w:sz w:val="20"/>
                <w:szCs w:val="28"/>
                <w:lang w:eastAsia="en-US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483" w:type="pct"/>
            <w:vAlign w:val="center"/>
          </w:tcPr>
          <w:p w:rsidR="0047244C" w:rsidRDefault="0047244C" w:rsidP="0047244C">
            <w:pPr>
              <w:ind w:right="-134"/>
              <w:contextualSpacing/>
              <w:jc w:val="center"/>
              <w:rPr>
                <w:sz w:val="20"/>
                <w:szCs w:val="20"/>
              </w:rPr>
            </w:pPr>
            <w:r w:rsidRPr="00B32134">
              <w:rPr>
                <w:sz w:val="20"/>
                <w:szCs w:val="20"/>
              </w:rPr>
              <w:t>-</w:t>
            </w:r>
          </w:p>
        </w:tc>
      </w:tr>
    </w:tbl>
    <w:p w:rsidR="00F13441" w:rsidRPr="001264B3" w:rsidRDefault="00F13441" w:rsidP="00F13441">
      <w:pPr>
        <w:contextualSpacing/>
      </w:pPr>
    </w:p>
    <w:p w:rsidR="00F13441" w:rsidRPr="00C67271" w:rsidRDefault="00F13441" w:rsidP="00F13441">
      <w:pPr>
        <w:contextualSpacing/>
        <w:jc w:val="center"/>
      </w:pPr>
      <w:r w:rsidRPr="00C67271">
        <w:rPr>
          <w:sz w:val="28"/>
          <w:szCs w:val="28"/>
        </w:rPr>
        <w:t>3. Структура муниципальной программы</w:t>
      </w:r>
    </w:p>
    <w:tbl>
      <w:tblPr>
        <w:tblStyle w:val="24"/>
        <w:tblW w:w="15735" w:type="dxa"/>
        <w:tblInd w:w="-431" w:type="dxa"/>
        <w:tblLook w:val="04A0" w:firstRow="1" w:lastRow="0" w:firstColumn="1" w:lastColumn="0" w:noHBand="0" w:noVBand="1"/>
      </w:tblPr>
      <w:tblGrid>
        <w:gridCol w:w="852"/>
        <w:gridCol w:w="3969"/>
        <w:gridCol w:w="6945"/>
        <w:gridCol w:w="3969"/>
      </w:tblGrid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Зада</w:t>
            </w:r>
            <w:r>
              <w:rPr>
                <w:sz w:val="20"/>
                <w:szCs w:val="28"/>
                <w:lang w:eastAsia="en-US"/>
              </w:rPr>
              <w:t>ч</w:t>
            </w:r>
            <w:r w:rsidRPr="003166F2">
              <w:rPr>
                <w:sz w:val="20"/>
                <w:szCs w:val="28"/>
                <w:lang w:eastAsia="en-US"/>
              </w:rPr>
              <w:t xml:space="preserve">и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</w:p>
        </w:tc>
        <w:tc>
          <w:tcPr>
            <w:tcW w:w="6945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 xml:space="preserve">Краткое описание </w:t>
            </w:r>
            <w:r>
              <w:rPr>
                <w:sz w:val="20"/>
                <w:szCs w:val="28"/>
                <w:lang w:eastAsia="en-US"/>
              </w:rPr>
              <w:t xml:space="preserve">ожидаемых </w:t>
            </w:r>
            <w:r w:rsidRPr="003166F2">
              <w:rPr>
                <w:sz w:val="20"/>
                <w:szCs w:val="28"/>
                <w:lang w:eastAsia="en-US"/>
              </w:rPr>
              <w:t xml:space="preserve">эффектов от реализации задачи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Связь с показателями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6945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4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1.</w:t>
            </w:r>
          </w:p>
        </w:tc>
        <w:tc>
          <w:tcPr>
            <w:tcW w:w="14883" w:type="dxa"/>
            <w:gridSpan w:val="3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Создание условий для о</w:t>
            </w:r>
            <w:r w:rsidRPr="00DD50D1">
              <w:rPr>
                <w:sz w:val="20"/>
                <w:szCs w:val="28"/>
                <w:lang w:eastAsia="en-US"/>
              </w:rPr>
              <w:t>рганизаци</w:t>
            </w:r>
            <w:r>
              <w:rPr>
                <w:sz w:val="20"/>
                <w:szCs w:val="28"/>
                <w:lang w:eastAsia="en-US"/>
              </w:rPr>
              <w:t>и</w:t>
            </w:r>
            <w:r w:rsidRPr="00DD50D1">
              <w:rPr>
                <w:sz w:val="20"/>
                <w:szCs w:val="28"/>
                <w:lang w:eastAsia="en-US"/>
              </w:rPr>
              <w:t xml:space="preserve"> праздничного оформления административного центра Ханты-Мансийского автономного округа - Югры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Ответственный за реализацию: Департамент городского хозяйства</w:t>
            </w:r>
            <w:r w:rsidRPr="003166F2">
              <w:rPr>
                <w:sz w:val="20"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  <w:tc>
          <w:tcPr>
            <w:tcW w:w="10914" w:type="dxa"/>
            <w:gridSpan w:val="2"/>
          </w:tcPr>
          <w:p w:rsidR="00F13441" w:rsidRPr="003166F2" w:rsidRDefault="00F13441" w:rsidP="00F13441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Срок реализации 2025-2030 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1.1.</w:t>
            </w:r>
          </w:p>
        </w:tc>
        <w:tc>
          <w:tcPr>
            <w:tcW w:w="3969" w:type="dxa"/>
          </w:tcPr>
          <w:p w:rsidR="00F13441" w:rsidRPr="00EC479A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мероприятий по праздничному оформлению административного центра Ханты-Мансийского автономного округа - Югры</w:t>
            </w:r>
          </w:p>
        </w:tc>
        <w:tc>
          <w:tcPr>
            <w:tcW w:w="6945" w:type="dxa"/>
          </w:tcPr>
          <w:p w:rsidR="00F13441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Увеличение к</w:t>
            </w:r>
            <w:r w:rsidRPr="0062674A">
              <w:rPr>
                <w:rFonts w:eastAsia="Calibri"/>
                <w:sz w:val="20"/>
                <w:szCs w:val="20"/>
                <w:lang w:eastAsia="zh-CN"/>
              </w:rPr>
              <w:t>оличеств</w:t>
            </w:r>
            <w:r>
              <w:rPr>
                <w:rFonts w:eastAsia="Calibri"/>
                <w:sz w:val="20"/>
                <w:szCs w:val="20"/>
                <w:lang w:eastAsia="zh-CN"/>
              </w:rPr>
              <w:t>а</w:t>
            </w:r>
            <w:r w:rsidRPr="0062674A">
              <w:rPr>
                <w:rFonts w:eastAsia="Calibri"/>
                <w:sz w:val="20"/>
                <w:szCs w:val="20"/>
                <w:lang w:eastAsia="zh-CN"/>
              </w:rPr>
              <w:t xml:space="preserve"> гостей административного центра в связи с проводимыми масштабными мероприятиями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до 210 тыс. человек к 2030 году</w:t>
            </w:r>
          </w:p>
          <w:p w:rsidR="00F13441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  <w:p w:rsidR="00F13441" w:rsidRPr="00D26331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62674A">
              <w:rPr>
                <w:rFonts w:eastAsia="Calibri"/>
                <w:sz w:val="20"/>
                <w:szCs w:val="20"/>
                <w:lang w:eastAsia="zh-CN"/>
              </w:rPr>
              <w:t>Количество гостей административного центра в связи с проводимыми масштабными мероприятиями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2.</w:t>
            </w:r>
          </w:p>
        </w:tc>
        <w:tc>
          <w:tcPr>
            <w:tcW w:w="14883" w:type="dxa"/>
            <w:gridSpan w:val="3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 w:rsidRPr="00DD50D1">
              <w:rPr>
                <w:sz w:val="20"/>
                <w:szCs w:val="28"/>
                <w:lang w:eastAsia="en-US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Ответственный за реализацию: Департамент городского хозяйства</w:t>
            </w:r>
            <w:r w:rsidRPr="003166F2">
              <w:rPr>
                <w:sz w:val="20"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  <w:tc>
          <w:tcPr>
            <w:tcW w:w="10914" w:type="dxa"/>
            <w:gridSpan w:val="2"/>
          </w:tcPr>
          <w:p w:rsidR="00F13441" w:rsidRPr="003166F2" w:rsidRDefault="00F13441" w:rsidP="00F13441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С</w:t>
            </w:r>
            <w:r w:rsidRPr="00DD50D1">
              <w:rPr>
                <w:sz w:val="20"/>
                <w:szCs w:val="28"/>
                <w:lang w:eastAsia="en-US"/>
              </w:rPr>
              <w:t>рок реализации 202</w:t>
            </w:r>
            <w:r>
              <w:rPr>
                <w:sz w:val="20"/>
                <w:szCs w:val="28"/>
                <w:lang w:eastAsia="en-US"/>
              </w:rPr>
              <w:t>5</w:t>
            </w:r>
            <w:r w:rsidRPr="00DD50D1">
              <w:rPr>
                <w:sz w:val="20"/>
                <w:szCs w:val="28"/>
                <w:lang w:eastAsia="en-US"/>
              </w:rPr>
              <w:t xml:space="preserve">-2030 </w:t>
            </w:r>
          </w:p>
        </w:tc>
      </w:tr>
      <w:tr w:rsidR="00F13441" w:rsidRPr="003166F2" w:rsidTr="008A1C99">
        <w:tc>
          <w:tcPr>
            <w:tcW w:w="852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2.1.</w:t>
            </w:r>
          </w:p>
        </w:tc>
        <w:tc>
          <w:tcPr>
            <w:tcW w:w="396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Обеспечение выполнения мероприятий по </w:t>
            </w:r>
            <w:r w:rsidRPr="00DD50D1">
              <w:rPr>
                <w:sz w:val="20"/>
                <w:szCs w:val="28"/>
                <w:lang w:eastAsia="en-US"/>
              </w:rPr>
              <w:t>формировани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сохранени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развити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 xml:space="preserve"> инфраструктуры и внешнего облика города</w:t>
            </w:r>
          </w:p>
        </w:tc>
        <w:tc>
          <w:tcPr>
            <w:tcW w:w="6945" w:type="dxa"/>
          </w:tcPr>
          <w:p w:rsidR="00F13441" w:rsidRPr="00E34E84" w:rsidRDefault="00F13441" w:rsidP="008A1C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34E84">
              <w:rPr>
                <w:rFonts w:eastAsia="Calibri"/>
                <w:sz w:val="20"/>
                <w:szCs w:val="20"/>
                <w:lang w:eastAsia="zh-CN"/>
              </w:rPr>
              <w:t xml:space="preserve">Обеспечение соответствия города Ханты-Мансийска статусу административного центра Ханты-Мансийского автономного округа - Югры </w:t>
            </w:r>
          </w:p>
          <w:p w:rsidR="00F13441" w:rsidRPr="00DC7554" w:rsidRDefault="00F13441" w:rsidP="008A1C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</w:tcPr>
          <w:p w:rsidR="00F13441" w:rsidRDefault="00F13441" w:rsidP="008A1C99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  <w:r w:rsidRPr="00E34E84">
              <w:rPr>
                <w:sz w:val="20"/>
                <w:szCs w:val="28"/>
                <w:lang w:eastAsia="en-US"/>
              </w:rPr>
              <w:t>Площадь дорог, объектов внешнего благоустройства, находящихся на обслуживании</w:t>
            </w:r>
          </w:p>
        </w:tc>
      </w:tr>
    </w:tbl>
    <w:p w:rsidR="00F13441" w:rsidRDefault="00F13441" w:rsidP="00F13441">
      <w:pPr>
        <w:contextualSpacing/>
        <w:jc w:val="center"/>
        <w:rPr>
          <w:b/>
          <w:sz w:val="28"/>
          <w:szCs w:val="28"/>
        </w:rPr>
      </w:pPr>
    </w:p>
    <w:p w:rsidR="00F13441" w:rsidRPr="00C67271" w:rsidRDefault="00F13441" w:rsidP="00F13441">
      <w:pPr>
        <w:contextualSpacing/>
        <w:jc w:val="center"/>
        <w:rPr>
          <w:sz w:val="28"/>
          <w:szCs w:val="28"/>
        </w:rPr>
      </w:pPr>
      <w:r w:rsidRPr="00C67271">
        <w:rPr>
          <w:sz w:val="28"/>
          <w:szCs w:val="28"/>
        </w:rPr>
        <w:t>4. Финансовое обеспечение муниципальной программы</w:t>
      </w:r>
    </w:p>
    <w:tbl>
      <w:tblPr>
        <w:tblStyle w:val="33"/>
        <w:tblW w:w="1573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559"/>
        <w:gridCol w:w="1559"/>
        <w:gridCol w:w="1560"/>
        <w:gridCol w:w="1559"/>
        <w:gridCol w:w="1559"/>
        <w:gridCol w:w="1559"/>
        <w:gridCol w:w="1701"/>
      </w:tblGrid>
      <w:tr w:rsidR="00F13441" w:rsidRPr="003166F2" w:rsidTr="008A1C99">
        <w:tc>
          <w:tcPr>
            <w:tcW w:w="4679" w:type="dxa"/>
            <w:vMerge w:val="restart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 xml:space="preserve">Наименование муниципальной программы, </w:t>
            </w:r>
            <w:r>
              <w:rPr>
                <w:sz w:val="20"/>
                <w:szCs w:val="28"/>
                <w:lang w:eastAsia="en-US"/>
              </w:rPr>
              <w:t>основного мероприятия</w:t>
            </w:r>
            <w:r w:rsidRPr="003166F2">
              <w:rPr>
                <w:sz w:val="20"/>
                <w:szCs w:val="28"/>
                <w:lang w:eastAsia="en-US"/>
              </w:rPr>
              <w:t>, источник финансового обеспечения</w:t>
            </w:r>
          </w:p>
        </w:tc>
        <w:tc>
          <w:tcPr>
            <w:tcW w:w="11056" w:type="dxa"/>
            <w:gridSpan w:val="7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Объем финансового обеспечения по годам, рублей</w:t>
            </w:r>
          </w:p>
        </w:tc>
      </w:tr>
      <w:tr w:rsidR="00F13441" w:rsidRPr="003166F2" w:rsidTr="008A1C99">
        <w:tc>
          <w:tcPr>
            <w:tcW w:w="4679" w:type="dxa"/>
            <w:vMerge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13441" w:rsidRPr="00CF58C0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</w:tcPr>
          <w:p w:rsidR="00F13441" w:rsidRPr="00CF58C0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2026</w:t>
            </w:r>
          </w:p>
        </w:tc>
        <w:tc>
          <w:tcPr>
            <w:tcW w:w="1560" w:type="dxa"/>
          </w:tcPr>
          <w:p w:rsidR="00F13441" w:rsidRPr="00CF58C0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2027</w:t>
            </w:r>
          </w:p>
        </w:tc>
        <w:tc>
          <w:tcPr>
            <w:tcW w:w="1559" w:type="dxa"/>
          </w:tcPr>
          <w:p w:rsidR="00F13441" w:rsidRPr="00CF58C0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2028</w:t>
            </w:r>
          </w:p>
        </w:tc>
        <w:tc>
          <w:tcPr>
            <w:tcW w:w="1559" w:type="dxa"/>
          </w:tcPr>
          <w:p w:rsidR="00F13441" w:rsidRPr="00CF58C0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2029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Всего</w:t>
            </w:r>
          </w:p>
        </w:tc>
      </w:tr>
      <w:tr w:rsidR="00F13441" w:rsidRPr="003166F2" w:rsidTr="008A1C99">
        <w:tc>
          <w:tcPr>
            <w:tcW w:w="467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 w:rsidRPr="003166F2"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F13441" w:rsidRPr="003166F2" w:rsidRDefault="00F13441" w:rsidP="008A1C9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</w:tr>
      <w:tr w:rsidR="00F13441" w:rsidRPr="003166F2" w:rsidTr="008A1C99">
        <w:tc>
          <w:tcPr>
            <w:tcW w:w="4679" w:type="dxa"/>
          </w:tcPr>
          <w:p w:rsidR="00F13441" w:rsidRPr="004C719C" w:rsidRDefault="00F13441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4C719C">
              <w:rPr>
                <w:sz w:val="20"/>
                <w:szCs w:val="28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597 507 373,74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3 585 044 242,44</w:t>
            </w:r>
          </w:p>
        </w:tc>
      </w:tr>
      <w:tr w:rsidR="00F13441" w:rsidRPr="003166F2" w:rsidTr="008A1C99">
        <w:tc>
          <w:tcPr>
            <w:tcW w:w="4679" w:type="dxa"/>
          </w:tcPr>
          <w:p w:rsidR="00F13441" w:rsidRPr="004C719C" w:rsidRDefault="00F13441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4C719C">
              <w:rPr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591 532 300,00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3 549 193 800,00</w:t>
            </w:r>
          </w:p>
        </w:tc>
      </w:tr>
      <w:tr w:rsidR="00F13441" w:rsidRPr="003166F2" w:rsidTr="008A1C99">
        <w:tc>
          <w:tcPr>
            <w:tcW w:w="4679" w:type="dxa"/>
          </w:tcPr>
          <w:p w:rsidR="00F13441" w:rsidRPr="004C719C" w:rsidRDefault="00F13441" w:rsidP="008A1C99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  <w:szCs w:val="28"/>
                <w:lang w:eastAsia="en-US"/>
              </w:rPr>
            </w:pPr>
            <w:r w:rsidRPr="004C719C">
              <w:rPr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5 975 073,74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35 850 442,44</w:t>
            </w:r>
          </w:p>
        </w:tc>
      </w:tr>
      <w:tr w:rsidR="00F13441" w:rsidRPr="003166F2" w:rsidTr="008A1C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Pr="004C719C" w:rsidRDefault="00F13441" w:rsidP="008A1C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C719C">
              <w:rPr>
                <w:bCs/>
                <w:color w:val="000000"/>
                <w:sz w:val="20"/>
                <w:szCs w:val="28"/>
                <w:lang w:eastAsia="en-US"/>
              </w:rPr>
              <w:t>1.</w:t>
            </w:r>
            <w:r>
              <w:rPr>
                <w:bCs/>
                <w:color w:val="000000"/>
                <w:sz w:val="20"/>
                <w:szCs w:val="28"/>
                <w:lang w:eastAsia="en-US"/>
              </w:rPr>
              <w:t xml:space="preserve"> </w:t>
            </w:r>
            <w:r w:rsidRPr="004C719C">
              <w:rPr>
                <w:bCs/>
                <w:color w:val="000000"/>
                <w:sz w:val="20"/>
                <w:szCs w:val="28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Создание условий для о</w:t>
            </w:r>
            <w:r w:rsidRPr="00DD50D1">
              <w:rPr>
                <w:sz w:val="20"/>
                <w:szCs w:val="28"/>
                <w:lang w:eastAsia="en-US"/>
              </w:rPr>
              <w:t>рганизаци</w:t>
            </w:r>
            <w:r>
              <w:rPr>
                <w:sz w:val="20"/>
                <w:szCs w:val="28"/>
                <w:lang w:eastAsia="en-US"/>
              </w:rPr>
              <w:t>и</w:t>
            </w:r>
            <w:r w:rsidRPr="00DD50D1">
              <w:rPr>
                <w:sz w:val="20"/>
                <w:szCs w:val="28"/>
                <w:lang w:eastAsia="en-US"/>
              </w:rPr>
              <w:t xml:space="preserve"> праздничного оформления административного центра Ханты-Мансийского автономного округа - Югры</w:t>
            </w:r>
            <w:r w:rsidRPr="004C719C">
              <w:rPr>
                <w:bCs/>
                <w:color w:val="000000"/>
                <w:sz w:val="20"/>
                <w:szCs w:val="28"/>
                <w:lang w:eastAsia="en-US"/>
              </w:rPr>
              <w:t>» (всего),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24 162 554,78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144 975 328,68</w:t>
            </w:r>
          </w:p>
        </w:tc>
      </w:tr>
      <w:tr w:rsidR="00F13441" w:rsidRPr="003166F2" w:rsidTr="008A1C99"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Pr="004C719C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 w:rsidRPr="004C719C">
              <w:rPr>
                <w:color w:val="000000"/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23 920 929,23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143 525 575,38</w:t>
            </w:r>
          </w:p>
        </w:tc>
      </w:tr>
      <w:tr w:rsidR="00F13441" w:rsidRPr="003166F2" w:rsidTr="008A1C99"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Pr="004C719C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 w:rsidRPr="004C719C">
              <w:rPr>
                <w:color w:val="000000"/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241 625,55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1 449 753,30</w:t>
            </w:r>
          </w:p>
        </w:tc>
      </w:tr>
      <w:tr w:rsidR="00F13441" w:rsidRPr="003166F2" w:rsidTr="008A1C9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Pr="004C719C" w:rsidRDefault="00F13441" w:rsidP="008A1C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C719C">
              <w:rPr>
                <w:bCs/>
                <w:color w:val="000000"/>
                <w:sz w:val="20"/>
                <w:szCs w:val="28"/>
                <w:lang w:eastAsia="en-US"/>
              </w:rPr>
              <w:t>2. «</w:t>
            </w:r>
            <w:r w:rsidRPr="00DD50D1">
              <w:rPr>
                <w:sz w:val="20"/>
                <w:szCs w:val="28"/>
                <w:lang w:eastAsia="en-US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  <w:r w:rsidRPr="004C719C">
              <w:rPr>
                <w:bCs/>
                <w:color w:val="000000"/>
                <w:sz w:val="20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573 344 818,96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3 440 068 913,76</w:t>
            </w:r>
          </w:p>
        </w:tc>
      </w:tr>
      <w:tr w:rsidR="00F13441" w:rsidRPr="003166F2" w:rsidTr="008A1C99"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567 611 370,77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3 405 668 224,62</w:t>
            </w:r>
          </w:p>
        </w:tc>
      </w:tr>
      <w:tr w:rsidR="00F13441" w:rsidRPr="003166F2" w:rsidTr="008A1C99"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5 733 448,19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1" w:rsidRDefault="00F13441" w:rsidP="008A1C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34 400 689,14</w:t>
            </w:r>
          </w:p>
        </w:tc>
      </w:tr>
    </w:tbl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pStyle w:val="ConsPlusNormal10"/>
      </w:pPr>
    </w:p>
    <w:p w:rsidR="00F13441" w:rsidRDefault="00F13441" w:rsidP="00F134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13441" w:rsidRDefault="00F13441" w:rsidP="00F1344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13441" w:rsidRDefault="00F13441" w:rsidP="00F1344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</w:t>
      </w:r>
    </w:p>
    <w:p w:rsidR="00F13441" w:rsidRDefault="00F13441" w:rsidP="00F1344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 №______</w:t>
      </w:r>
    </w:p>
    <w:p w:rsidR="00F13441" w:rsidRDefault="00F13441" w:rsidP="00F13441">
      <w:pPr>
        <w:pStyle w:val="ConsPlusTitle"/>
        <w:jc w:val="right"/>
        <w:rPr>
          <w:rFonts w:ascii="Times New Roman" w:hAnsi="Times New Roman" w:cs="Times New Roman"/>
          <w:sz w:val="24"/>
        </w:rPr>
      </w:pPr>
    </w:p>
    <w:p w:rsidR="00F13441" w:rsidRPr="00F13441" w:rsidRDefault="00F13441" w:rsidP="00F1344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13441">
        <w:rPr>
          <w:rFonts w:ascii="Times New Roman" w:hAnsi="Times New Roman" w:cs="Times New Roman"/>
          <w:b w:val="0"/>
          <w:sz w:val="24"/>
        </w:rPr>
        <w:t xml:space="preserve">Перечень мероприятий (результатов) на 2025-2027 годы </w:t>
      </w:r>
    </w:p>
    <w:p w:rsidR="00F13441" w:rsidRPr="00A5192C" w:rsidRDefault="00F13441" w:rsidP="00F1344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13441">
        <w:rPr>
          <w:rFonts w:ascii="Times New Roman" w:hAnsi="Times New Roman" w:cs="Times New Roman"/>
          <w:b w:val="0"/>
          <w:sz w:val="24"/>
          <w:szCs w:val="28"/>
        </w:rPr>
        <w:t>муниципальной программы города Ханты-Мансийска «Осуществление городом Ханты-Мансийском функций административного центра Ханты-Мансийского автономного округа – Югры»</w:t>
      </w:r>
    </w:p>
    <w:p w:rsidR="00F13441" w:rsidRPr="00A171FB" w:rsidRDefault="00F13441" w:rsidP="00F134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06"/>
        <w:gridCol w:w="1806"/>
        <w:gridCol w:w="4379"/>
        <w:gridCol w:w="1691"/>
        <w:gridCol w:w="1691"/>
        <w:gridCol w:w="1691"/>
        <w:gridCol w:w="1642"/>
      </w:tblGrid>
      <w:tr w:rsidR="00F13441" w:rsidRPr="00F71453" w:rsidTr="008A1C99">
        <w:tc>
          <w:tcPr>
            <w:tcW w:w="13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№</w:t>
            </w:r>
          </w:p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 xml:space="preserve">Наименование </w:t>
            </w:r>
            <w:r w:rsidRPr="0062674A">
              <w:rPr>
                <w:rFonts w:eastAsiaTheme="minorEastAsia"/>
                <w:sz w:val="22"/>
                <w:szCs w:val="22"/>
              </w:rPr>
              <w:t>основного мероприятия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 xml:space="preserve">Задача </w:t>
            </w:r>
            <w:r w:rsidRPr="0062674A">
              <w:rPr>
                <w:rFonts w:eastAsiaTheme="minorEastAsia"/>
                <w:sz w:val="22"/>
                <w:szCs w:val="22"/>
              </w:rPr>
              <w:t>основного мероприятия</w:t>
            </w:r>
          </w:p>
        </w:tc>
        <w:tc>
          <w:tcPr>
            <w:tcW w:w="1578" w:type="pct"/>
          </w:tcPr>
          <w:p w:rsidR="00F13441" w:rsidRPr="00DC0CBE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C0CBE">
              <w:rPr>
                <w:rFonts w:eastAsiaTheme="minorEastAsia"/>
                <w:sz w:val="22"/>
                <w:szCs w:val="22"/>
              </w:rPr>
              <w:t>Расшифровка содержания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DC0CBE">
              <w:rPr>
                <w:rFonts w:eastAsiaTheme="minorEastAsia"/>
                <w:sz w:val="22"/>
                <w:szCs w:val="22"/>
              </w:rPr>
              <w:t>(направления расходов)</w:t>
            </w:r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Общий объем финансирования</w:t>
            </w:r>
            <w:r>
              <w:rPr>
                <w:rFonts w:eastAsiaTheme="minorEastAsia"/>
                <w:sz w:val="22"/>
                <w:szCs w:val="22"/>
              </w:rPr>
              <w:t xml:space="preserve"> на 2025 год</w:t>
            </w:r>
            <w:r w:rsidRPr="00F71453">
              <w:rPr>
                <w:rFonts w:eastAsiaTheme="minorEastAsia"/>
                <w:sz w:val="22"/>
                <w:szCs w:val="22"/>
              </w:rPr>
              <w:t>, руб.</w:t>
            </w:r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Общий объем финансирования</w:t>
            </w:r>
            <w:r>
              <w:rPr>
                <w:rFonts w:eastAsiaTheme="minorEastAsia"/>
                <w:sz w:val="22"/>
                <w:szCs w:val="22"/>
              </w:rPr>
              <w:t xml:space="preserve"> на 2026 год</w:t>
            </w:r>
            <w:r w:rsidRPr="00F71453">
              <w:rPr>
                <w:rFonts w:eastAsiaTheme="minorEastAsia"/>
                <w:sz w:val="22"/>
                <w:szCs w:val="22"/>
              </w:rPr>
              <w:t>, руб.</w:t>
            </w:r>
          </w:p>
        </w:tc>
        <w:tc>
          <w:tcPr>
            <w:tcW w:w="42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Общий объем финансирования</w:t>
            </w:r>
            <w:r>
              <w:rPr>
                <w:rFonts w:eastAsiaTheme="minorEastAsia"/>
                <w:sz w:val="22"/>
                <w:szCs w:val="22"/>
              </w:rPr>
              <w:t xml:space="preserve"> на 2027 год</w:t>
            </w:r>
            <w:r w:rsidRPr="00F71453">
              <w:rPr>
                <w:rFonts w:eastAsiaTheme="minorEastAsia"/>
                <w:sz w:val="22"/>
                <w:szCs w:val="22"/>
              </w:rPr>
              <w:t>, руб.</w:t>
            </w:r>
          </w:p>
        </w:tc>
        <w:tc>
          <w:tcPr>
            <w:tcW w:w="543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Ответственный исполнитель</w:t>
            </w:r>
          </w:p>
        </w:tc>
      </w:tr>
      <w:tr w:rsidR="00F13441" w:rsidRPr="00F71453" w:rsidTr="008A1C99">
        <w:tc>
          <w:tcPr>
            <w:tcW w:w="13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bCs/>
                <w:sz w:val="22"/>
                <w:szCs w:val="22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Создание условий для о</w:t>
            </w:r>
            <w:r w:rsidRPr="00DD50D1">
              <w:rPr>
                <w:sz w:val="20"/>
                <w:szCs w:val="28"/>
                <w:lang w:eastAsia="en-US"/>
              </w:rPr>
              <w:t>рганизаци</w:t>
            </w:r>
            <w:r>
              <w:rPr>
                <w:sz w:val="20"/>
                <w:szCs w:val="28"/>
                <w:lang w:eastAsia="en-US"/>
              </w:rPr>
              <w:t>и</w:t>
            </w:r>
            <w:r w:rsidRPr="00DD50D1">
              <w:rPr>
                <w:sz w:val="20"/>
                <w:szCs w:val="28"/>
                <w:lang w:eastAsia="en-US"/>
              </w:rPr>
              <w:t xml:space="preserve"> праздничного оформления административного центра Ханты-Мансийского автономного округа - Югры</w:t>
            </w:r>
            <w:r w:rsidRPr="00F71453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 xml:space="preserve">1.1. </w:t>
            </w: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мероприятий по праздничному оформлению административного центра Ханты-Мансийского автономного округа - Югры</w:t>
            </w:r>
          </w:p>
        </w:tc>
        <w:tc>
          <w:tcPr>
            <w:tcW w:w="1578" w:type="pct"/>
          </w:tcPr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Комплекс мероприятий по подготовке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и праздничному оформлению территории города Ханты-Мансийска (создание, модернизация и обслуживание системы аудиовизуальной трансляции, медиа комплексов, доставка, вывоз, монтаж, демонтаж, оформление, приобретение, обслуживание, ремонт, содержание, охрана новогодних елей и ледовых городков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на Центральной площади и площади Свободы города Ханты-Мансийска), электроснабжение дополнительных источников в период проведения праздничных мероприятий. Содержание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и текущий ремонт праздничной иллюминации, флажков-ветерков,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панель-кронштейнов на опорах освещения, флагов расцвечивания: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световая гирлянда </w:t>
            </w:r>
            <w:proofErr w:type="spellStart"/>
            <w:r w:rsidRPr="00DC0CBE">
              <w:rPr>
                <w:sz w:val="20"/>
                <w:szCs w:val="20"/>
              </w:rPr>
              <w:t>белт-лайт</w:t>
            </w:r>
            <w:proofErr w:type="spellEnd"/>
            <w:r w:rsidRPr="00DC0CBE">
              <w:rPr>
                <w:sz w:val="20"/>
                <w:szCs w:val="20"/>
              </w:rPr>
              <w:t xml:space="preserve">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ул.Комсомольской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парке имени Бориса Лосева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Маркса,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ул.Строителей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консоль «Снежинка»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Маркса,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«Свечи» по </w:t>
            </w:r>
            <w:proofErr w:type="spellStart"/>
            <w:r w:rsidRPr="00DC0CBE">
              <w:rPr>
                <w:sz w:val="20"/>
                <w:szCs w:val="20"/>
              </w:rPr>
              <w:t>ул.Свободы</w:t>
            </w:r>
            <w:proofErr w:type="spellEnd"/>
            <w:r w:rsidRPr="00DC0CBE">
              <w:rPr>
                <w:sz w:val="20"/>
                <w:szCs w:val="20"/>
              </w:rPr>
              <w:t xml:space="preserve">, «Фонарь»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ул.Тихой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lastRenderedPageBreak/>
              <w:t xml:space="preserve">световая гирлянда «Нить» и светодиодная гирлянда «Бахрома» на фасадах зданий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и деревьях, располагающихся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в центральной и прилегающей к ней частях города Ханты-Мансийска;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объемно-пространственная композиция «Световой кронштейн тип 1»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ул.Ямской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ул.Ленина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ул.Анны</w:t>
            </w:r>
            <w:proofErr w:type="spellEnd"/>
            <w:r w:rsidRPr="00DC0CBE">
              <w:rPr>
                <w:sz w:val="20"/>
                <w:szCs w:val="20"/>
              </w:rPr>
              <w:t xml:space="preserve"> Коньковой;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объемно-пространственная композиция «Световой кронштейн тип 2»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; «Вертикальная световая композиция»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из </w:t>
            </w:r>
            <w:proofErr w:type="spellStart"/>
            <w:r w:rsidRPr="00DC0CBE">
              <w:rPr>
                <w:sz w:val="20"/>
                <w:szCs w:val="20"/>
              </w:rPr>
              <w:t>дюралайта</w:t>
            </w:r>
            <w:proofErr w:type="spellEnd"/>
            <w:r w:rsidRPr="00DC0CBE">
              <w:rPr>
                <w:sz w:val="20"/>
                <w:szCs w:val="20"/>
              </w:rPr>
              <w:t xml:space="preserve"> (</w:t>
            </w:r>
            <w:proofErr w:type="spellStart"/>
            <w:r w:rsidRPr="00DC0CBE">
              <w:rPr>
                <w:sz w:val="20"/>
                <w:szCs w:val="20"/>
              </w:rPr>
              <w:t>толедо</w:t>
            </w:r>
            <w:proofErr w:type="spellEnd"/>
            <w:r w:rsidRPr="00DC0CBE">
              <w:rPr>
                <w:sz w:val="20"/>
                <w:szCs w:val="20"/>
              </w:rPr>
              <w:t xml:space="preserve">) по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; светодиодные фигуры «Олень», «Медведь», «Лось», «Мамонт», «Подарок», «Сани», световая арка «Подарок»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на стоянке у </w:t>
            </w:r>
            <w:proofErr w:type="spellStart"/>
            <w:r w:rsidRPr="00DC0CBE">
              <w:rPr>
                <w:sz w:val="20"/>
                <w:szCs w:val="20"/>
              </w:rPr>
              <w:t>речпорта</w:t>
            </w:r>
            <w:proofErr w:type="spellEnd"/>
            <w:r w:rsidRPr="00DC0CBE">
              <w:rPr>
                <w:sz w:val="20"/>
                <w:szCs w:val="20"/>
              </w:rPr>
              <w:t xml:space="preserve">, по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у Ледового дворца, в сквере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ул.Зеленодольской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световой арт-объект «Фонтан»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на кольце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 – </w:t>
            </w:r>
            <w:proofErr w:type="spellStart"/>
            <w:r w:rsidRPr="00DC0CBE">
              <w:rPr>
                <w:sz w:val="20"/>
                <w:szCs w:val="20"/>
              </w:rPr>
              <w:t>ул.Луговой</w:t>
            </w:r>
            <w:proofErr w:type="spellEnd"/>
            <w:r w:rsidRPr="00DC0CBE">
              <w:rPr>
                <w:sz w:val="20"/>
                <w:szCs w:val="20"/>
              </w:rPr>
              <w:t xml:space="preserve">; малая архитектурная форма в виде «Одуванчика» по </w:t>
            </w:r>
            <w:proofErr w:type="spellStart"/>
            <w:r w:rsidRPr="00DC0CBE">
              <w:rPr>
                <w:sz w:val="20"/>
                <w:szCs w:val="20"/>
              </w:rPr>
              <w:t>ул.Пионерской</w:t>
            </w:r>
            <w:proofErr w:type="spellEnd"/>
            <w:r w:rsidRPr="00DC0CBE">
              <w:rPr>
                <w:sz w:val="20"/>
                <w:szCs w:val="20"/>
              </w:rPr>
              <w:t xml:space="preserve"> –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 (в районе дома №26); комплект украшений объекта «Арка», «Ротонда и мост», «Дерево на площади переход перед входом в парк имени Бориса Лосева», «Мост в Долине ручьев»; объемно-пространственные композиции «Шар» (5 штук), «Елка», «Арка»; праздничное украшение площади Спортивной славы «Каскад»;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праздничное украшение фонтана «Ротонда» на Центральной площади города Ханты-Мансийска;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флажки-ветерки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панель-кронштейны на опорах освещения: муниципального бюджетного учреждения «Культурно-досуговый центр «Октябрь»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ул.Пионерской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ул.Комсомольской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Маркса,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ул.Луговой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флаги расцвечивания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lastRenderedPageBreak/>
              <w:t>24 162 554,78</w:t>
            </w:r>
          </w:p>
        </w:tc>
        <w:tc>
          <w:tcPr>
            <w:tcW w:w="559" w:type="pct"/>
          </w:tcPr>
          <w:p w:rsidR="00F13441" w:rsidRPr="005A6DE4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24 162 554,78</w:t>
            </w:r>
          </w:p>
        </w:tc>
        <w:tc>
          <w:tcPr>
            <w:tcW w:w="429" w:type="pct"/>
          </w:tcPr>
          <w:p w:rsidR="00F13441" w:rsidRPr="005A6DE4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24 162 554,78</w:t>
            </w:r>
          </w:p>
        </w:tc>
        <w:tc>
          <w:tcPr>
            <w:tcW w:w="543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Департамент городского хозяйства Администрации города Ханты-Мансийска</w:t>
            </w:r>
          </w:p>
        </w:tc>
      </w:tr>
      <w:tr w:rsidR="00F13441" w:rsidRPr="00F71453" w:rsidTr="008A1C99">
        <w:tc>
          <w:tcPr>
            <w:tcW w:w="13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sz w:val="22"/>
                <w:szCs w:val="22"/>
                <w:lang w:eastAsia="en-US"/>
              </w:rPr>
              <w:t>«</w:t>
            </w:r>
            <w:r w:rsidRPr="00DD50D1">
              <w:rPr>
                <w:sz w:val="20"/>
                <w:szCs w:val="28"/>
                <w:lang w:eastAsia="en-US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  <w:r w:rsidRPr="00F7145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97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71453">
              <w:rPr>
                <w:rFonts w:eastAsiaTheme="minorEastAsia"/>
                <w:sz w:val="22"/>
                <w:szCs w:val="22"/>
              </w:rPr>
              <w:t xml:space="preserve">2.1. </w:t>
            </w:r>
            <w:r>
              <w:rPr>
                <w:sz w:val="20"/>
                <w:szCs w:val="28"/>
                <w:lang w:eastAsia="en-US"/>
              </w:rPr>
              <w:t xml:space="preserve">Обеспечение выполнения мероприятий по </w:t>
            </w:r>
            <w:r w:rsidRPr="00DD50D1">
              <w:rPr>
                <w:sz w:val="20"/>
                <w:szCs w:val="28"/>
                <w:lang w:eastAsia="en-US"/>
              </w:rPr>
              <w:t>формировани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сохранени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развити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 xml:space="preserve"> инфраструктуры и внешнего облика города</w:t>
            </w:r>
          </w:p>
        </w:tc>
        <w:tc>
          <w:tcPr>
            <w:tcW w:w="1578" w:type="pct"/>
          </w:tcPr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Комплекс работ по улучшению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u w:val="single"/>
              </w:rPr>
            </w:pPr>
            <w:r w:rsidRPr="00DC0CBE">
              <w:rPr>
                <w:sz w:val="20"/>
                <w:szCs w:val="20"/>
              </w:rPr>
              <w:t xml:space="preserve">и сохранению внешнего облика территории города Ханты-Мансийска (ремонт, приобретение, доставка, монтаж, демонтаж лавочек, урн, остановочных комплексов, информационных боксов, самшитов (искусственные деревья), интерактивных карт, мнемосхем, </w:t>
            </w:r>
            <w:proofErr w:type="spellStart"/>
            <w:r w:rsidRPr="00DC0CBE">
              <w:rPr>
                <w:sz w:val="20"/>
                <w:szCs w:val="20"/>
              </w:rPr>
              <w:t>топиариев</w:t>
            </w:r>
            <w:proofErr w:type="spellEnd"/>
            <w:r w:rsidRPr="00DC0CBE">
              <w:rPr>
                <w:sz w:val="20"/>
                <w:szCs w:val="20"/>
              </w:rPr>
              <w:t xml:space="preserve">, переносных фонтанов, указателей, архитектурных сооружений (памятники, бюсты, стелы), малых архитектурных форм (МАФ), спортивно-досугового оборудования), </w:t>
            </w:r>
            <w:r w:rsidRPr="00DC0CBE">
              <w:rPr>
                <w:b/>
                <w:sz w:val="20"/>
                <w:szCs w:val="20"/>
                <w:u w:val="single"/>
              </w:rPr>
              <w:t>содержание объектов внешнего благоустройства: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Центральная площадь города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Ханты-Мансийска (включая пешеходные зоны по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Маркса,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>);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площадь Спортивной славы, мемориальный парк Победы;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площадь Свободы;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монументальная композиция «Югра»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 xml:space="preserve"> –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Маркса; монумент «Вечная память воинам Югры»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 –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парк имени Бориса Лосева;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«Тропа здоровья» (включая подъездные пути);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площадь Славянской письменности;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памятник жертвам политических репрессий;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площадь по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>, 284;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b/>
                <w:sz w:val="20"/>
                <w:szCs w:val="20"/>
                <w:u w:val="single"/>
              </w:rPr>
              <w:t>скверы:</w:t>
            </w:r>
            <w:r w:rsidRPr="00DC0CBE">
              <w:rPr>
                <w:sz w:val="20"/>
                <w:szCs w:val="20"/>
              </w:rPr>
              <w:t xml:space="preserve"> Сиреневый, Черемуховый, </w:t>
            </w:r>
            <w:proofErr w:type="spellStart"/>
            <w:r w:rsidRPr="00DC0CBE">
              <w:rPr>
                <w:sz w:val="20"/>
                <w:szCs w:val="20"/>
              </w:rPr>
              <w:t>Гидронамыв</w:t>
            </w:r>
            <w:proofErr w:type="spellEnd"/>
            <w:r w:rsidRPr="00DC0CBE">
              <w:rPr>
                <w:sz w:val="20"/>
                <w:szCs w:val="20"/>
              </w:rPr>
              <w:t xml:space="preserve">, Студенческий, Одуванчики по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193, район </w:t>
            </w:r>
            <w:proofErr w:type="spellStart"/>
            <w:r w:rsidRPr="00DC0CBE">
              <w:rPr>
                <w:sz w:val="20"/>
                <w:szCs w:val="20"/>
              </w:rPr>
              <w:t>Гидронамыв</w:t>
            </w:r>
            <w:proofErr w:type="spellEnd"/>
            <w:r w:rsidRPr="00DC0CBE">
              <w:rPr>
                <w:sz w:val="20"/>
                <w:szCs w:val="20"/>
              </w:rPr>
              <w:t xml:space="preserve"> по </w:t>
            </w:r>
            <w:proofErr w:type="spellStart"/>
            <w:r w:rsidRPr="00DC0CBE">
              <w:rPr>
                <w:sz w:val="20"/>
                <w:szCs w:val="20"/>
              </w:rPr>
              <w:t>ул.Зеленодольской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пассажирский причал в составе комплекса пассажирского вокзала прогулочной набережной, </w:t>
            </w:r>
            <w:proofErr w:type="spellStart"/>
            <w:r w:rsidRPr="00DC0CBE">
              <w:rPr>
                <w:sz w:val="20"/>
                <w:szCs w:val="20"/>
              </w:rPr>
              <w:t>берегоукрепление</w:t>
            </w:r>
            <w:proofErr w:type="spellEnd"/>
            <w:r w:rsidRPr="00DC0CBE">
              <w:rPr>
                <w:sz w:val="20"/>
                <w:szCs w:val="20"/>
              </w:rPr>
              <w:t xml:space="preserve">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реки Иртыш; въездной знак со стороны автодороги Тюмень – Ханты-Мансийск; Доска почета по ул. Дзержинского;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территория стоянки выставочного центра «Югра-Экспо»;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территория постамента памятного бюста </w:t>
            </w:r>
            <w:proofErr w:type="spellStart"/>
            <w:r w:rsidRPr="00DC0CBE">
              <w:rPr>
                <w:sz w:val="20"/>
                <w:szCs w:val="20"/>
              </w:rPr>
              <w:t>П.И.Лопарева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b/>
                <w:sz w:val="20"/>
                <w:szCs w:val="20"/>
                <w:u w:val="single"/>
              </w:rPr>
              <w:t>памятники:</w:t>
            </w:r>
            <w:r w:rsidRPr="00DC0CBE">
              <w:rPr>
                <w:sz w:val="20"/>
                <w:szCs w:val="20"/>
              </w:rPr>
              <w:t xml:space="preserve"> </w:t>
            </w:r>
            <w:proofErr w:type="spellStart"/>
            <w:r w:rsidRPr="00DC0CBE">
              <w:rPr>
                <w:sz w:val="20"/>
                <w:szCs w:val="20"/>
              </w:rPr>
              <w:t>Ф.Салманову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П.И.Лопареву</w:t>
            </w:r>
            <w:proofErr w:type="spellEnd"/>
            <w:r w:rsidRPr="00DC0CBE">
              <w:rPr>
                <w:sz w:val="20"/>
                <w:szCs w:val="20"/>
              </w:rPr>
              <w:t xml:space="preserve">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ул.Свободы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  <w:proofErr w:type="spellStart"/>
            <w:r w:rsidRPr="00DC0CBE">
              <w:rPr>
                <w:sz w:val="20"/>
                <w:szCs w:val="20"/>
              </w:rPr>
              <w:t>В.Ф.Маргелову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C0CBE">
              <w:rPr>
                <w:sz w:val="20"/>
                <w:szCs w:val="20"/>
              </w:rPr>
              <w:t>А.В.Маргелову</w:t>
            </w:r>
            <w:proofErr w:type="spellEnd"/>
            <w:r w:rsidRPr="00DC0CBE">
              <w:rPr>
                <w:sz w:val="20"/>
                <w:szCs w:val="20"/>
              </w:rPr>
              <w:t xml:space="preserve">  </w:t>
            </w:r>
            <w:r w:rsidRPr="00DC0CBE">
              <w:rPr>
                <w:sz w:val="20"/>
                <w:szCs w:val="20"/>
              </w:rPr>
              <w:lastRenderedPageBreak/>
              <w:t>по</w:t>
            </w:r>
            <w:proofErr w:type="gramEnd"/>
            <w:r w:rsidRPr="00DC0CBE">
              <w:rPr>
                <w:sz w:val="20"/>
                <w:szCs w:val="20"/>
              </w:rPr>
              <w:t xml:space="preserve">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Танк Т-34 в мемориальном парке Победы; основателям города Ханты-Мансийска на площади Свободы;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стела, посвященная великим сибирским экспедициям;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парк «Культурно-туристический комплекс «</w:t>
            </w:r>
            <w:proofErr w:type="spellStart"/>
            <w:r w:rsidRPr="00DC0CBE">
              <w:rPr>
                <w:sz w:val="20"/>
                <w:szCs w:val="20"/>
              </w:rPr>
              <w:t>Археопарк</w:t>
            </w:r>
            <w:proofErr w:type="spellEnd"/>
            <w:r w:rsidRPr="00DC0CBE">
              <w:rPr>
                <w:sz w:val="20"/>
                <w:szCs w:val="20"/>
              </w:rPr>
              <w:t>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парк «</w:t>
            </w:r>
            <w:proofErr w:type="spellStart"/>
            <w:r w:rsidRPr="00DC0CBE">
              <w:rPr>
                <w:sz w:val="20"/>
                <w:szCs w:val="20"/>
              </w:rPr>
              <w:t>Северин</w:t>
            </w:r>
            <w:proofErr w:type="spellEnd"/>
            <w:r w:rsidRPr="00DC0CBE">
              <w:rPr>
                <w:sz w:val="20"/>
                <w:szCs w:val="20"/>
              </w:rPr>
              <w:t>»; парк «Лес Победы» по ул. Энгельса, 45;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архитектурная композиция «Герб Ханты-Мансийского автономного округа – Югры», авторская монументальная композиция «Боги и духи» состоящая из 7 скульптур по ул. Дзержинского; малая архитектурная композиция «Рыбак с рыбой» по ул. Первооткрывателей, 1.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C0CBE">
              <w:rPr>
                <w:b/>
                <w:sz w:val="20"/>
                <w:szCs w:val="20"/>
                <w:u w:val="single"/>
              </w:rPr>
              <w:t>велопарковка</w:t>
            </w:r>
            <w:proofErr w:type="spellEnd"/>
            <w:r w:rsidRPr="00DC0CBE">
              <w:rPr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DC0CBE">
              <w:rPr>
                <w:b/>
                <w:sz w:val="20"/>
                <w:szCs w:val="20"/>
                <w:u w:val="single"/>
              </w:rPr>
              <w:t>велосквер</w:t>
            </w:r>
            <w:proofErr w:type="spellEnd"/>
            <w:r w:rsidRPr="00DC0CBE">
              <w:rPr>
                <w:b/>
                <w:sz w:val="20"/>
                <w:szCs w:val="20"/>
                <w:u w:val="single"/>
              </w:rPr>
              <w:t>)</w:t>
            </w:r>
            <w:r w:rsidRPr="00DC0CBE">
              <w:rPr>
                <w:sz w:val="20"/>
                <w:szCs w:val="20"/>
              </w:rPr>
              <w:t xml:space="preserve">: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ул.Восточной</w:t>
            </w:r>
            <w:proofErr w:type="spellEnd"/>
            <w:r w:rsidRPr="00DC0CBE">
              <w:rPr>
                <w:sz w:val="20"/>
                <w:szCs w:val="20"/>
              </w:rPr>
              <w:t xml:space="preserve"> объездной,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b/>
                <w:sz w:val="20"/>
                <w:szCs w:val="20"/>
                <w:u w:val="single"/>
              </w:rPr>
              <w:t xml:space="preserve">стоянки: </w:t>
            </w:r>
            <w:proofErr w:type="spellStart"/>
            <w:r w:rsidRPr="00DC0CBE">
              <w:rPr>
                <w:sz w:val="20"/>
                <w:szCs w:val="20"/>
              </w:rPr>
              <w:t>ул.Свердлова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ул.Лопарева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ул.Коминтерна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ул.Свободы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ул.Зеленодольская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ул.Самаровская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ул.Луговая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ул.Мичурина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 –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 – </w:t>
            </w:r>
            <w:proofErr w:type="spellStart"/>
            <w:r w:rsidRPr="00DC0CBE">
              <w:rPr>
                <w:sz w:val="20"/>
                <w:szCs w:val="20"/>
              </w:rPr>
              <w:t>ул.Комсомольская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ул.Студенческая</w:t>
            </w:r>
            <w:proofErr w:type="spellEnd"/>
            <w:r w:rsidRPr="00DC0CBE">
              <w:rPr>
                <w:sz w:val="20"/>
                <w:szCs w:val="20"/>
              </w:rPr>
              <w:t xml:space="preserve">, 19, </w:t>
            </w:r>
            <w:proofErr w:type="spellStart"/>
            <w:r w:rsidRPr="00DC0CBE">
              <w:rPr>
                <w:sz w:val="20"/>
                <w:szCs w:val="20"/>
              </w:rPr>
              <w:t>ул.Осенняя</w:t>
            </w:r>
            <w:proofErr w:type="spellEnd"/>
            <w:r w:rsidRPr="00DC0CBE">
              <w:rPr>
                <w:sz w:val="20"/>
                <w:szCs w:val="20"/>
              </w:rPr>
              <w:t xml:space="preserve"> возле МБОУ СОШ №9;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детский городок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>, 63-65;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территория от моста «Красный дракон»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до микрорайона береговой зоны «Иртыш»;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прилегающая территория вдоль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ул.Доронина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ул.Чкалова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ул.Шевченко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ул.Маяковского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ул.Восточной</w:t>
            </w:r>
            <w:proofErr w:type="spellEnd"/>
            <w:r w:rsidRPr="00DC0CBE">
              <w:rPr>
                <w:sz w:val="20"/>
                <w:szCs w:val="20"/>
              </w:rPr>
              <w:t xml:space="preserve"> объездной,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ул.Уральской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ул.Энгельса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ул.Пионерской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ул.Ленина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ул.Комсомольской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ул.Рознина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ул.Коминтерна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ул.Строителей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ул.Красноармейской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proofErr w:type="spellStart"/>
            <w:r w:rsidRPr="00DC0CBE">
              <w:rPr>
                <w:sz w:val="20"/>
                <w:szCs w:val="20"/>
              </w:rPr>
              <w:t>ул.Студенческой</w:t>
            </w:r>
            <w:proofErr w:type="spellEnd"/>
            <w:r w:rsidRPr="00DC0CBE">
              <w:rPr>
                <w:sz w:val="20"/>
                <w:szCs w:val="20"/>
              </w:rPr>
              <w:t>, территория общего пользования в районе пер. Бобровский.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Содержание объектов зеленого хозяйства, газонов, обочин, прилегающих к объектам внешнего благоустройства и улицам города </w:t>
            </w:r>
            <w:r w:rsidRPr="00DC0CBE">
              <w:rPr>
                <w:sz w:val="20"/>
                <w:szCs w:val="20"/>
              </w:rPr>
              <w:lastRenderedPageBreak/>
              <w:t xml:space="preserve">Ханты-Мансийска. Изготовление, приобретение вазонов, конструкций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для цветочных композиций.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Обеспечение эксплуатационно-технического обслуживания, содержание объектов уличного освещения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на территории города Ханты-Мансийска, архитектурно-художественной подсветки, размещенной на объектах (зданиях), светодиодных видеоэкранов, остановочных комплексов, приобретение основных средств (автогидроподъемники для обслуживания и ремонта сетей наружного освещения и архитектурно-художественной подсветки).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u w:val="single"/>
              </w:rPr>
            </w:pPr>
            <w:r w:rsidRPr="00DC0CBE">
              <w:rPr>
                <w:b/>
                <w:sz w:val="20"/>
                <w:szCs w:val="20"/>
                <w:u w:val="single"/>
              </w:rPr>
              <w:t>Объекты (здания) с архитектурно-художественной подсветкой: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«Дом Юстиции» Прокуратура по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>, д.1а;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арка биатлонного центра «Центр зимних видов спорта имени </w:t>
            </w:r>
            <w:proofErr w:type="spellStart"/>
            <w:r w:rsidRPr="00DC0CBE">
              <w:rPr>
                <w:sz w:val="20"/>
                <w:szCs w:val="20"/>
              </w:rPr>
              <w:t>А.В.Филипенко</w:t>
            </w:r>
            <w:proofErr w:type="spellEnd"/>
            <w:r w:rsidRPr="00DC0CBE">
              <w:rPr>
                <w:sz w:val="20"/>
                <w:szCs w:val="20"/>
              </w:rPr>
              <w:t>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телерадиокомпании «Югра»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>, д.4;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комплекс зданий «Школа одаренных детей Севера» по </w:t>
            </w:r>
            <w:proofErr w:type="spellStart"/>
            <w:r w:rsidRPr="00DC0CBE">
              <w:rPr>
                <w:sz w:val="20"/>
                <w:szCs w:val="20"/>
              </w:rPr>
              <w:t>ул.Пискунова</w:t>
            </w:r>
            <w:proofErr w:type="spellEnd"/>
            <w:r w:rsidRPr="00DC0CBE">
              <w:rPr>
                <w:sz w:val="20"/>
                <w:szCs w:val="20"/>
              </w:rPr>
              <w:t>, д.1;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по </w:t>
            </w:r>
            <w:proofErr w:type="spellStart"/>
            <w:r w:rsidRPr="00DC0CBE">
              <w:rPr>
                <w:sz w:val="20"/>
                <w:szCs w:val="20"/>
              </w:rPr>
              <w:t>ул.Чехова</w:t>
            </w:r>
            <w:proofErr w:type="spellEnd"/>
            <w:r w:rsidRPr="00DC0CBE">
              <w:rPr>
                <w:sz w:val="20"/>
                <w:szCs w:val="20"/>
              </w:rPr>
              <w:t>, д.12а;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«Дом Архитектора» по ул. Мира, д.18;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Федерального казначейства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ул.Карла</w:t>
            </w:r>
            <w:proofErr w:type="spellEnd"/>
            <w:r w:rsidRPr="00DC0CBE">
              <w:rPr>
                <w:sz w:val="20"/>
                <w:szCs w:val="20"/>
              </w:rPr>
              <w:t xml:space="preserve"> Маркса, д.12;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Храм «Покрова Пресвятой Богородицы»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ул.Гагарина</w:t>
            </w:r>
            <w:proofErr w:type="spellEnd"/>
            <w:r w:rsidRPr="00DC0CBE">
              <w:rPr>
                <w:sz w:val="20"/>
                <w:szCs w:val="20"/>
              </w:rPr>
              <w:t>, д.277;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C0CBE">
              <w:rPr>
                <w:sz w:val="20"/>
                <w:szCs w:val="20"/>
              </w:rPr>
              <w:t>киновидеоцентр</w:t>
            </w:r>
            <w:proofErr w:type="spellEnd"/>
            <w:r w:rsidRPr="00DC0CBE">
              <w:rPr>
                <w:sz w:val="20"/>
                <w:szCs w:val="20"/>
              </w:rPr>
              <w:t xml:space="preserve"> по </w:t>
            </w:r>
            <w:proofErr w:type="spellStart"/>
            <w:r w:rsidRPr="00DC0CBE">
              <w:rPr>
                <w:sz w:val="20"/>
                <w:szCs w:val="20"/>
              </w:rPr>
              <w:t>ул.Лопарева</w:t>
            </w:r>
            <w:proofErr w:type="spellEnd"/>
            <w:r w:rsidRPr="00DC0CBE">
              <w:rPr>
                <w:sz w:val="20"/>
                <w:szCs w:val="20"/>
              </w:rPr>
              <w:t xml:space="preserve"> д.4;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типографии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>, д.46;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площадь между телерадиокомпанией «</w:t>
            </w:r>
            <w:proofErr w:type="spellStart"/>
            <w:r w:rsidRPr="00DC0CBE">
              <w:rPr>
                <w:sz w:val="20"/>
                <w:szCs w:val="20"/>
              </w:rPr>
              <w:t>Югория</w:t>
            </w:r>
            <w:proofErr w:type="spellEnd"/>
            <w:r w:rsidRPr="00DC0CBE">
              <w:rPr>
                <w:sz w:val="20"/>
                <w:szCs w:val="20"/>
              </w:rPr>
              <w:t xml:space="preserve">», зданием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Ханты-</w:t>
            </w:r>
            <w:proofErr w:type="spellStart"/>
            <w:r w:rsidRPr="00DC0CBE">
              <w:rPr>
                <w:sz w:val="20"/>
                <w:szCs w:val="20"/>
              </w:rPr>
              <w:t>Мансийскэлектросвязи</w:t>
            </w:r>
            <w:proofErr w:type="spellEnd"/>
            <w:r w:rsidRPr="00DC0CBE">
              <w:rPr>
                <w:sz w:val="20"/>
                <w:szCs w:val="20"/>
              </w:rPr>
              <w:t xml:space="preserve"> и «Школой искусств» 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>, д.1;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окружного военкомата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>, д.10;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гостиницы и вывеска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«На семи холмах», по </w:t>
            </w:r>
            <w:proofErr w:type="spellStart"/>
            <w:r w:rsidRPr="00DC0CBE">
              <w:rPr>
                <w:sz w:val="20"/>
                <w:szCs w:val="20"/>
              </w:rPr>
              <w:t>ул.Спортивной</w:t>
            </w:r>
            <w:proofErr w:type="spellEnd"/>
            <w:r w:rsidRPr="00DC0CBE">
              <w:rPr>
                <w:sz w:val="20"/>
                <w:szCs w:val="20"/>
              </w:rPr>
              <w:t>, д.15;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Государственной инспекции безопасности дорожного движения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>, д.108;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здание Управления Внутренних Дел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lastRenderedPageBreak/>
              <w:t xml:space="preserve">по Ханты-Мансийскому автономному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округу – Югре по </w:t>
            </w:r>
            <w:proofErr w:type="spellStart"/>
            <w:r w:rsidRPr="00DC0CBE">
              <w:rPr>
                <w:sz w:val="20"/>
                <w:szCs w:val="20"/>
              </w:rPr>
              <w:t>ул.Ленина</w:t>
            </w:r>
            <w:proofErr w:type="spellEnd"/>
            <w:r w:rsidRPr="00DC0CBE">
              <w:rPr>
                <w:sz w:val="20"/>
                <w:szCs w:val="20"/>
              </w:rPr>
              <w:t>, д.53;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больничный комплекс Окружной клинической больницы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ул.Калинина</w:t>
            </w:r>
            <w:proofErr w:type="spellEnd"/>
            <w:r w:rsidRPr="00DC0CBE">
              <w:rPr>
                <w:sz w:val="20"/>
                <w:szCs w:val="20"/>
              </w:rPr>
              <w:t>, д.38;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монументальная композиция «Югра»;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памятники на площади Славянской письменности;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скульптурная группа на площади Спортивной славы;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скульптурные композиции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ул.Дзержинского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памятник основателям города на площади Свободы;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памятник великим сибирским экспедициям на площади Свободы;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объемно-пространственная композиция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на площади перед зданием Управления Внутренних Дел по Ханты-Мансийскому автономному округу – Югре;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входная группа Ландшафтно-развлекательного парка имени Бориса Лосева по ул. Мира;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фонтан «Ротонда» на Центральной площади города Ханты-Мансийска;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«Мемориал жертвам политических репрессий» по </w:t>
            </w:r>
            <w:proofErr w:type="spellStart"/>
            <w:r w:rsidRPr="00DC0CBE">
              <w:rPr>
                <w:sz w:val="20"/>
                <w:szCs w:val="20"/>
              </w:rPr>
              <w:t>ул.Пионерской</w:t>
            </w:r>
            <w:proofErr w:type="spellEnd"/>
            <w:r w:rsidRPr="00DC0CBE">
              <w:rPr>
                <w:sz w:val="20"/>
                <w:szCs w:val="20"/>
              </w:rPr>
              <w:t>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памятник погибшим воинам 1941-1945 МБОУ СОШ №1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</w:t>
            </w:r>
            <w:proofErr w:type="spellStart"/>
            <w:r w:rsidRPr="00DC0CBE">
              <w:rPr>
                <w:sz w:val="20"/>
                <w:szCs w:val="20"/>
              </w:rPr>
              <w:t>ул.Комсомольской</w:t>
            </w:r>
            <w:proofErr w:type="spellEnd"/>
            <w:r w:rsidRPr="00DC0CBE">
              <w:rPr>
                <w:sz w:val="20"/>
                <w:szCs w:val="20"/>
              </w:rPr>
              <w:t>, д.38;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памятник погибшим воинам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1941-1945 МБОУ СОШ №2 по </w:t>
            </w:r>
            <w:proofErr w:type="spellStart"/>
            <w:r w:rsidRPr="00DC0CBE">
              <w:rPr>
                <w:sz w:val="20"/>
                <w:szCs w:val="20"/>
              </w:rPr>
              <w:t>ул.Луговая</w:t>
            </w:r>
            <w:proofErr w:type="spellEnd"/>
            <w:r w:rsidRPr="00DC0CBE">
              <w:rPr>
                <w:sz w:val="20"/>
                <w:szCs w:val="20"/>
              </w:rPr>
              <w:t>, д.15;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Центральная площадь города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Ханты-Мансийска;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спортивная площадка у «Спортивного комплекса «Дружба»;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сквер у Дома Правительства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Ханты-Мансийского автономного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округа – Югры;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«Памятный знак Первооткрывателям Сибири»;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Храм Воскресения Христова по ул. Гагарина, д.9;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территория от моста «Красный дракон»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до микрорайона береговой зоны «Иртыш»;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прилегающая территория вдоль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</w:t>
            </w:r>
            <w:r w:rsidRPr="00DC0CBE">
              <w:rPr>
                <w:sz w:val="20"/>
                <w:szCs w:val="20"/>
              </w:rPr>
              <w:lastRenderedPageBreak/>
              <w:t>«Культурно-досуговый центр «Октябрь».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Комплекс мероприятий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по благоустройству, санитарному содержанию территории города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Ханты-Мансийска, включая места отдыха, во время проведения массовых мероприятий международного, всероссийского, межрегионального, регионального уровней (доставка, монтаж, демонтаж, вывоз и санитарное обслуживание биотуалетов, павильонов-туалетов модульного типа, стационарных туалетов: по </w:t>
            </w:r>
            <w:proofErr w:type="spellStart"/>
            <w:r w:rsidRPr="00DC0CBE">
              <w:rPr>
                <w:sz w:val="20"/>
                <w:szCs w:val="20"/>
              </w:rPr>
              <w:t>ул.Объездной</w:t>
            </w:r>
            <w:proofErr w:type="spellEnd"/>
            <w:r w:rsidRPr="00DC0CBE">
              <w:rPr>
                <w:sz w:val="20"/>
                <w:szCs w:val="20"/>
              </w:rPr>
              <w:t>, 29-АТК «</w:t>
            </w:r>
            <w:proofErr w:type="spellStart"/>
            <w:r w:rsidRPr="00DC0CBE">
              <w:rPr>
                <w:sz w:val="20"/>
                <w:szCs w:val="20"/>
              </w:rPr>
              <w:t>Археопарк</w:t>
            </w:r>
            <w:proofErr w:type="spellEnd"/>
            <w:r w:rsidRPr="00DC0CBE">
              <w:rPr>
                <w:sz w:val="20"/>
                <w:szCs w:val="20"/>
              </w:rPr>
              <w:t xml:space="preserve">»; район </w:t>
            </w:r>
            <w:proofErr w:type="spellStart"/>
            <w:r w:rsidRPr="00DC0CBE">
              <w:rPr>
                <w:sz w:val="20"/>
                <w:szCs w:val="20"/>
              </w:rPr>
              <w:t>ул.Мира</w:t>
            </w:r>
            <w:proofErr w:type="spellEnd"/>
            <w:r w:rsidRPr="00DC0CBE">
              <w:rPr>
                <w:sz w:val="20"/>
                <w:szCs w:val="20"/>
              </w:rPr>
              <w:t xml:space="preserve">, 13; </w:t>
            </w:r>
            <w:proofErr w:type="spellStart"/>
            <w:r w:rsidRPr="00DC0CBE">
              <w:rPr>
                <w:sz w:val="20"/>
                <w:szCs w:val="20"/>
              </w:rPr>
              <w:t>ул.Бориса</w:t>
            </w:r>
            <w:proofErr w:type="spellEnd"/>
            <w:r w:rsidRPr="00DC0CBE">
              <w:rPr>
                <w:sz w:val="20"/>
                <w:szCs w:val="20"/>
              </w:rPr>
              <w:t xml:space="preserve"> Щербины – </w:t>
            </w:r>
            <w:proofErr w:type="spellStart"/>
            <w:r w:rsidRPr="00DC0CBE">
              <w:rPr>
                <w:sz w:val="20"/>
                <w:szCs w:val="20"/>
              </w:rPr>
              <w:t>ул.Набережная</w:t>
            </w:r>
            <w:proofErr w:type="spellEnd"/>
            <w:r w:rsidRPr="00DC0CBE">
              <w:rPr>
                <w:sz w:val="20"/>
                <w:szCs w:val="20"/>
              </w:rPr>
              <w:t xml:space="preserve">, пассажирский причал;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мусорных контейнеров (</w:t>
            </w:r>
            <w:proofErr w:type="spellStart"/>
            <w:r w:rsidRPr="00DC0CBE">
              <w:rPr>
                <w:sz w:val="20"/>
                <w:szCs w:val="20"/>
              </w:rPr>
              <w:t>евроконтейнеров</w:t>
            </w:r>
            <w:proofErr w:type="spellEnd"/>
            <w:r w:rsidRPr="00DC0CBE">
              <w:rPr>
                <w:sz w:val="20"/>
                <w:szCs w:val="20"/>
              </w:rPr>
              <w:t>), урн, турникетов).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Содержание и ремонт проезжей части дорог, магистралей, проездов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 xml:space="preserve">и прилегающих к ним объектов (парковок, автостоянок, эстакад, тротуаров, </w:t>
            </w:r>
            <w:proofErr w:type="spellStart"/>
            <w:r w:rsidRPr="00DC0CBE">
              <w:rPr>
                <w:sz w:val="20"/>
                <w:szCs w:val="20"/>
              </w:rPr>
              <w:t>водопропусков</w:t>
            </w:r>
            <w:proofErr w:type="spellEnd"/>
            <w:r w:rsidRPr="00DC0CBE">
              <w:rPr>
                <w:sz w:val="20"/>
                <w:szCs w:val="20"/>
              </w:rPr>
              <w:t xml:space="preserve">, светофорных и иных объектов) по наименованиям </w:t>
            </w:r>
          </w:p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DC0CBE">
              <w:rPr>
                <w:sz w:val="20"/>
                <w:szCs w:val="20"/>
              </w:rPr>
              <w:t>в соответствии с постановлением Администрации города Ханты-Мансийска от 20.01.2012 №28 «О категориях проезжей части улиц города Ханты-Мансийска»</w:t>
            </w:r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lastRenderedPageBreak/>
              <w:t>573 344 818,96</w:t>
            </w:r>
          </w:p>
        </w:tc>
        <w:tc>
          <w:tcPr>
            <w:tcW w:w="559" w:type="pct"/>
          </w:tcPr>
          <w:p w:rsidR="00F13441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573 344 818,96</w:t>
            </w:r>
          </w:p>
        </w:tc>
        <w:tc>
          <w:tcPr>
            <w:tcW w:w="429" w:type="pct"/>
          </w:tcPr>
          <w:p w:rsidR="00F13441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573 344 818,96</w:t>
            </w:r>
          </w:p>
        </w:tc>
        <w:tc>
          <w:tcPr>
            <w:tcW w:w="543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Департамент городского хозяйства Администрации города Ханты-Мансийска</w:t>
            </w:r>
          </w:p>
        </w:tc>
      </w:tr>
      <w:tr w:rsidR="00F13441" w:rsidRPr="00F71453" w:rsidTr="008A1C99">
        <w:trPr>
          <w:trHeight w:val="158"/>
        </w:trPr>
        <w:tc>
          <w:tcPr>
            <w:tcW w:w="2911" w:type="pct"/>
            <w:gridSpan w:val="4"/>
          </w:tcPr>
          <w:p w:rsidR="00F13441" w:rsidRPr="00DC0CBE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C0CBE">
              <w:rPr>
                <w:rFonts w:eastAsiaTheme="minorEastAsia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597 507 373,74</w:t>
            </w:r>
          </w:p>
        </w:tc>
        <w:tc>
          <w:tcPr>
            <w:tcW w:w="55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597 507 373,74</w:t>
            </w:r>
          </w:p>
        </w:tc>
        <w:tc>
          <w:tcPr>
            <w:tcW w:w="429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597 507 373,74</w:t>
            </w:r>
          </w:p>
        </w:tc>
        <w:tc>
          <w:tcPr>
            <w:tcW w:w="543" w:type="pct"/>
          </w:tcPr>
          <w:p w:rsidR="00F13441" w:rsidRPr="00F71453" w:rsidRDefault="00F13441" w:rsidP="008A1C9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442EE" w:rsidRPr="001264B3" w:rsidRDefault="008442EE">
      <w:pPr>
        <w:ind w:hanging="142"/>
        <w:jc w:val="center"/>
        <w:rPr>
          <w:b/>
          <w:sz w:val="28"/>
          <w:szCs w:val="28"/>
        </w:rPr>
      </w:pPr>
    </w:p>
    <w:sectPr w:rsidR="008442EE" w:rsidRPr="001264B3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EA" w:rsidRDefault="00C378EA">
      <w:r>
        <w:separator/>
      </w:r>
    </w:p>
  </w:endnote>
  <w:endnote w:type="continuationSeparator" w:id="0">
    <w:p w:rsidR="00C378EA" w:rsidRDefault="00C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EA" w:rsidRDefault="00C378EA">
      <w:r>
        <w:separator/>
      </w:r>
    </w:p>
  </w:footnote>
  <w:footnote w:type="continuationSeparator" w:id="0">
    <w:p w:rsidR="00C378EA" w:rsidRDefault="00C3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9D" w:rsidRDefault="0033379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3379D" w:rsidRDefault="0033379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9D" w:rsidRDefault="0033379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7244C" w:rsidRPr="0047244C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 w15:restartNumberingAfterBreak="0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2" w15:restartNumberingAfterBreak="0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3" w15:restartNumberingAfterBreak="0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7" w15:restartNumberingAfterBreak="0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E"/>
    <w:rsid w:val="00003B19"/>
    <w:rsid w:val="000235E5"/>
    <w:rsid w:val="00024574"/>
    <w:rsid w:val="00025F32"/>
    <w:rsid w:val="000344E9"/>
    <w:rsid w:val="00092014"/>
    <w:rsid w:val="000A0133"/>
    <w:rsid w:val="000A35FE"/>
    <w:rsid w:val="000B1D6E"/>
    <w:rsid w:val="000B5852"/>
    <w:rsid w:val="00122F28"/>
    <w:rsid w:val="001264B3"/>
    <w:rsid w:val="001E27FD"/>
    <w:rsid w:val="001F3CCA"/>
    <w:rsid w:val="00213712"/>
    <w:rsid w:val="0023505F"/>
    <w:rsid w:val="00272FA7"/>
    <w:rsid w:val="00273F59"/>
    <w:rsid w:val="002C0937"/>
    <w:rsid w:val="00307D95"/>
    <w:rsid w:val="003166F2"/>
    <w:rsid w:val="0033379D"/>
    <w:rsid w:val="00346C73"/>
    <w:rsid w:val="00355253"/>
    <w:rsid w:val="0038618E"/>
    <w:rsid w:val="003F01F1"/>
    <w:rsid w:val="0045185F"/>
    <w:rsid w:val="00451B5E"/>
    <w:rsid w:val="00466782"/>
    <w:rsid w:val="0047244C"/>
    <w:rsid w:val="004929A7"/>
    <w:rsid w:val="004A3EB2"/>
    <w:rsid w:val="004A7684"/>
    <w:rsid w:val="004D7ED7"/>
    <w:rsid w:val="004F605A"/>
    <w:rsid w:val="00532695"/>
    <w:rsid w:val="00544A65"/>
    <w:rsid w:val="00585A10"/>
    <w:rsid w:val="00593988"/>
    <w:rsid w:val="005B57CD"/>
    <w:rsid w:val="005C1BEA"/>
    <w:rsid w:val="00600ED3"/>
    <w:rsid w:val="00621CAC"/>
    <w:rsid w:val="00632947"/>
    <w:rsid w:val="0064329E"/>
    <w:rsid w:val="00651E23"/>
    <w:rsid w:val="006869B0"/>
    <w:rsid w:val="00727B77"/>
    <w:rsid w:val="00743780"/>
    <w:rsid w:val="00776918"/>
    <w:rsid w:val="007B6183"/>
    <w:rsid w:val="0080125C"/>
    <w:rsid w:val="008152D6"/>
    <w:rsid w:val="008200D6"/>
    <w:rsid w:val="00837FE3"/>
    <w:rsid w:val="00840580"/>
    <w:rsid w:val="008442EE"/>
    <w:rsid w:val="0086200D"/>
    <w:rsid w:val="0087098B"/>
    <w:rsid w:val="008E04B6"/>
    <w:rsid w:val="00927EC9"/>
    <w:rsid w:val="00936CB7"/>
    <w:rsid w:val="00946C32"/>
    <w:rsid w:val="00955094"/>
    <w:rsid w:val="0096240A"/>
    <w:rsid w:val="00972EE5"/>
    <w:rsid w:val="00A433EE"/>
    <w:rsid w:val="00AC2336"/>
    <w:rsid w:val="00AD3920"/>
    <w:rsid w:val="00B063E5"/>
    <w:rsid w:val="00B30610"/>
    <w:rsid w:val="00B30672"/>
    <w:rsid w:val="00B361BD"/>
    <w:rsid w:val="00B44226"/>
    <w:rsid w:val="00B47E0C"/>
    <w:rsid w:val="00BB32E1"/>
    <w:rsid w:val="00BC4785"/>
    <w:rsid w:val="00BC6E5A"/>
    <w:rsid w:val="00C00FF5"/>
    <w:rsid w:val="00C06376"/>
    <w:rsid w:val="00C334AF"/>
    <w:rsid w:val="00C378EA"/>
    <w:rsid w:val="00C4543A"/>
    <w:rsid w:val="00C53F6E"/>
    <w:rsid w:val="00CC297D"/>
    <w:rsid w:val="00CC5FFF"/>
    <w:rsid w:val="00CC7C12"/>
    <w:rsid w:val="00D1400E"/>
    <w:rsid w:val="00D26FF6"/>
    <w:rsid w:val="00D71A01"/>
    <w:rsid w:val="00DB6B86"/>
    <w:rsid w:val="00DD50D1"/>
    <w:rsid w:val="00DF3690"/>
    <w:rsid w:val="00E12C0E"/>
    <w:rsid w:val="00E56CC5"/>
    <w:rsid w:val="00E64279"/>
    <w:rsid w:val="00EB0AC8"/>
    <w:rsid w:val="00ED0E66"/>
    <w:rsid w:val="00F13441"/>
    <w:rsid w:val="00F178E2"/>
    <w:rsid w:val="00F458CB"/>
    <w:rsid w:val="00F46AEF"/>
    <w:rsid w:val="00FB519F"/>
    <w:rsid w:val="00FE7B1E"/>
    <w:rsid w:val="00FE7F1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717A-CF64-4BF0-98B9-E9DE8565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0">
    <w:name w:val="ConsPlusNormal1"/>
    <w:rsid w:val="00F134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Абазовик Елена Григорьевна</cp:lastModifiedBy>
  <cp:revision>3</cp:revision>
  <cp:lastPrinted>2024-08-02T09:08:00Z</cp:lastPrinted>
  <dcterms:created xsi:type="dcterms:W3CDTF">2024-11-29T07:39:00Z</dcterms:created>
  <dcterms:modified xsi:type="dcterms:W3CDTF">2024-12-03T11:29:00Z</dcterms:modified>
  <cp:version>1048576</cp:version>
</cp:coreProperties>
</file>