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B9" w:rsidRDefault="003D45B9" w:rsidP="003D45B9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431379551"/>
      <w:bookmarkStart w:id="1" w:name="_Toc46526097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</w:t>
      </w:r>
      <w:r w:rsidRPr="000A6E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редварительны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 итоги</w:t>
      </w:r>
      <w:r w:rsidRPr="000A6E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социально-экономического развития </w:t>
      </w:r>
      <w:r w:rsidR="00B376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0A6E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bookmarkEnd w:id="0"/>
      <w:bookmarkEnd w:id="1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A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="00854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D00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A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D53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7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53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ожидаемые итоги </w:t>
      </w:r>
      <w:r w:rsidR="00D53601" w:rsidRPr="000A6E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социально-экономического развития</w:t>
      </w:r>
      <w:r w:rsidR="00D00F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за 2023</w:t>
      </w:r>
      <w:r w:rsidR="00D536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</w:t>
      </w:r>
      <w:r w:rsidR="008545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</w:t>
      </w:r>
    </w:p>
    <w:p w:rsidR="003D45B9" w:rsidRPr="000A6EF6" w:rsidRDefault="003D45B9" w:rsidP="003D45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5B9" w:rsidRPr="00566048" w:rsidRDefault="003D45B9" w:rsidP="003D45B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</w:t>
      </w:r>
      <w:r w:rsidR="00D00F0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 в экономике и социальной сфере города Ханты-</w:t>
      </w:r>
      <w:r w:rsid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Мансийска устойчива. По предварительной оценке по итогам года </w:t>
      </w:r>
      <w:r w:rsidR="00D53601" w:rsidRP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социально-экономического развития в целом будут демонстрировать</w:t>
      </w:r>
      <w:r w:rsid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601" w:rsidRP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положительную </w:t>
      </w:r>
      <w:r w:rsid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динамику.</w:t>
      </w:r>
      <w:r w:rsidR="00D53601" w:rsidRP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5B9" w:rsidRPr="00566048" w:rsidRDefault="003D45B9" w:rsidP="003D45B9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5B9" w:rsidRDefault="003D45B9" w:rsidP="003D45B9">
      <w:pPr>
        <w:pStyle w:val="a3"/>
        <w:widowControl w:val="0"/>
        <w:numPr>
          <w:ilvl w:val="0"/>
          <w:numId w:val="1"/>
        </w:numPr>
        <w:tabs>
          <w:tab w:val="num" w:pos="149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60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Промышленность</w:t>
      </w:r>
    </w:p>
    <w:p w:rsidR="003D45B9" w:rsidRPr="00566048" w:rsidRDefault="003D45B9" w:rsidP="003D45B9">
      <w:pPr>
        <w:pStyle w:val="a3"/>
        <w:widowControl w:val="0"/>
        <w:spacing w:after="0" w:line="240" w:lineRule="auto"/>
        <w:ind w:left="1353" w:right="-14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D3909" w:rsidRPr="00160F91" w:rsidRDefault="003D3909" w:rsidP="003D39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60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данным Управления Федеральной службы государственной статистики по Тюменской области, Ханты-Мансийскому автономному округу – Югре и Ямало-Ненецкому автономному округу за январь-</w:t>
      </w:r>
      <w:r w:rsidR="00160F91" w:rsidRPr="00160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сентябрь 2023</w:t>
      </w:r>
      <w:r w:rsidRPr="00160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объем отгруженных товаров собственного производства, выполненных работ и услуг собственными силами по крупным и средним пред</w:t>
      </w:r>
      <w:r w:rsidR="00160F91" w:rsidRPr="00160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приятиям составил 41 968 млн. руб. или 136,3</w:t>
      </w:r>
      <w:r w:rsidRPr="00160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160F91" w:rsidRPr="00160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соответствующему периоду 2022 года (30 800,4</w:t>
      </w:r>
      <w:r w:rsidRPr="00160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 руб.). </w:t>
      </w:r>
      <w:proofErr w:type="gramEnd"/>
    </w:p>
    <w:p w:rsidR="008B5E2A" w:rsidRDefault="008B5E2A" w:rsidP="00DD7B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среднесрочной перспективе структура промышленного комплекса останется без изменений, основу промышленного производства также будут обеспечивать предприятия коммунальной сферы. По оце</w:t>
      </w:r>
      <w:r w:rsidR="00160F91" w:rsidRPr="00160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нке в 2023</w:t>
      </w:r>
      <w:r w:rsidRPr="00160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объем промышленного производства составит</w:t>
      </w:r>
      <w:r w:rsidR="007B75ED" w:rsidRPr="00160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0F91" w:rsidRPr="00160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50,3 млрд.</w:t>
      </w:r>
      <w:r w:rsidRPr="00160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</w:t>
      </w:r>
    </w:p>
    <w:p w:rsidR="00D53601" w:rsidRPr="00E359C0" w:rsidRDefault="00D53601" w:rsidP="003261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1BF">
        <w:rPr>
          <w:rFonts w:ascii="Times New Roman" w:eastAsia="Times New Roman" w:hAnsi="Times New Roman" w:cs="Times New Roman"/>
          <w:bCs/>
          <w:sz w:val="28"/>
          <w:szCs w:val="28"/>
          <w:highlight w:val="green"/>
          <w:lang w:eastAsia="ru-RU"/>
        </w:rPr>
        <w:t xml:space="preserve"> </w:t>
      </w:r>
    </w:p>
    <w:p w:rsidR="003D45B9" w:rsidRPr="00E359C0" w:rsidRDefault="003D45B9" w:rsidP="003261B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359C0">
        <w:rPr>
          <w:rFonts w:ascii="Times New Roman" w:hAnsi="Times New Roman" w:cs="Times New Roman"/>
          <w:b/>
          <w:bCs/>
          <w:i/>
          <w:sz w:val="28"/>
          <w:szCs w:val="28"/>
        </w:rPr>
        <w:t>Инвестиции</w:t>
      </w:r>
    </w:p>
    <w:p w:rsidR="002D69E8" w:rsidRPr="00E359C0" w:rsidRDefault="002D69E8" w:rsidP="003261BF">
      <w:pPr>
        <w:pStyle w:val="a3"/>
        <w:widowControl w:val="0"/>
        <w:tabs>
          <w:tab w:val="left" w:pos="993"/>
        </w:tabs>
        <w:spacing w:after="0" w:line="240" w:lineRule="auto"/>
        <w:ind w:left="135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8188E" w:rsidRPr="0008188E" w:rsidRDefault="00D2444F" w:rsidP="000818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2444F">
        <w:rPr>
          <w:rFonts w:ascii="Times New Roman" w:eastAsia="Calibri" w:hAnsi="Times New Roman" w:cs="Times New Roman"/>
          <w:sz w:val="28"/>
          <w:szCs w:val="28"/>
        </w:rPr>
        <w:t>По данным Управления Федеральной службы государственной статистики по Тюменской области, Ханты-Мансийскому автономному округу – Югре и Ямало-Ненецкому автономному округу объем инвестиций в основной капитал по крупным и средним предприятиям за счет всех источников фи</w:t>
      </w:r>
      <w:r w:rsidR="0008188E">
        <w:rPr>
          <w:rFonts w:ascii="Times New Roman" w:eastAsia="Calibri" w:hAnsi="Times New Roman" w:cs="Times New Roman"/>
          <w:sz w:val="28"/>
          <w:szCs w:val="28"/>
        </w:rPr>
        <w:t>нансирования за январь-июнь 2023</w:t>
      </w:r>
      <w:r w:rsidRPr="00D2444F">
        <w:rPr>
          <w:rFonts w:ascii="Times New Roman" w:eastAsia="Calibri" w:hAnsi="Times New Roman" w:cs="Times New Roman"/>
          <w:sz w:val="28"/>
          <w:szCs w:val="28"/>
        </w:rPr>
        <w:t xml:space="preserve"> года составил </w:t>
      </w:r>
      <w:r w:rsidR="0008188E">
        <w:rPr>
          <w:rFonts w:ascii="Times New Roman" w:eastAsia="Calibri" w:hAnsi="Times New Roman" w:cs="Times New Roman"/>
          <w:sz w:val="28"/>
          <w:szCs w:val="28"/>
        </w:rPr>
        <w:t xml:space="preserve">20 706,1 </w:t>
      </w:r>
      <w:r w:rsidR="00675F10" w:rsidRPr="00675F10">
        <w:rPr>
          <w:rFonts w:ascii="Times New Roman" w:eastAsia="Calibri" w:hAnsi="Times New Roman" w:cs="Times New Roman"/>
          <w:sz w:val="28"/>
          <w:szCs w:val="28"/>
        </w:rPr>
        <w:t>млн. руб.</w:t>
      </w:r>
      <w:r w:rsidR="0008188E" w:rsidRPr="0008188E">
        <w:t xml:space="preserve"> </w:t>
      </w:r>
      <w:r w:rsidR="0008188E" w:rsidRPr="0008188E">
        <w:rPr>
          <w:rFonts w:ascii="Times New Roman" w:eastAsia="Calibri" w:hAnsi="Times New Roman" w:cs="Times New Roman"/>
          <w:sz w:val="28"/>
          <w:szCs w:val="28"/>
        </w:rPr>
        <w:t xml:space="preserve">или 127,2% к соответствующему периоду 2022 года (16 281,4 млн. руб.). </w:t>
      </w:r>
      <w:proofErr w:type="gramEnd"/>
    </w:p>
    <w:p w:rsidR="0008188E" w:rsidRPr="0008188E" w:rsidRDefault="0008188E" w:rsidP="000818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88E">
        <w:rPr>
          <w:rFonts w:ascii="Times New Roman" w:eastAsia="Calibri" w:hAnsi="Times New Roman" w:cs="Times New Roman"/>
          <w:sz w:val="28"/>
          <w:szCs w:val="28"/>
        </w:rPr>
        <w:t>Основную долю в структуре инвестиций по источникам финансирования занимают собственные средства – 76,7% или 15 884,8 млн. руб. (соответствующий период 2022 года – 48,8% или 7 943,6 млн. руб.).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188E">
        <w:rPr>
          <w:rFonts w:ascii="Times New Roman" w:eastAsia="Calibri" w:hAnsi="Times New Roman" w:cs="Times New Roman"/>
          <w:sz w:val="28"/>
          <w:szCs w:val="28"/>
        </w:rPr>
        <w:t>Привлеченные средства предприятий – 23,3% или 4 821,3 млн. руб. (соответствующий период 2022 года – 51,2% или 8 337,8 млн. руб.).</w:t>
      </w:r>
    </w:p>
    <w:p w:rsidR="00D2444F" w:rsidRPr="00D2444F" w:rsidRDefault="0008188E" w:rsidP="000818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88E">
        <w:rPr>
          <w:rFonts w:ascii="Times New Roman" w:eastAsia="Calibri" w:hAnsi="Times New Roman" w:cs="Times New Roman"/>
          <w:sz w:val="28"/>
          <w:szCs w:val="28"/>
        </w:rPr>
        <w:t>По функциональному назначению инвестиции в основной капитал</w:t>
      </w:r>
      <w:proofErr w:type="gramStart"/>
      <w:r w:rsidRPr="000818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44F" w:rsidRPr="00D2444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D2444F" w:rsidRPr="00D2444F">
        <w:rPr>
          <w:rFonts w:ascii="Times New Roman" w:eastAsia="Calibri" w:hAnsi="Times New Roman" w:cs="Times New Roman"/>
          <w:sz w:val="28"/>
          <w:szCs w:val="28"/>
        </w:rPr>
        <w:t>о функциональному назначению инвестиции в основной капитал направлены на:</w:t>
      </w:r>
    </w:p>
    <w:p w:rsidR="00675F10" w:rsidRPr="00675F10" w:rsidRDefault="00675F10" w:rsidP="002364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F10">
        <w:rPr>
          <w:rFonts w:ascii="Times New Roman" w:eastAsia="Calibri" w:hAnsi="Times New Roman" w:cs="Times New Roman"/>
          <w:sz w:val="28"/>
          <w:szCs w:val="28"/>
        </w:rPr>
        <w:t>машины и оборудование, включая хозяйственный и</w:t>
      </w:r>
      <w:r w:rsidR="0008188E">
        <w:rPr>
          <w:rFonts w:ascii="Times New Roman" w:eastAsia="Calibri" w:hAnsi="Times New Roman" w:cs="Times New Roman"/>
          <w:sz w:val="28"/>
          <w:szCs w:val="28"/>
        </w:rPr>
        <w:t>нвентарь и другие объекты – 29</w:t>
      </w:r>
      <w:r w:rsidRPr="00675F10">
        <w:rPr>
          <w:rFonts w:ascii="Times New Roman" w:eastAsia="Calibri" w:hAnsi="Times New Roman" w:cs="Times New Roman"/>
          <w:sz w:val="28"/>
          <w:szCs w:val="28"/>
        </w:rPr>
        <w:t>% (соответ</w:t>
      </w:r>
      <w:r w:rsidR="00FF3658">
        <w:rPr>
          <w:rFonts w:ascii="Times New Roman" w:eastAsia="Calibri" w:hAnsi="Times New Roman" w:cs="Times New Roman"/>
          <w:sz w:val="28"/>
          <w:szCs w:val="28"/>
        </w:rPr>
        <w:t>ствующий период 2021 года – 26,4);</w:t>
      </w:r>
    </w:p>
    <w:p w:rsidR="00675F10" w:rsidRPr="00675F10" w:rsidRDefault="0008188E" w:rsidP="002364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здания, помещения, </w:t>
      </w:r>
      <w:r w:rsidR="00675F10" w:rsidRPr="00675F10">
        <w:rPr>
          <w:rFonts w:ascii="Times New Roman" w:eastAsia="Calibri" w:hAnsi="Times New Roman" w:cs="Times New Roman"/>
          <w:sz w:val="28"/>
          <w:szCs w:val="28"/>
        </w:rPr>
        <w:t>сооружения, ра</w:t>
      </w:r>
      <w:r>
        <w:rPr>
          <w:rFonts w:ascii="Times New Roman" w:eastAsia="Calibri" w:hAnsi="Times New Roman" w:cs="Times New Roman"/>
          <w:sz w:val="28"/>
          <w:szCs w:val="28"/>
        </w:rPr>
        <w:t>сходы на улучшение земель – 68</w:t>
      </w:r>
      <w:r w:rsidR="00675F10" w:rsidRPr="00675F10">
        <w:rPr>
          <w:rFonts w:ascii="Times New Roman" w:eastAsia="Calibri" w:hAnsi="Times New Roman" w:cs="Times New Roman"/>
          <w:sz w:val="28"/>
          <w:szCs w:val="28"/>
        </w:rPr>
        <w:t>% (соответ</w:t>
      </w:r>
      <w:r>
        <w:rPr>
          <w:rFonts w:ascii="Times New Roman" w:eastAsia="Calibri" w:hAnsi="Times New Roman" w:cs="Times New Roman"/>
          <w:sz w:val="28"/>
          <w:szCs w:val="28"/>
        </w:rPr>
        <w:t>ствующий период 2021 года – 55,7</w:t>
      </w:r>
      <w:r w:rsidR="00675F10" w:rsidRPr="00675F10">
        <w:rPr>
          <w:rFonts w:ascii="Times New Roman" w:eastAsia="Calibri" w:hAnsi="Times New Roman" w:cs="Times New Roman"/>
          <w:sz w:val="28"/>
          <w:szCs w:val="28"/>
        </w:rPr>
        <w:t>%);</w:t>
      </w:r>
    </w:p>
    <w:p w:rsidR="00675F10" w:rsidRDefault="00675F10" w:rsidP="002364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F10">
        <w:rPr>
          <w:rFonts w:ascii="Times New Roman" w:eastAsia="Calibri" w:hAnsi="Times New Roman" w:cs="Times New Roman"/>
          <w:sz w:val="28"/>
          <w:szCs w:val="28"/>
        </w:rPr>
        <w:lastRenderedPageBreak/>
        <w:t>объекты интеллектуальной собстве</w:t>
      </w:r>
      <w:r w:rsidR="0008188E">
        <w:rPr>
          <w:rFonts w:ascii="Times New Roman" w:eastAsia="Calibri" w:hAnsi="Times New Roman" w:cs="Times New Roman"/>
          <w:sz w:val="28"/>
          <w:szCs w:val="28"/>
        </w:rPr>
        <w:t xml:space="preserve">нности, прочие инвестиции – </w:t>
      </w:r>
      <w:r w:rsidR="00FF3658">
        <w:rPr>
          <w:rFonts w:ascii="Times New Roman" w:eastAsia="Calibri" w:hAnsi="Times New Roman" w:cs="Times New Roman"/>
          <w:sz w:val="28"/>
          <w:szCs w:val="28"/>
        </w:rPr>
        <w:t>3</w:t>
      </w:r>
      <w:r w:rsidRPr="00675F10">
        <w:rPr>
          <w:rFonts w:ascii="Times New Roman" w:eastAsia="Calibri" w:hAnsi="Times New Roman" w:cs="Times New Roman"/>
          <w:sz w:val="28"/>
          <w:szCs w:val="28"/>
        </w:rPr>
        <w:t>% (соответ</w:t>
      </w:r>
      <w:r w:rsidR="0008188E">
        <w:rPr>
          <w:rFonts w:ascii="Times New Roman" w:eastAsia="Calibri" w:hAnsi="Times New Roman" w:cs="Times New Roman"/>
          <w:sz w:val="28"/>
          <w:szCs w:val="28"/>
        </w:rPr>
        <w:t>ствующий период 2021 года – 17,9</w:t>
      </w:r>
      <w:r w:rsidRPr="00675F10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9A3152" w:rsidRDefault="00FF3658" w:rsidP="002364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По оценке в 2023</w:t>
      </w:r>
      <w:r w:rsidR="002364CF" w:rsidRPr="002364CF">
        <w:rPr>
          <w:rFonts w:ascii="Times New Roman" w:eastAsia="Calibri" w:hAnsi="Times New Roman" w:cs="Times New Roman"/>
          <w:sz w:val="28"/>
          <w:szCs w:val="28"/>
        </w:rPr>
        <w:t xml:space="preserve"> году о</w:t>
      </w:r>
      <w:r>
        <w:rPr>
          <w:rFonts w:ascii="Times New Roman" w:eastAsia="Calibri" w:hAnsi="Times New Roman" w:cs="Times New Roman"/>
          <w:sz w:val="28"/>
          <w:szCs w:val="28"/>
        </w:rPr>
        <w:t>бъем инвестиций составит 36 995,5</w:t>
      </w:r>
      <w:r w:rsidR="002364CF" w:rsidRPr="002364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364CF" w:rsidRPr="002364CF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="002364CF" w:rsidRPr="002364CF">
        <w:rPr>
          <w:rFonts w:ascii="Times New Roman" w:eastAsia="Calibri" w:hAnsi="Times New Roman" w:cs="Times New Roman"/>
          <w:sz w:val="28"/>
          <w:szCs w:val="28"/>
        </w:rPr>
        <w:t xml:space="preserve"> рублей, структура инвестиций останется без существенных изменений.</w:t>
      </w:r>
    </w:p>
    <w:p w:rsidR="000279CA" w:rsidRDefault="000279CA" w:rsidP="000279CA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D45B9" w:rsidRDefault="003D45B9" w:rsidP="000279CA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279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Ввод жилья</w:t>
      </w:r>
    </w:p>
    <w:p w:rsidR="000279CA" w:rsidRPr="000279CA" w:rsidRDefault="000279CA" w:rsidP="000279CA">
      <w:pPr>
        <w:pStyle w:val="a3"/>
        <w:tabs>
          <w:tab w:val="left" w:pos="993"/>
        </w:tabs>
        <w:spacing w:after="0"/>
        <w:ind w:left="1353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364CF" w:rsidRDefault="002364CF" w:rsidP="003261BF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364CF">
        <w:rPr>
          <w:rFonts w:ascii="Times New Roman" w:eastAsia="Calibri" w:hAnsi="Times New Roman" w:cs="Times New Roman"/>
          <w:sz w:val="28"/>
          <w:szCs w:val="28"/>
          <w:lang w:eastAsia="en-US"/>
        </w:rPr>
        <w:t>За январь-сентябрь 202</w:t>
      </w:r>
      <w:r w:rsidR="001D588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2364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городе Ханты-Мансийске введено</w:t>
      </w:r>
      <w:r w:rsidR="00FF36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жилой площади в объеме 98,1 тыс.</w:t>
      </w:r>
      <w:r w:rsidRPr="002364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</w:t>
      </w:r>
      <w:r w:rsidR="00FF36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 (соответствующий период 2022 года – 75,3 тыс.</w:t>
      </w:r>
      <w:r w:rsidRPr="002364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 м.), из них много</w:t>
      </w:r>
      <w:r w:rsidR="00FF3658">
        <w:rPr>
          <w:rFonts w:ascii="Times New Roman" w:eastAsia="Calibri" w:hAnsi="Times New Roman" w:cs="Times New Roman"/>
          <w:sz w:val="28"/>
          <w:szCs w:val="28"/>
          <w:lang w:eastAsia="en-US"/>
        </w:rPr>
        <w:t>квартирные жилые дома – 78,1 тыс.</w:t>
      </w:r>
      <w:r w:rsidRPr="002364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</w:t>
      </w:r>
      <w:r w:rsidR="00FF36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 (соответствующий период 2022 года – 61 тыс.</w:t>
      </w:r>
      <w:r w:rsidRPr="002364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 м.), индивидуальное жилищное строител</w:t>
      </w:r>
      <w:r w:rsidR="00FF3658">
        <w:rPr>
          <w:rFonts w:ascii="Times New Roman" w:eastAsia="Calibri" w:hAnsi="Times New Roman" w:cs="Times New Roman"/>
          <w:sz w:val="28"/>
          <w:szCs w:val="28"/>
          <w:lang w:eastAsia="en-US"/>
        </w:rPr>
        <w:t>ьство – 20 тыс.</w:t>
      </w:r>
      <w:r w:rsidRPr="002364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</w:t>
      </w:r>
      <w:r w:rsidR="00CB58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 (соответствующий период 2022 года – 14,3 тыс.</w:t>
      </w:r>
      <w:r w:rsidRPr="002364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 м.).</w:t>
      </w:r>
      <w:proofErr w:type="gramEnd"/>
    </w:p>
    <w:p w:rsidR="00F3558C" w:rsidRPr="00A503F0" w:rsidRDefault="00F3558C" w:rsidP="0032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3F0">
        <w:rPr>
          <w:rFonts w:ascii="Times New Roman" w:hAnsi="Times New Roman" w:cs="Times New Roman"/>
          <w:sz w:val="28"/>
          <w:szCs w:val="28"/>
        </w:rPr>
        <w:t>Стратегической целью жилищной политики остается создание условий для дальнейшего повышения уровня доступности жилья.</w:t>
      </w:r>
      <w:r w:rsidR="007D4CDF">
        <w:rPr>
          <w:rFonts w:ascii="Times New Roman" w:hAnsi="Times New Roman" w:cs="Times New Roman"/>
          <w:sz w:val="28"/>
          <w:szCs w:val="28"/>
        </w:rPr>
        <w:t xml:space="preserve"> </w:t>
      </w:r>
      <w:r w:rsidRPr="00A503F0">
        <w:rPr>
          <w:rFonts w:ascii="Times New Roman" w:hAnsi="Times New Roman" w:cs="Times New Roman"/>
          <w:sz w:val="28"/>
          <w:szCs w:val="28"/>
        </w:rPr>
        <w:t>Основной инструмент достижения целей данной отрасли в прогнозном периоде – государственные и муниципальные программы.</w:t>
      </w:r>
    </w:p>
    <w:p w:rsidR="00F3558C" w:rsidRPr="00A503F0" w:rsidRDefault="00F3558C" w:rsidP="0032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3F0">
        <w:rPr>
          <w:rFonts w:ascii="Times New Roman" w:hAnsi="Times New Roman" w:cs="Times New Roman"/>
          <w:sz w:val="28"/>
          <w:szCs w:val="28"/>
        </w:rPr>
        <w:t>С целью стимулирования жилищного строительства будет продолжена работа по переселению из аварийного жилья, ликвидации аварийного жилого фонда.</w:t>
      </w:r>
    </w:p>
    <w:p w:rsidR="00A433ED" w:rsidRDefault="00CB5804" w:rsidP="0032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2364CF" w:rsidRPr="002364CF">
        <w:rPr>
          <w:rFonts w:ascii="Times New Roman" w:hAnsi="Times New Roman" w:cs="Times New Roman"/>
          <w:sz w:val="28"/>
          <w:szCs w:val="28"/>
        </w:rPr>
        <w:t xml:space="preserve"> году по оценке ввод объектов жилищного строительства составит не менее 110 тыс. </w:t>
      </w:r>
      <w:proofErr w:type="spellStart"/>
      <w:r w:rsidR="002364CF" w:rsidRPr="002364C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364CF" w:rsidRPr="002364CF">
        <w:rPr>
          <w:rFonts w:ascii="Times New Roman" w:hAnsi="Times New Roman" w:cs="Times New Roman"/>
          <w:sz w:val="28"/>
          <w:szCs w:val="28"/>
        </w:rPr>
        <w:t>.</w:t>
      </w:r>
    </w:p>
    <w:p w:rsidR="002364CF" w:rsidRPr="0094319F" w:rsidRDefault="002364CF" w:rsidP="0032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5B9" w:rsidRPr="0094319F" w:rsidRDefault="003D45B9" w:rsidP="003261BF">
      <w:pPr>
        <w:pStyle w:val="a3"/>
        <w:widowControl w:val="0"/>
        <w:numPr>
          <w:ilvl w:val="0"/>
          <w:numId w:val="1"/>
        </w:numPr>
        <w:tabs>
          <w:tab w:val="num" w:pos="14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31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Малое предпринимательство</w:t>
      </w:r>
    </w:p>
    <w:p w:rsidR="002D69E8" w:rsidRPr="0094319F" w:rsidRDefault="002D69E8" w:rsidP="003261B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249A" w:rsidRPr="0038249A" w:rsidRDefault="00CB5804" w:rsidP="0038249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На 01.10.2023</w:t>
      </w:r>
      <w:r w:rsidR="0038249A" w:rsidRPr="0038249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количество субъектов малого и среднего предпринимательства (далее – субъекты), осуществляющих деятельность на территории гор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ода Ханты-Мансийска составило 3990</w:t>
      </w:r>
      <w:r w:rsidR="00745F9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8249A" w:rsidRPr="0038249A">
        <w:rPr>
          <w:rFonts w:ascii="Times New Roman" w:eastAsia="Times New Roman" w:hAnsi="Times New Roman" w:cs="Times New Roman"/>
          <w:sz w:val="28"/>
          <w:szCs w:val="28"/>
          <w:lang w:eastAsia="x-none"/>
        </w:rPr>
        <w:t>единицы, в том числе:</w:t>
      </w:r>
    </w:p>
    <w:p w:rsidR="0038249A" w:rsidRPr="0038249A" w:rsidRDefault="00745F96" w:rsidP="0038249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1 260</w:t>
      </w:r>
      <w:r w:rsidR="0038249A" w:rsidRPr="0038249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– малых и средних предприятий, включая </w:t>
      </w:r>
      <w:proofErr w:type="spellStart"/>
      <w:r w:rsidR="0038249A" w:rsidRPr="0038249A">
        <w:rPr>
          <w:rFonts w:ascii="Times New Roman" w:eastAsia="Times New Roman" w:hAnsi="Times New Roman" w:cs="Times New Roman"/>
          <w:sz w:val="28"/>
          <w:szCs w:val="28"/>
          <w:lang w:eastAsia="x-none"/>
        </w:rPr>
        <w:t>микропредприятия</w:t>
      </w:r>
      <w:proofErr w:type="spellEnd"/>
      <w:r w:rsidR="0038249A" w:rsidRPr="0038249A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362B9D" w:rsidRDefault="00745F96" w:rsidP="0038249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2 730</w:t>
      </w:r>
      <w:r w:rsidR="0038249A" w:rsidRPr="0038249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– индивидуальных предпринимателей.</w:t>
      </w:r>
    </w:p>
    <w:p w:rsidR="000B3F57" w:rsidRDefault="000B3F57" w:rsidP="0038249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B3F57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территории города Ханты-Манс</w:t>
      </w:r>
      <w:r w:rsidR="0004438E">
        <w:rPr>
          <w:rFonts w:ascii="Times New Roman" w:eastAsia="Times New Roman" w:hAnsi="Times New Roman" w:cs="Times New Roman"/>
          <w:sz w:val="28"/>
          <w:szCs w:val="28"/>
          <w:lang w:eastAsia="x-none"/>
        </w:rPr>
        <w:t>ийска по состоянию на 01.10.2023</w:t>
      </w:r>
      <w:r w:rsidRPr="000B3F5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количество поставленных на учет физических лиц – налогоплательщиков налога на профес</w:t>
      </w:r>
      <w:r w:rsidR="00745F96">
        <w:rPr>
          <w:rFonts w:ascii="Times New Roman" w:eastAsia="Times New Roman" w:hAnsi="Times New Roman" w:cs="Times New Roman"/>
          <w:sz w:val="28"/>
          <w:szCs w:val="28"/>
          <w:lang w:eastAsia="x-none"/>
        </w:rPr>
        <w:t>сиональный доход составляет 5376</w:t>
      </w:r>
      <w:r w:rsidRPr="000B3F5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человек.</w:t>
      </w:r>
    </w:p>
    <w:p w:rsidR="00DA1E1B" w:rsidRDefault="00DA1E1B" w:rsidP="00DA1E1B">
      <w:pPr>
        <w:pStyle w:val="21"/>
        <w:widowControl w:val="0"/>
        <w:overflowPunct/>
        <w:autoSpaceDE/>
        <w:adjustRightInd/>
        <w:spacing w:line="240" w:lineRule="auto"/>
        <w:ind w:firstLine="709"/>
        <w:rPr>
          <w:rFonts w:ascii="Times New Roman" w:hAnsi="Times New Roman"/>
          <w:szCs w:val="28"/>
        </w:rPr>
      </w:pPr>
      <w:r w:rsidRPr="001D745F">
        <w:rPr>
          <w:rFonts w:ascii="Times New Roman" w:hAnsi="Times New Roman"/>
          <w:szCs w:val="28"/>
        </w:rPr>
        <w:t>Структура сфер деятельности не будет претерпевать значительных изменений, основными видами деятельности по-прежнему будут являться оптовая и розничная торговля, ремонт автотранс</w:t>
      </w:r>
      <w:r>
        <w:rPr>
          <w:rFonts w:ascii="Times New Roman" w:hAnsi="Times New Roman"/>
          <w:szCs w:val="28"/>
        </w:rPr>
        <w:t>по</w:t>
      </w:r>
      <w:r w:rsidR="00745F96">
        <w:rPr>
          <w:rFonts w:ascii="Times New Roman" w:hAnsi="Times New Roman"/>
          <w:szCs w:val="28"/>
        </w:rPr>
        <w:t>ртных средств, строительство. Э</w:t>
      </w:r>
      <w:r>
        <w:rPr>
          <w:rFonts w:ascii="Times New Roman" w:hAnsi="Times New Roman"/>
          <w:szCs w:val="28"/>
        </w:rPr>
        <w:t xml:space="preserve">кономической активности предпринимателей города Ханты-Мансийска </w:t>
      </w:r>
      <w:r w:rsidR="0004438E">
        <w:rPr>
          <w:rFonts w:ascii="Times New Roman" w:hAnsi="Times New Roman"/>
          <w:szCs w:val="28"/>
        </w:rPr>
        <w:t>в среднесрочной перспективе буду</w:t>
      </w:r>
      <w:r>
        <w:rPr>
          <w:rFonts w:ascii="Times New Roman" w:hAnsi="Times New Roman"/>
          <w:szCs w:val="28"/>
        </w:rPr>
        <w:t xml:space="preserve">т способствовать </w:t>
      </w:r>
      <w:r w:rsidR="00745F96">
        <w:rPr>
          <w:rFonts w:ascii="Times New Roman" w:hAnsi="Times New Roman"/>
          <w:szCs w:val="28"/>
        </w:rPr>
        <w:t>созданные благоприятные условия ведения бизнеса</w:t>
      </w:r>
      <w:r w:rsidR="0004438E">
        <w:rPr>
          <w:rFonts w:ascii="Times New Roman" w:hAnsi="Times New Roman"/>
          <w:szCs w:val="28"/>
        </w:rPr>
        <w:t>,</w:t>
      </w:r>
      <w:r w:rsidR="00745F96">
        <w:rPr>
          <w:rFonts w:ascii="Times New Roman" w:hAnsi="Times New Roman"/>
          <w:szCs w:val="28"/>
        </w:rPr>
        <w:t xml:space="preserve"> </w:t>
      </w:r>
      <w:r w:rsidR="0004438E">
        <w:rPr>
          <w:rFonts w:ascii="Times New Roman" w:hAnsi="Times New Roman"/>
          <w:szCs w:val="28"/>
        </w:rPr>
        <w:t xml:space="preserve">потребительский спрос на товары и услуги, </w:t>
      </w:r>
      <w:r w:rsidR="00745F96">
        <w:rPr>
          <w:rFonts w:ascii="Times New Roman" w:hAnsi="Times New Roman"/>
          <w:szCs w:val="28"/>
        </w:rPr>
        <w:t xml:space="preserve">устойчивое </w:t>
      </w:r>
      <w:r>
        <w:rPr>
          <w:rFonts w:ascii="Times New Roman" w:hAnsi="Times New Roman"/>
          <w:szCs w:val="28"/>
        </w:rPr>
        <w:t xml:space="preserve"> </w:t>
      </w:r>
      <w:r w:rsidR="00745F96">
        <w:rPr>
          <w:rFonts w:ascii="Times New Roman" w:hAnsi="Times New Roman"/>
          <w:szCs w:val="28"/>
        </w:rPr>
        <w:t xml:space="preserve">состояние </w:t>
      </w:r>
      <w:r w:rsidR="0004438E">
        <w:rPr>
          <w:rFonts w:ascii="Times New Roman" w:hAnsi="Times New Roman"/>
          <w:szCs w:val="28"/>
        </w:rPr>
        <w:t xml:space="preserve"> рынка труда, доступ к выполнению муниципальных заказов.</w:t>
      </w:r>
    </w:p>
    <w:p w:rsidR="000B3F57" w:rsidRPr="00510B3C" w:rsidRDefault="000B3F57" w:rsidP="0061793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3D45B9" w:rsidRPr="0036388F" w:rsidRDefault="003D45B9" w:rsidP="00DA1E1B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F76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Ситуация на рынке труда</w:t>
      </w:r>
    </w:p>
    <w:p w:rsidR="0036388F" w:rsidRPr="006F761A" w:rsidRDefault="0036388F" w:rsidP="0036388F">
      <w:pPr>
        <w:pStyle w:val="a3"/>
        <w:widowControl w:val="0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F49D0" w:rsidRDefault="005612EC" w:rsidP="002F49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12E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 состоянию на 01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октября</w:t>
      </w:r>
      <w:r w:rsidR="000443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</w:t>
      </w:r>
      <w:r w:rsidRPr="00561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численность безработных граждан, стоящих на регистрационном учете в центре зан</w:t>
      </w:r>
      <w:r w:rsidR="0004438E">
        <w:rPr>
          <w:rFonts w:ascii="Times New Roman" w:eastAsia="Calibri" w:hAnsi="Times New Roman" w:cs="Times New Roman"/>
          <w:sz w:val="28"/>
          <w:szCs w:val="28"/>
          <w:lang w:eastAsia="ru-RU"/>
        </w:rPr>
        <w:t>ятости населения, составляет 113 человек</w:t>
      </w:r>
      <w:r w:rsidRPr="005612EC">
        <w:rPr>
          <w:rFonts w:ascii="Times New Roman" w:eastAsia="Calibri" w:hAnsi="Times New Roman" w:cs="Times New Roman"/>
          <w:sz w:val="28"/>
          <w:szCs w:val="28"/>
          <w:lang w:eastAsia="ru-RU"/>
        </w:rPr>
        <w:t>, по сравнению</w:t>
      </w:r>
      <w:r w:rsidR="000443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соответствующим периодом 2022</w:t>
      </w:r>
      <w:r w:rsidRPr="00561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численност</w:t>
      </w:r>
      <w:r w:rsidR="0004438E">
        <w:rPr>
          <w:rFonts w:ascii="Times New Roman" w:eastAsia="Calibri" w:hAnsi="Times New Roman" w:cs="Times New Roman"/>
          <w:sz w:val="28"/>
          <w:szCs w:val="28"/>
          <w:lang w:eastAsia="ru-RU"/>
        </w:rPr>
        <w:t>ь безработных уменьшилась в 65%</w:t>
      </w:r>
      <w:r w:rsidRPr="00561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438E">
        <w:rPr>
          <w:rFonts w:ascii="Times New Roman" w:eastAsia="Calibri" w:hAnsi="Times New Roman" w:cs="Times New Roman"/>
          <w:sz w:val="28"/>
          <w:szCs w:val="28"/>
          <w:lang w:eastAsia="ru-RU"/>
        </w:rPr>
        <w:t>(на 01.10.2022 – 174</w:t>
      </w:r>
      <w:r w:rsidRPr="00561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человека). Уровень регистриру</w:t>
      </w:r>
      <w:r w:rsidR="0004438E">
        <w:rPr>
          <w:rFonts w:ascii="Times New Roman" w:eastAsia="Calibri" w:hAnsi="Times New Roman" w:cs="Times New Roman"/>
          <w:sz w:val="28"/>
          <w:szCs w:val="28"/>
          <w:lang w:eastAsia="ru-RU"/>
        </w:rPr>
        <w:t>емой безработицы снизился с 0,25% до 0,1</w:t>
      </w:r>
      <w:r w:rsidRPr="00561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5% от экономически </w:t>
      </w:r>
      <w:proofErr w:type="gramStart"/>
      <w:r w:rsidRPr="005612EC">
        <w:rPr>
          <w:rFonts w:ascii="Times New Roman" w:eastAsia="Calibri" w:hAnsi="Times New Roman" w:cs="Times New Roman"/>
          <w:sz w:val="28"/>
          <w:szCs w:val="28"/>
          <w:lang w:eastAsia="ru-RU"/>
        </w:rPr>
        <w:t>активного</w:t>
      </w:r>
      <w:proofErr w:type="gramEnd"/>
      <w:r w:rsidRPr="00561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населения. Коэффицие</w:t>
      </w:r>
      <w:r w:rsidR="0004438E">
        <w:rPr>
          <w:rFonts w:ascii="Times New Roman" w:eastAsia="Calibri" w:hAnsi="Times New Roman" w:cs="Times New Roman"/>
          <w:sz w:val="28"/>
          <w:szCs w:val="28"/>
          <w:lang w:eastAsia="ru-RU"/>
        </w:rPr>
        <w:t>нт напряженности снизился с 0,28</w:t>
      </w:r>
      <w:r w:rsidRPr="00561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438E">
        <w:rPr>
          <w:rFonts w:ascii="Times New Roman" w:eastAsia="Calibri" w:hAnsi="Times New Roman" w:cs="Times New Roman"/>
          <w:sz w:val="28"/>
          <w:szCs w:val="28"/>
          <w:lang w:eastAsia="ru-RU"/>
        </w:rPr>
        <w:t>до 0,43</w:t>
      </w:r>
      <w:r w:rsidRPr="00561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человека на 1 свободное рабочее место.</w:t>
      </w:r>
    </w:p>
    <w:p w:rsidR="0004438E" w:rsidRPr="0004438E" w:rsidRDefault="0004438E" w:rsidP="000443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443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Численность экономически активного населения на 01.10.2023 составляет 73 357 человек или 66,2% от общей численности населения города Ханты-Мансийска, из их числа 73 244 человека заняты в экономике (соответствующий период 2022 года – 68 668 человек). </w:t>
      </w:r>
      <w:proofErr w:type="gramEnd"/>
    </w:p>
    <w:p w:rsidR="0004438E" w:rsidRDefault="0004438E" w:rsidP="000443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438E">
        <w:rPr>
          <w:rFonts w:ascii="Times New Roman" w:eastAsia="Calibri" w:hAnsi="Times New Roman" w:cs="Times New Roman"/>
          <w:sz w:val="28"/>
          <w:szCs w:val="28"/>
          <w:lang w:eastAsia="ru-RU"/>
        </w:rPr>
        <w:t>Среднесписочная численность работников без внешних совместителей, не относящихся к субъектам малого предпринимательства, по состоянию на 01.08.2023 составляет 44 735 человек или 103,7% к соответствующему периоду 2022 года (43 148 человека).</w:t>
      </w:r>
    </w:p>
    <w:p w:rsidR="005612EC" w:rsidRDefault="005612EC" w:rsidP="000443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12EC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Подготовка (переподготовка) высококвалифицированных специалистов, организация профессиональной ориентации в целях выбора сферы трудоустройства, прохождение профессионального обучения и получение дополнительного профессионального образования, содействие занятости  инвалидов и иных льготных категорий граждан, организация ярмарок вакансий позволят в прогнозируемом периоде году избежать резких ко</w:t>
      </w:r>
      <w:r w:rsidR="0004438E">
        <w:rPr>
          <w:rFonts w:ascii="Times New Roman" w:eastAsia="Calibri" w:hAnsi="Times New Roman" w:cs="Times New Roman"/>
          <w:sz w:val="28"/>
          <w:szCs w:val="28"/>
          <w:lang w:eastAsia="ru-RU"/>
        </w:rPr>
        <w:t>лебаний конъюнктуры рынка труда</w:t>
      </w:r>
      <w:r w:rsidRPr="005612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612EC" w:rsidRPr="00284CF0" w:rsidRDefault="005612EC" w:rsidP="002F49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5B9" w:rsidRPr="00284CF0" w:rsidRDefault="003D45B9" w:rsidP="00DA1E1B">
      <w:pPr>
        <w:pStyle w:val="a3"/>
        <w:widowControl w:val="0"/>
        <w:numPr>
          <w:ilvl w:val="0"/>
          <w:numId w:val="1"/>
        </w:numPr>
        <w:spacing w:after="0" w:line="240" w:lineRule="auto"/>
        <w:ind w:hanging="43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4C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Демографическая ситуация </w:t>
      </w:r>
    </w:p>
    <w:p w:rsidR="002D69E8" w:rsidRPr="00284CF0" w:rsidRDefault="002D69E8" w:rsidP="003261BF">
      <w:pPr>
        <w:pStyle w:val="a3"/>
        <w:widowControl w:val="0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B4485" w:rsidRDefault="00FB4485" w:rsidP="002F4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485">
        <w:rPr>
          <w:rFonts w:ascii="Times New Roman" w:hAnsi="Times New Roman" w:cs="Times New Roman"/>
          <w:sz w:val="28"/>
          <w:szCs w:val="28"/>
        </w:rPr>
        <w:t xml:space="preserve">По данным Управления Федеральной службы государственной статистики по Тюменской области, Ханты-Мансийскому </w:t>
      </w:r>
      <w:r w:rsidR="00160F91">
        <w:rPr>
          <w:rFonts w:ascii="Times New Roman" w:hAnsi="Times New Roman" w:cs="Times New Roman"/>
          <w:sz w:val="28"/>
          <w:szCs w:val="28"/>
        </w:rPr>
        <w:t>автономному округу Югре и Ямало-</w:t>
      </w:r>
      <w:r w:rsidRPr="00FB4485">
        <w:rPr>
          <w:rFonts w:ascii="Times New Roman" w:hAnsi="Times New Roman" w:cs="Times New Roman"/>
          <w:sz w:val="28"/>
          <w:szCs w:val="28"/>
        </w:rPr>
        <w:t xml:space="preserve">Ненецкому автономному округу (далее – </w:t>
      </w:r>
      <w:r w:rsidR="00160F91">
        <w:rPr>
          <w:rFonts w:ascii="Times New Roman" w:hAnsi="Times New Roman" w:cs="Times New Roman"/>
          <w:sz w:val="28"/>
          <w:szCs w:val="28"/>
        </w:rPr>
        <w:t>служба статистики) на 01.08.2023</w:t>
      </w:r>
      <w:r w:rsidRPr="00FB4485">
        <w:rPr>
          <w:rFonts w:ascii="Times New Roman" w:hAnsi="Times New Roman" w:cs="Times New Roman"/>
          <w:sz w:val="28"/>
          <w:szCs w:val="28"/>
        </w:rPr>
        <w:t xml:space="preserve"> численность постоянного населения составляет 1</w:t>
      </w:r>
      <w:r w:rsidR="00160F91">
        <w:rPr>
          <w:rFonts w:ascii="Times New Roman" w:hAnsi="Times New Roman" w:cs="Times New Roman"/>
          <w:sz w:val="28"/>
          <w:szCs w:val="28"/>
        </w:rPr>
        <w:t>10,8 тыс. чел. или 101,3</w:t>
      </w:r>
      <w:r w:rsidRPr="00FB4485">
        <w:rPr>
          <w:rFonts w:ascii="Times New Roman" w:hAnsi="Times New Roman" w:cs="Times New Roman"/>
          <w:sz w:val="28"/>
          <w:szCs w:val="28"/>
        </w:rPr>
        <w:t>%</w:t>
      </w:r>
      <w:r w:rsidR="00160F91">
        <w:rPr>
          <w:rFonts w:ascii="Times New Roman" w:hAnsi="Times New Roman" w:cs="Times New Roman"/>
          <w:sz w:val="28"/>
          <w:szCs w:val="28"/>
        </w:rPr>
        <w:t xml:space="preserve"> к соответствующему периоду 2022</w:t>
      </w:r>
      <w:r w:rsidR="00A87353">
        <w:rPr>
          <w:rFonts w:ascii="Times New Roman" w:hAnsi="Times New Roman" w:cs="Times New Roman"/>
          <w:sz w:val="28"/>
          <w:szCs w:val="28"/>
        </w:rPr>
        <w:t xml:space="preserve"> года (109,4 тыс.</w:t>
      </w:r>
      <w:r w:rsidRPr="00FB4485">
        <w:rPr>
          <w:rFonts w:ascii="Times New Roman" w:hAnsi="Times New Roman" w:cs="Times New Roman"/>
          <w:sz w:val="28"/>
          <w:szCs w:val="28"/>
        </w:rPr>
        <w:t xml:space="preserve"> чел.).</w:t>
      </w:r>
    </w:p>
    <w:p w:rsidR="00FB4485" w:rsidRDefault="00FB4485" w:rsidP="00921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485">
        <w:rPr>
          <w:rFonts w:ascii="Times New Roman" w:hAnsi="Times New Roman" w:cs="Times New Roman"/>
          <w:sz w:val="28"/>
          <w:szCs w:val="28"/>
        </w:rPr>
        <w:t>Одним из факторов сохранения демографического потенциала продолжает оставаться естественный прирост населения, который по данным службы статистики за январь-июль 202</w:t>
      </w:r>
      <w:r w:rsidR="001D5881">
        <w:rPr>
          <w:rFonts w:ascii="Times New Roman" w:hAnsi="Times New Roman" w:cs="Times New Roman"/>
          <w:sz w:val="28"/>
          <w:szCs w:val="28"/>
        </w:rPr>
        <w:t>3</w:t>
      </w:r>
      <w:bookmarkStart w:id="2" w:name="_GoBack"/>
      <w:bookmarkEnd w:id="2"/>
      <w:r w:rsidRPr="00FB4485">
        <w:rPr>
          <w:rFonts w:ascii="Times New Roman" w:hAnsi="Times New Roman" w:cs="Times New Roman"/>
          <w:sz w:val="28"/>
          <w:szCs w:val="28"/>
        </w:rPr>
        <w:t xml:space="preserve"> года составля</w:t>
      </w:r>
      <w:r w:rsidR="00A87353">
        <w:rPr>
          <w:rFonts w:ascii="Times New Roman" w:hAnsi="Times New Roman" w:cs="Times New Roman"/>
          <w:sz w:val="28"/>
          <w:szCs w:val="28"/>
        </w:rPr>
        <w:t>ет 410 чел. (в 2022 году – 372</w:t>
      </w:r>
      <w:r w:rsidRPr="00FB4485">
        <w:rPr>
          <w:rFonts w:ascii="Times New Roman" w:hAnsi="Times New Roman" w:cs="Times New Roman"/>
          <w:sz w:val="28"/>
          <w:szCs w:val="28"/>
        </w:rPr>
        <w:t xml:space="preserve"> чел.). Количество родившихся по данным </w:t>
      </w:r>
      <w:r w:rsidR="00A87353">
        <w:rPr>
          <w:rFonts w:ascii="Times New Roman" w:hAnsi="Times New Roman" w:cs="Times New Roman"/>
          <w:sz w:val="28"/>
          <w:szCs w:val="28"/>
        </w:rPr>
        <w:t>службы статистики составляет 709</w:t>
      </w:r>
      <w:r w:rsidRPr="00FB4485">
        <w:rPr>
          <w:rFonts w:ascii="Times New Roman" w:hAnsi="Times New Roman" w:cs="Times New Roman"/>
          <w:sz w:val="28"/>
          <w:szCs w:val="28"/>
        </w:rPr>
        <w:t xml:space="preserve"> чел. (соответствующий период </w:t>
      </w:r>
      <w:r w:rsidR="00A87353">
        <w:rPr>
          <w:rFonts w:ascii="Times New Roman" w:hAnsi="Times New Roman" w:cs="Times New Roman"/>
          <w:sz w:val="28"/>
          <w:szCs w:val="28"/>
        </w:rPr>
        <w:t xml:space="preserve">2 </w:t>
      </w:r>
      <w:r w:rsidRPr="00FB4485"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A87353">
        <w:rPr>
          <w:rFonts w:ascii="Times New Roman" w:hAnsi="Times New Roman" w:cs="Times New Roman"/>
          <w:sz w:val="28"/>
          <w:szCs w:val="28"/>
        </w:rPr>
        <w:t>663</w:t>
      </w:r>
      <w:r w:rsidRPr="00FB4485">
        <w:rPr>
          <w:rFonts w:ascii="Times New Roman" w:hAnsi="Times New Roman" w:cs="Times New Roman"/>
          <w:sz w:val="28"/>
          <w:szCs w:val="28"/>
        </w:rPr>
        <w:t xml:space="preserve"> чел.). На процессы рождаемости оказывают влияние разнонаправленные факторы: выплата материнского капитала, увеличение размера пособий семьям, имеющим детей, создание условий для повышения доступности жилья семьям с детьми, поддержка за счет средств окружного бюджета в виде </w:t>
      </w:r>
      <w:r w:rsidR="00A87353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FB4485">
        <w:rPr>
          <w:rFonts w:ascii="Times New Roman" w:hAnsi="Times New Roman" w:cs="Times New Roman"/>
          <w:sz w:val="28"/>
          <w:szCs w:val="28"/>
        </w:rPr>
        <w:t>единовременных выплат при рождении второго ребенк</w:t>
      </w:r>
      <w:r w:rsidR="00A87353">
        <w:rPr>
          <w:rFonts w:ascii="Times New Roman" w:hAnsi="Times New Roman" w:cs="Times New Roman"/>
          <w:sz w:val="28"/>
          <w:szCs w:val="28"/>
        </w:rPr>
        <w:t>а, третьего и последующих детей, поддержка семей участников  СВО.</w:t>
      </w:r>
    </w:p>
    <w:p w:rsidR="00921B14" w:rsidRPr="00921B14" w:rsidRDefault="00921B14" w:rsidP="00921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города Ханты-Мансийска в реализации мероприятий национального проекта «Демография», а также масштабные федеральные </w:t>
      </w:r>
      <w:r w:rsidRPr="00921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меры поддержки беременных женщин, семей с детьми, активное развитие системы здравоохранения позволит усилить эффективность демографической политики и сохранить темп положительной динамики численности населения. </w:t>
      </w:r>
    </w:p>
    <w:p w:rsidR="00921B14" w:rsidRPr="00921B14" w:rsidRDefault="00921B14" w:rsidP="00921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комплекс мер социальной поддержки на территории города Ханты-Мансийска, численность постоянного населения к </w:t>
      </w:r>
      <w:r w:rsidR="00A873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концу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2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 </w:t>
      </w:r>
      <w:r w:rsidRPr="0092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A87353">
        <w:rPr>
          <w:rFonts w:ascii="Times New Roman" w:eastAsia="Times New Roman" w:hAnsi="Times New Roman" w:cs="Times New Roman"/>
          <w:sz w:val="28"/>
          <w:szCs w:val="28"/>
          <w:lang w:eastAsia="ru-RU"/>
        </w:rPr>
        <w:t>111,5</w:t>
      </w:r>
      <w:r w:rsidRPr="0092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 </w:t>
      </w:r>
    </w:p>
    <w:p w:rsidR="00610B25" w:rsidRPr="00102B8F" w:rsidRDefault="00610B25" w:rsidP="003261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5B9" w:rsidRPr="00102B8F" w:rsidRDefault="003D45B9" w:rsidP="00DA1E1B">
      <w:pPr>
        <w:pStyle w:val="a3"/>
        <w:widowControl w:val="0"/>
        <w:numPr>
          <w:ilvl w:val="0"/>
          <w:numId w:val="1"/>
        </w:numPr>
        <w:spacing w:after="0" w:line="240" w:lineRule="auto"/>
        <w:ind w:hanging="43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2B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Уровень жизни населения</w:t>
      </w:r>
    </w:p>
    <w:p w:rsidR="00981D81" w:rsidRPr="00102B8F" w:rsidRDefault="00981D81" w:rsidP="003261BF">
      <w:pPr>
        <w:pStyle w:val="a3"/>
        <w:widowControl w:val="0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B4485" w:rsidRDefault="00FB4485" w:rsidP="00921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службы статистики по состоянию на 01.09.202</w:t>
      </w:r>
      <w:r w:rsidR="001D58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среднемесячная заработная плата работников (по крупным и средним п</w:t>
      </w:r>
      <w:r w:rsidR="00891B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редприятиям) составляет 114 056 руб. или 115,3</w:t>
      </w:r>
      <w:r w:rsidRPr="00FB448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9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соответствующему периоду 2022 года – 98 887,4</w:t>
      </w:r>
      <w:r w:rsidRPr="00FB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FB4485" w:rsidRPr="001722D2" w:rsidRDefault="00FB4485" w:rsidP="00FB4485">
      <w:pPr>
        <w:pStyle w:val="a4"/>
        <w:widowControl w:val="0"/>
        <w:ind w:firstLine="709"/>
        <w:rPr>
          <w:sz w:val="28"/>
          <w:szCs w:val="28"/>
          <w:lang w:val="ru-RU"/>
        </w:rPr>
      </w:pPr>
      <w:r w:rsidRPr="001722D2">
        <w:rPr>
          <w:sz w:val="28"/>
          <w:szCs w:val="28"/>
        </w:rPr>
        <w:t xml:space="preserve">С учетом дополнительных выплат из Негосударственного Пенсионного Фонда средний размер доходов одного неработающего пенсионера </w:t>
      </w:r>
      <w:r w:rsidR="00891B23">
        <w:rPr>
          <w:sz w:val="28"/>
          <w:szCs w:val="28"/>
          <w:lang w:val="ru-RU"/>
        </w:rPr>
        <w:t>за январь-сентябрь 2023</w:t>
      </w:r>
      <w:r w:rsidRPr="001722D2">
        <w:rPr>
          <w:sz w:val="28"/>
          <w:szCs w:val="28"/>
          <w:lang w:val="ru-RU"/>
        </w:rPr>
        <w:t xml:space="preserve"> года</w:t>
      </w:r>
      <w:r w:rsidRPr="001722D2">
        <w:rPr>
          <w:sz w:val="28"/>
          <w:szCs w:val="28"/>
        </w:rPr>
        <w:t xml:space="preserve"> составл</w:t>
      </w:r>
      <w:r w:rsidRPr="001722D2">
        <w:rPr>
          <w:sz w:val="28"/>
          <w:szCs w:val="28"/>
          <w:lang w:val="ru-RU"/>
        </w:rPr>
        <w:t>яет</w:t>
      </w:r>
      <w:r w:rsidRPr="001722D2">
        <w:rPr>
          <w:sz w:val="28"/>
          <w:szCs w:val="28"/>
        </w:rPr>
        <w:t xml:space="preserve"> </w:t>
      </w:r>
      <w:r w:rsidR="00891B23">
        <w:rPr>
          <w:sz w:val="28"/>
          <w:szCs w:val="28"/>
          <w:lang w:val="ru-RU"/>
        </w:rPr>
        <w:t>29 039,08</w:t>
      </w:r>
      <w:r w:rsidRPr="001722D2">
        <w:rPr>
          <w:sz w:val="28"/>
          <w:szCs w:val="28"/>
        </w:rPr>
        <w:t xml:space="preserve"> руб</w:t>
      </w:r>
      <w:r w:rsidRPr="001722D2">
        <w:rPr>
          <w:sz w:val="28"/>
          <w:szCs w:val="28"/>
          <w:lang w:val="ru-RU"/>
        </w:rPr>
        <w:t>лей</w:t>
      </w:r>
      <w:r w:rsidRPr="001722D2">
        <w:rPr>
          <w:sz w:val="28"/>
          <w:szCs w:val="28"/>
        </w:rPr>
        <w:t xml:space="preserve"> (соответствующий период 20</w:t>
      </w:r>
      <w:r w:rsidR="00891B23">
        <w:rPr>
          <w:sz w:val="28"/>
          <w:szCs w:val="28"/>
          <w:lang w:val="ru-RU"/>
        </w:rPr>
        <w:t>22</w:t>
      </w:r>
      <w:r w:rsidRPr="001722D2">
        <w:rPr>
          <w:sz w:val="28"/>
          <w:szCs w:val="28"/>
        </w:rPr>
        <w:t xml:space="preserve"> года –</w:t>
      </w:r>
      <w:r w:rsidR="00891B23">
        <w:rPr>
          <w:sz w:val="28"/>
          <w:szCs w:val="28"/>
          <w:lang w:val="ru-RU"/>
        </w:rPr>
        <w:t xml:space="preserve"> 27 514</w:t>
      </w:r>
      <w:r w:rsidRPr="001722D2">
        <w:rPr>
          <w:sz w:val="28"/>
          <w:szCs w:val="28"/>
          <w:lang w:val="ru-RU"/>
        </w:rPr>
        <w:t xml:space="preserve"> </w:t>
      </w:r>
      <w:r w:rsidRPr="001722D2">
        <w:rPr>
          <w:sz w:val="28"/>
          <w:szCs w:val="28"/>
        </w:rPr>
        <w:t>руб</w:t>
      </w:r>
      <w:r w:rsidRPr="001722D2">
        <w:rPr>
          <w:sz w:val="28"/>
          <w:szCs w:val="28"/>
          <w:lang w:val="ru-RU"/>
        </w:rPr>
        <w:t>лей</w:t>
      </w:r>
      <w:r w:rsidRPr="001722D2">
        <w:rPr>
          <w:sz w:val="28"/>
          <w:szCs w:val="28"/>
        </w:rPr>
        <w:t>).</w:t>
      </w:r>
    </w:p>
    <w:p w:rsidR="00FB4485" w:rsidRDefault="00FB4485" w:rsidP="00663C4F">
      <w:pPr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Среднедушевой доход в расчете на одного жител</w:t>
      </w:r>
      <w:r w:rsidR="00891B23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города за январь-сентябрь 2023</w:t>
      </w:r>
      <w:r w:rsidRPr="00FB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предварите</w:t>
      </w:r>
      <w:r w:rsidR="00891B2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данным составляет 64 898 руб. или 108,5</w:t>
      </w:r>
      <w:r w:rsidRPr="00FB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соответствующему периоду </w:t>
      </w:r>
      <w:r w:rsidR="00891B23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(59 797,9</w:t>
      </w:r>
      <w:r w:rsidRPr="00FB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руб.).</w:t>
      </w:r>
    </w:p>
    <w:p w:rsidR="00610B25" w:rsidRPr="00ED7CFC" w:rsidRDefault="00FB4485" w:rsidP="00891B23">
      <w:pPr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прогнозном периоде сохранится существующая структура денежных доходов населения, основной составляющей которых будет являться за</w:t>
      </w:r>
      <w:r w:rsidR="0089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работная плата. По оценке в 2023</w:t>
      </w:r>
      <w:r w:rsidRPr="00FB4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начисленная номинальная среднемесячная заработная плата на одного работника по крупным и средним пр</w:t>
      </w:r>
      <w:r w:rsidR="0089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едприятиям города составит 114 тыс. рублей или 111% к уровню 2022</w:t>
      </w:r>
      <w:r w:rsidRPr="00FB4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В результате предпринимаемых мер по совершенствованию пенс</w:t>
      </w:r>
      <w:r w:rsidR="0089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ионной системы в 2023</w:t>
      </w:r>
      <w:r w:rsidRPr="00FB4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размер трудовой пенсии по старости одного пенси</w:t>
      </w:r>
      <w:r w:rsidR="0089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онера по оценке составит 31</w:t>
      </w:r>
      <w:r w:rsidR="00C0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291,8 </w:t>
      </w:r>
      <w:r w:rsidRPr="00FB4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sectPr w:rsidR="00610B25" w:rsidRPr="00ED7CF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D86" w:rsidRDefault="00973D86" w:rsidP="00681EF6">
      <w:pPr>
        <w:spacing w:after="0" w:line="240" w:lineRule="auto"/>
      </w:pPr>
      <w:r>
        <w:separator/>
      </w:r>
    </w:p>
  </w:endnote>
  <w:endnote w:type="continuationSeparator" w:id="0">
    <w:p w:rsidR="00973D86" w:rsidRDefault="00973D86" w:rsidP="0068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o UI">
    <w:charset w:val="00"/>
    <w:family w:val="swiss"/>
    <w:pitch w:val="variable"/>
    <w:sig w:usb0="02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D86" w:rsidRDefault="00973D86" w:rsidP="00681EF6">
      <w:pPr>
        <w:spacing w:after="0" w:line="240" w:lineRule="auto"/>
      </w:pPr>
      <w:r>
        <w:separator/>
      </w:r>
    </w:p>
  </w:footnote>
  <w:footnote w:type="continuationSeparator" w:id="0">
    <w:p w:rsidR="00973D86" w:rsidRDefault="00973D86" w:rsidP="00681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94870"/>
      <w:docPartObj>
        <w:docPartGallery w:val="Page Numbers (Top of Page)"/>
        <w:docPartUnique/>
      </w:docPartObj>
    </w:sdtPr>
    <w:sdtEndPr/>
    <w:sdtContent>
      <w:p w:rsidR="00681EF6" w:rsidRDefault="00681EF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881">
          <w:rPr>
            <w:noProof/>
          </w:rPr>
          <w:t>2</w:t>
        </w:r>
        <w:r>
          <w:fldChar w:fldCharType="end"/>
        </w:r>
      </w:p>
    </w:sdtContent>
  </w:sdt>
  <w:p w:rsidR="00681EF6" w:rsidRDefault="00681EF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0DFB"/>
    <w:multiLevelType w:val="hybridMultilevel"/>
    <w:tmpl w:val="0CD21EF0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2140AE"/>
    <w:multiLevelType w:val="hybridMultilevel"/>
    <w:tmpl w:val="2BEE9D0E"/>
    <w:lvl w:ilvl="0" w:tplc="94449A86">
      <w:start w:val="1"/>
      <w:numFmt w:val="bullet"/>
      <w:lvlText w:val="–"/>
      <w:lvlJc w:val="left"/>
      <w:pPr>
        <w:ind w:left="1211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B20C8D"/>
    <w:multiLevelType w:val="multilevel"/>
    <w:tmpl w:val="774884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48A076A"/>
    <w:multiLevelType w:val="hybridMultilevel"/>
    <w:tmpl w:val="1362E77C"/>
    <w:lvl w:ilvl="0" w:tplc="52E212D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4E238FA"/>
    <w:multiLevelType w:val="hybridMultilevel"/>
    <w:tmpl w:val="1CC076CA"/>
    <w:lvl w:ilvl="0" w:tplc="61CA01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DE77716"/>
    <w:multiLevelType w:val="hybridMultilevel"/>
    <w:tmpl w:val="0DF8255E"/>
    <w:lvl w:ilvl="0" w:tplc="11E03D54">
      <w:start w:val="1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E2A6AB1"/>
    <w:multiLevelType w:val="hybridMultilevel"/>
    <w:tmpl w:val="B7969D22"/>
    <w:lvl w:ilvl="0" w:tplc="186E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50B326A"/>
    <w:multiLevelType w:val="multilevel"/>
    <w:tmpl w:val="AB02E2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85F5D27"/>
    <w:multiLevelType w:val="hybridMultilevel"/>
    <w:tmpl w:val="54A80FE4"/>
    <w:lvl w:ilvl="0" w:tplc="EF04FA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B9"/>
    <w:rsid w:val="000279CA"/>
    <w:rsid w:val="000371AA"/>
    <w:rsid w:val="0004438E"/>
    <w:rsid w:val="000573D3"/>
    <w:rsid w:val="0008188E"/>
    <w:rsid w:val="000B3F57"/>
    <w:rsid w:val="00102B8F"/>
    <w:rsid w:val="0011688A"/>
    <w:rsid w:val="00160F91"/>
    <w:rsid w:val="00170F2F"/>
    <w:rsid w:val="001B2578"/>
    <w:rsid w:val="001D237D"/>
    <w:rsid w:val="001D5881"/>
    <w:rsid w:val="001E3BDB"/>
    <w:rsid w:val="002336EA"/>
    <w:rsid w:val="002364CF"/>
    <w:rsid w:val="0027223D"/>
    <w:rsid w:val="00284CF0"/>
    <w:rsid w:val="002C0586"/>
    <w:rsid w:val="002D3059"/>
    <w:rsid w:val="002D69E8"/>
    <w:rsid w:val="002F49D0"/>
    <w:rsid w:val="002F7B90"/>
    <w:rsid w:val="0032385E"/>
    <w:rsid w:val="003261BF"/>
    <w:rsid w:val="00362B9D"/>
    <w:rsid w:val="0036388F"/>
    <w:rsid w:val="00367485"/>
    <w:rsid w:val="00375387"/>
    <w:rsid w:val="0038249A"/>
    <w:rsid w:val="003B045D"/>
    <w:rsid w:val="003B0FDD"/>
    <w:rsid w:val="003D3909"/>
    <w:rsid w:val="003D45B9"/>
    <w:rsid w:val="0042420A"/>
    <w:rsid w:val="004315FE"/>
    <w:rsid w:val="0047380E"/>
    <w:rsid w:val="00482468"/>
    <w:rsid w:val="004845C0"/>
    <w:rsid w:val="00494F7A"/>
    <w:rsid w:val="00510B3C"/>
    <w:rsid w:val="005612EC"/>
    <w:rsid w:val="005C7A70"/>
    <w:rsid w:val="005F4183"/>
    <w:rsid w:val="00610B25"/>
    <w:rsid w:val="00617935"/>
    <w:rsid w:val="00631FB6"/>
    <w:rsid w:val="00663C4F"/>
    <w:rsid w:val="00665F3B"/>
    <w:rsid w:val="00675F10"/>
    <w:rsid w:val="00681EF6"/>
    <w:rsid w:val="006F761A"/>
    <w:rsid w:val="00745F96"/>
    <w:rsid w:val="00747D87"/>
    <w:rsid w:val="007B75ED"/>
    <w:rsid w:val="007D4CDF"/>
    <w:rsid w:val="00847DE1"/>
    <w:rsid w:val="00854520"/>
    <w:rsid w:val="00887D42"/>
    <w:rsid w:val="00891B23"/>
    <w:rsid w:val="008B5E2A"/>
    <w:rsid w:val="008E5B4E"/>
    <w:rsid w:val="00921B14"/>
    <w:rsid w:val="0094319F"/>
    <w:rsid w:val="00973D86"/>
    <w:rsid w:val="00981D81"/>
    <w:rsid w:val="0099591D"/>
    <w:rsid w:val="009A3152"/>
    <w:rsid w:val="009A471F"/>
    <w:rsid w:val="00A27115"/>
    <w:rsid w:val="00A433ED"/>
    <w:rsid w:val="00A503F0"/>
    <w:rsid w:val="00A709DF"/>
    <w:rsid w:val="00A764D9"/>
    <w:rsid w:val="00A87353"/>
    <w:rsid w:val="00AA25F7"/>
    <w:rsid w:val="00AB7C87"/>
    <w:rsid w:val="00AE65F2"/>
    <w:rsid w:val="00B376B1"/>
    <w:rsid w:val="00C05871"/>
    <w:rsid w:val="00C4060D"/>
    <w:rsid w:val="00C60DE7"/>
    <w:rsid w:val="00C64E04"/>
    <w:rsid w:val="00CB5804"/>
    <w:rsid w:val="00D00F00"/>
    <w:rsid w:val="00D10E78"/>
    <w:rsid w:val="00D2444F"/>
    <w:rsid w:val="00D35649"/>
    <w:rsid w:val="00D53601"/>
    <w:rsid w:val="00D72CCA"/>
    <w:rsid w:val="00D92F75"/>
    <w:rsid w:val="00DA1E1B"/>
    <w:rsid w:val="00DB1DA3"/>
    <w:rsid w:val="00DB31FA"/>
    <w:rsid w:val="00DD7B6E"/>
    <w:rsid w:val="00E359C0"/>
    <w:rsid w:val="00E76181"/>
    <w:rsid w:val="00EB3DCA"/>
    <w:rsid w:val="00EB432A"/>
    <w:rsid w:val="00ED7CFC"/>
    <w:rsid w:val="00F175ED"/>
    <w:rsid w:val="00F3558C"/>
    <w:rsid w:val="00F44EEB"/>
    <w:rsid w:val="00F777F4"/>
    <w:rsid w:val="00FB4485"/>
    <w:rsid w:val="00FB765F"/>
    <w:rsid w:val="00F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5B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D45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33ED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A433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A433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2D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9E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2420A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68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1EF6"/>
  </w:style>
  <w:style w:type="paragraph" w:styleId="ab">
    <w:name w:val="footer"/>
    <w:basedOn w:val="a"/>
    <w:link w:val="ac"/>
    <w:uiPriority w:val="99"/>
    <w:unhideWhenUsed/>
    <w:rsid w:val="0068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1EF6"/>
  </w:style>
  <w:style w:type="paragraph" w:customStyle="1" w:styleId="21">
    <w:name w:val="Основной текст 21"/>
    <w:basedOn w:val="a"/>
    <w:rsid w:val="00DA1E1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FB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5B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D45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33ED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A433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A433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2D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9E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2420A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68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1EF6"/>
  </w:style>
  <w:style w:type="paragraph" w:styleId="ab">
    <w:name w:val="footer"/>
    <w:basedOn w:val="a"/>
    <w:link w:val="ac"/>
    <w:uiPriority w:val="99"/>
    <w:unhideWhenUsed/>
    <w:rsid w:val="0068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1EF6"/>
  </w:style>
  <w:style w:type="paragraph" w:customStyle="1" w:styleId="21">
    <w:name w:val="Основной текст 21"/>
    <w:basedOn w:val="a"/>
    <w:rsid w:val="00DA1E1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FB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Малюгина Людмила Анатольевна</dc:creator>
  <cp:lastModifiedBy>Воробьева Ирина Дмитриева</cp:lastModifiedBy>
  <cp:revision>6</cp:revision>
  <cp:lastPrinted>2019-11-08T06:00:00Z</cp:lastPrinted>
  <dcterms:created xsi:type="dcterms:W3CDTF">2023-11-03T05:55:00Z</dcterms:created>
  <dcterms:modified xsi:type="dcterms:W3CDTF">2023-11-07T06:32:00Z</dcterms:modified>
</cp:coreProperties>
</file>