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5E" w:rsidRPr="00794D5E" w:rsidRDefault="00794D5E" w:rsidP="00794D5E">
      <w:pPr>
        <w:jc w:val="center"/>
        <w:rPr>
          <w:b/>
          <w:sz w:val="28"/>
          <w:szCs w:val="28"/>
        </w:rPr>
      </w:pPr>
      <w:r w:rsidRPr="00794D5E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73E42AE6" wp14:editId="134EBEA1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5E" w:rsidRPr="00794D5E" w:rsidRDefault="00794D5E" w:rsidP="00794D5E">
      <w:pPr>
        <w:jc w:val="center"/>
        <w:rPr>
          <w:b/>
          <w:sz w:val="28"/>
          <w:szCs w:val="28"/>
        </w:rPr>
      </w:pPr>
      <w:r w:rsidRPr="00794D5E">
        <w:rPr>
          <w:b/>
          <w:sz w:val="28"/>
          <w:szCs w:val="28"/>
        </w:rPr>
        <w:t>Муниципальное образование</w:t>
      </w:r>
    </w:p>
    <w:p w:rsidR="00794D5E" w:rsidRPr="00794D5E" w:rsidRDefault="00794D5E" w:rsidP="00794D5E">
      <w:pPr>
        <w:jc w:val="center"/>
        <w:rPr>
          <w:b/>
          <w:sz w:val="28"/>
          <w:szCs w:val="28"/>
        </w:rPr>
      </w:pPr>
      <w:r w:rsidRPr="00794D5E">
        <w:rPr>
          <w:b/>
          <w:sz w:val="28"/>
          <w:szCs w:val="28"/>
        </w:rPr>
        <w:t>Ханты-Мансийского автономного округа – Югры</w:t>
      </w:r>
    </w:p>
    <w:p w:rsidR="00794D5E" w:rsidRPr="00794D5E" w:rsidRDefault="00794D5E" w:rsidP="00794D5E">
      <w:pPr>
        <w:jc w:val="center"/>
        <w:rPr>
          <w:b/>
          <w:sz w:val="28"/>
          <w:szCs w:val="28"/>
        </w:rPr>
      </w:pPr>
      <w:r w:rsidRPr="00794D5E">
        <w:rPr>
          <w:b/>
          <w:sz w:val="28"/>
          <w:szCs w:val="28"/>
        </w:rPr>
        <w:t>городской округ город Ханты-Мансийск</w:t>
      </w:r>
    </w:p>
    <w:p w:rsidR="00794D5E" w:rsidRPr="00794D5E" w:rsidRDefault="00794D5E" w:rsidP="00794D5E">
      <w:pPr>
        <w:jc w:val="center"/>
        <w:rPr>
          <w:b/>
          <w:bCs/>
          <w:sz w:val="28"/>
          <w:szCs w:val="28"/>
        </w:rPr>
      </w:pPr>
    </w:p>
    <w:p w:rsidR="00794D5E" w:rsidRPr="00794D5E" w:rsidRDefault="00794D5E" w:rsidP="00794D5E">
      <w:pPr>
        <w:jc w:val="center"/>
        <w:rPr>
          <w:b/>
          <w:sz w:val="32"/>
          <w:szCs w:val="32"/>
        </w:rPr>
      </w:pPr>
      <w:r w:rsidRPr="00794D5E">
        <w:rPr>
          <w:b/>
          <w:sz w:val="32"/>
          <w:szCs w:val="32"/>
        </w:rPr>
        <w:t>ДУМА ГОРОДА ХАНТЫ-МАНСИЙСКА</w:t>
      </w:r>
    </w:p>
    <w:p w:rsidR="00794D5E" w:rsidRPr="00794D5E" w:rsidRDefault="00794D5E" w:rsidP="00794D5E">
      <w:pPr>
        <w:jc w:val="center"/>
        <w:rPr>
          <w:b/>
          <w:sz w:val="32"/>
          <w:szCs w:val="32"/>
        </w:rPr>
      </w:pPr>
    </w:p>
    <w:p w:rsidR="00794D5E" w:rsidRPr="00794D5E" w:rsidRDefault="00794D5E" w:rsidP="00794D5E">
      <w:pPr>
        <w:jc w:val="center"/>
        <w:rPr>
          <w:b/>
          <w:sz w:val="32"/>
          <w:szCs w:val="32"/>
        </w:rPr>
      </w:pPr>
      <w:r w:rsidRPr="00794D5E">
        <w:rPr>
          <w:b/>
          <w:bCs/>
          <w:sz w:val="32"/>
          <w:szCs w:val="32"/>
        </w:rPr>
        <w:t>РЕШЕНИЕ</w:t>
      </w:r>
    </w:p>
    <w:p w:rsidR="00794D5E" w:rsidRPr="00794D5E" w:rsidRDefault="00794D5E" w:rsidP="00794D5E">
      <w:pPr>
        <w:jc w:val="right"/>
        <w:rPr>
          <w:bCs/>
          <w:i/>
          <w:iCs/>
          <w:sz w:val="28"/>
          <w:szCs w:val="28"/>
        </w:rPr>
      </w:pPr>
      <w:r w:rsidRPr="00794D5E">
        <w:rPr>
          <w:b/>
          <w:bCs/>
          <w:iCs/>
          <w:sz w:val="28"/>
          <w:szCs w:val="28"/>
        </w:rPr>
        <w:tab/>
      </w:r>
      <w:r w:rsidRPr="00794D5E">
        <w:rPr>
          <w:b/>
          <w:bCs/>
          <w:iCs/>
          <w:sz w:val="28"/>
          <w:szCs w:val="28"/>
        </w:rPr>
        <w:tab/>
      </w:r>
      <w:r w:rsidRPr="00794D5E">
        <w:rPr>
          <w:b/>
          <w:bCs/>
          <w:iCs/>
          <w:sz w:val="28"/>
          <w:szCs w:val="28"/>
        </w:rPr>
        <w:tab/>
      </w:r>
      <w:r w:rsidRPr="00794D5E">
        <w:rPr>
          <w:b/>
          <w:bCs/>
          <w:iCs/>
          <w:sz w:val="28"/>
          <w:szCs w:val="28"/>
        </w:rPr>
        <w:tab/>
      </w:r>
      <w:r w:rsidRPr="00794D5E">
        <w:rPr>
          <w:b/>
          <w:bCs/>
          <w:iCs/>
          <w:sz w:val="28"/>
          <w:szCs w:val="28"/>
        </w:rPr>
        <w:tab/>
      </w:r>
      <w:r w:rsidRPr="00794D5E">
        <w:rPr>
          <w:b/>
          <w:bCs/>
          <w:iCs/>
          <w:sz w:val="28"/>
          <w:szCs w:val="28"/>
        </w:rPr>
        <w:tab/>
      </w:r>
      <w:r w:rsidRPr="00794D5E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794D5E">
        <w:rPr>
          <w:bCs/>
          <w:i/>
          <w:iCs/>
          <w:sz w:val="28"/>
          <w:szCs w:val="28"/>
        </w:rPr>
        <w:t>Принято</w:t>
      </w:r>
    </w:p>
    <w:p w:rsidR="00794D5E" w:rsidRPr="00794D5E" w:rsidRDefault="00794D5E" w:rsidP="00794D5E">
      <w:pPr>
        <w:jc w:val="right"/>
        <w:rPr>
          <w:bCs/>
          <w:i/>
          <w:iCs/>
          <w:sz w:val="28"/>
          <w:szCs w:val="28"/>
        </w:rPr>
      </w:pP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  <w:t xml:space="preserve">18 декабря 2015 года </w:t>
      </w:r>
    </w:p>
    <w:p w:rsidR="00794D5E" w:rsidRDefault="00794D5E" w:rsidP="007D548C">
      <w:pPr>
        <w:pStyle w:val="ConsPlusTitle"/>
        <w:widowControl/>
        <w:rPr>
          <w:b w:val="0"/>
        </w:rPr>
      </w:pPr>
    </w:p>
    <w:p w:rsidR="007D548C" w:rsidRDefault="007D548C" w:rsidP="007D548C">
      <w:pPr>
        <w:pStyle w:val="ConsPlusTitle"/>
        <w:widowControl/>
        <w:rPr>
          <w:b w:val="0"/>
        </w:rPr>
      </w:pPr>
      <w:r w:rsidRPr="0034256A">
        <w:rPr>
          <w:b w:val="0"/>
        </w:rPr>
        <w:t xml:space="preserve">Об одобрении  </w:t>
      </w:r>
      <w:r w:rsidR="00EF11E9">
        <w:rPr>
          <w:b w:val="0"/>
        </w:rPr>
        <w:t xml:space="preserve">проекта изменений </w:t>
      </w:r>
    </w:p>
    <w:p w:rsidR="007D548C" w:rsidRDefault="00EF11E9" w:rsidP="007D548C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r w:rsidR="007D548C" w:rsidRPr="0034256A">
        <w:rPr>
          <w:b w:val="0"/>
        </w:rPr>
        <w:t>муниципальн</w:t>
      </w:r>
      <w:r w:rsidR="007D548C">
        <w:rPr>
          <w:b w:val="0"/>
        </w:rPr>
        <w:t>ую программу</w:t>
      </w:r>
    </w:p>
    <w:p w:rsidR="007D548C" w:rsidRPr="0034256A" w:rsidRDefault="007D548C" w:rsidP="007D548C">
      <w:pPr>
        <w:pStyle w:val="ConsPlusTitle"/>
        <w:widowControl/>
        <w:rPr>
          <w:b w:val="0"/>
        </w:rPr>
      </w:pPr>
      <w:r w:rsidRPr="0034256A">
        <w:rPr>
          <w:b w:val="0"/>
        </w:rPr>
        <w:t>«Управление муниципальными</w:t>
      </w:r>
    </w:p>
    <w:p w:rsidR="007D548C" w:rsidRPr="0034256A" w:rsidRDefault="007D548C" w:rsidP="007D548C">
      <w:pPr>
        <w:pStyle w:val="ConsPlusTitle"/>
        <w:widowControl/>
        <w:rPr>
          <w:b w:val="0"/>
        </w:rPr>
      </w:pPr>
      <w:r w:rsidRPr="0034256A">
        <w:rPr>
          <w:b w:val="0"/>
        </w:rPr>
        <w:t>финансами города Ханты-Мансийска</w:t>
      </w:r>
    </w:p>
    <w:p w:rsidR="007D548C" w:rsidRPr="0034256A" w:rsidRDefault="007D548C" w:rsidP="007D548C">
      <w:pPr>
        <w:pStyle w:val="ac"/>
        <w:rPr>
          <w:u w:val="single"/>
        </w:rPr>
      </w:pPr>
      <w:r w:rsidRPr="0034256A">
        <w:rPr>
          <w:sz w:val="28"/>
          <w:szCs w:val="28"/>
        </w:rPr>
        <w:t>на 2014-2020 годы»</w:t>
      </w:r>
    </w:p>
    <w:p w:rsidR="007D548C" w:rsidRDefault="007D548C" w:rsidP="007D548C">
      <w:pPr>
        <w:pStyle w:val="ConsPlusNormal"/>
        <w:jc w:val="both"/>
      </w:pPr>
    </w:p>
    <w:p w:rsidR="00D563D4" w:rsidRPr="00D563D4" w:rsidRDefault="00D563D4" w:rsidP="00D563D4">
      <w:pPr>
        <w:pStyle w:val="ConsPlusTitle"/>
        <w:widowControl/>
        <w:ind w:firstLine="708"/>
        <w:jc w:val="both"/>
        <w:rPr>
          <w:b w:val="0"/>
        </w:rPr>
      </w:pPr>
      <w:proofErr w:type="gramStart"/>
      <w:r w:rsidRPr="0052527A">
        <w:rPr>
          <w:b w:val="0"/>
        </w:rPr>
        <w:t>Рассмотрев проект изм</w:t>
      </w:r>
      <w:r>
        <w:rPr>
          <w:b w:val="0"/>
        </w:rPr>
        <w:t xml:space="preserve">енений в муниципальную программу </w:t>
      </w:r>
      <w:r w:rsidRPr="0052527A">
        <w:rPr>
          <w:b w:val="0"/>
        </w:rPr>
        <w:t>«Управление муниципальными</w:t>
      </w:r>
      <w:r>
        <w:rPr>
          <w:b w:val="0"/>
        </w:rPr>
        <w:t xml:space="preserve"> </w:t>
      </w:r>
      <w:r w:rsidRPr="0052527A">
        <w:rPr>
          <w:b w:val="0"/>
        </w:rPr>
        <w:t>финансами города Ханты-Мансийска</w:t>
      </w:r>
      <w:r>
        <w:rPr>
          <w:b w:val="0"/>
        </w:rPr>
        <w:t xml:space="preserve"> </w:t>
      </w:r>
      <w:r w:rsidRPr="0052527A">
        <w:rPr>
          <w:b w:val="0"/>
        </w:rPr>
        <w:t>на 2014-2020 годы»</w:t>
      </w:r>
      <w:r>
        <w:rPr>
          <w:b w:val="0"/>
        </w:rPr>
        <w:t>, утвержденную постановлением Администрации города Ханты-Мансийска от 24 октября 2013 года № 1367</w:t>
      </w:r>
      <w:r w:rsidRPr="00D563D4">
        <w:t xml:space="preserve"> </w:t>
      </w:r>
      <w:r w:rsidRPr="00D563D4">
        <w:rPr>
          <w:b w:val="0"/>
        </w:rPr>
        <w:t>(в редакции постановлений Администра</w:t>
      </w:r>
      <w:r>
        <w:rPr>
          <w:b w:val="0"/>
        </w:rPr>
        <w:t>ции города Ханты-Мансийска от 06</w:t>
      </w:r>
      <w:r w:rsidRPr="00D563D4">
        <w:rPr>
          <w:b w:val="0"/>
        </w:rPr>
        <w:t xml:space="preserve"> февраля 2014 года № </w:t>
      </w:r>
      <w:r>
        <w:rPr>
          <w:b w:val="0"/>
        </w:rPr>
        <w:t>68, от 04</w:t>
      </w:r>
      <w:r w:rsidRPr="00D563D4">
        <w:rPr>
          <w:b w:val="0"/>
        </w:rPr>
        <w:t xml:space="preserve"> </w:t>
      </w:r>
      <w:r>
        <w:rPr>
          <w:b w:val="0"/>
        </w:rPr>
        <w:t>июня</w:t>
      </w:r>
      <w:r w:rsidRPr="00D563D4">
        <w:rPr>
          <w:b w:val="0"/>
        </w:rPr>
        <w:t xml:space="preserve"> 2014 года № </w:t>
      </w:r>
      <w:r>
        <w:rPr>
          <w:b w:val="0"/>
        </w:rPr>
        <w:t>471, от 13</w:t>
      </w:r>
      <w:r w:rsidRPr="00D563D4">
        <w:rPr>
          <w:b w:val="0"/>
        </w:rPr>
        <w:t xml:space="preserve"> </w:t>
      </w:r>
      <w:r>
        <w:rPr>
          <w:b w:val="0"/>
        </w:rPr>
        <w:t>февраля</w:t>
      </w:r>
      <w:r w:rsidRPr="00D563D4">
        <w:rPr>
          <w:b w:val="0"/>
        </w:rPr>
        <w:t xml:space="preserve"> </w:t>
      </w:r>
      <w:r>
        <w:rPr>
          <w:b w:val="0"/>
        </w:rPr>
        <w:t>2015 года № 361)</w:t>
      </w:r>
      <w:r w:rsidRPr="00D563D4">
        <w:rPr>
          <w:b w:val="0"/>
        </w:rPr>
        <w:t>, руководствуясь частью 1 статьи 69 Устава города Ханты-Мансийска</w:t>
      </w:r>
      <w:r w:rsidRPr="0052527A">
        <w:rPr>
          <w:b w:val="0"/>
        </w:rPr>
        <w:t xml:space="preserve">, </w:t>
      </w:r>
      <w:proofErr w:type="gramEnd"/>
    </w:p>
    <w:p w:rsidR="00D563D4" w:rsidRDefault="00D563D4" w:rsidP="00D563D4">
      <w:pPr>
        <w:suppressAutoHyphens/>
        <w:ind w:firstLine="709"/>
        <w:jc w:val="center"/>
        <w:rPr>
          <w:sz w:val="28"/>
          <w:szCs w:val="28"/>
        </w:rPr>
      </w:pPr>
    </w:p>
    <w:p w:rsidR="007D548C" w:rsidRPr="0034256A" w:rsidRDefault="007D548C" w:rsidP="00D563D4">
      <w:pPr>
        <w:suppressAutoHyphens/>
        <w:ind w:firstLine="709"/>
        <w:jc w:val="center"/>
        <w:rPr>
          <w:sz w:val="28"/>
          <w:szCs w:val="28"/>
        </w:rPr>
      </w:pPr>
      <w:r w:rsidRPr="0034256A">
        <w:rPr>
          <w:sz w:val="28"/>
          <w:szCs w:val="28"/>
        </w:rPr>
        <w:t>Дума города Ханты-Мансийска РЕШИЛА:</w:t>
      </w:r>
    </w:p>
    <w:p w:rsidR="007D548C" w:rsidRPr="0034256A" w:rsidRDefault="007D548C" w:rsidP="00D563D4">
      <w:pPr>
        <w:suppressAutoHyphens/>
        <w:ind w:firstLine="709"/>
        <w:jc w:val="both"/>
        <w:rPr>
          <w:sz w:val="28"/>
          <w:szCs w:val="28"/>
        </w:rPr>
      </w:pPr>
    </w:p>
    <w:p w:rsidR="007D548C" w:rsidRDefault="007D548C" w:rsidP="00D56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4256A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проект изменений в</w:t>
      </w:r>
      <w:r w:rsidRPr="003425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4256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4256A">
          <w:rPr>
            <w:rFonts w:ascii="Times New Roman" w:hAnsi="Times New Roman" w:cs="Times New Roman"/>
            <w:sz w:val="28"/>
            <w:szCs w:val="28"/>
          </w:rPr>
          <w:t>программ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34256A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города Ханты-Мансийска на 2014</w:t>
      </w:r>
      <w:r>
        <w:rPr>
          <w:rFonts w:ascii="Times New Roman" w:hAnsi="Times New Roman" w:cs="Times New Roman"/>
          <w:sz w:val="28"/>
          <w:szCs w:val="28"/>
        </w:rPr>
        <w:t>-2020 годы» согласно приложению 1 к настоящему Решению</w:t>
      </w:r>
      <w:r w:rsidRPr="0034256A">
        <w:rPr>
          <w:rFonts w:ascii="Times New Roman" w:hAnsi="Times New Roman" w:cs="Times New Roman"/>
          <w:sz w:val="28"/>
          <w:szCs w:val="28"/>
        </w:rPr>
        <w:t>.</w:t>
      </w:r>
    </w:p>
    <w:p w:rsidR="007D548C" w:rsidRDefault="007D548C" w:rsidP="00D56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4256A">
        <w:rPr>
          <w:rFonts w:ascii="Times New Roman" w:hAnsi="Times New Roman" w:cs="Times New Roman"/>
          <w:sz w:val="28"/>
          <w:szCs w:val="28"/>
        </w:rPr>
        <w:t xml:space="preserve">Одобрить </w:t>
      </w:r>
      <w:r>
        <w:rPr>
          <w:rFonts w:ascii="Times New Roman" w:hAnsi="Times New Roman" w:cs="Times New Roman"/>
          <w:sz w:val="28"/>
          <w:szCs w:val="28"/>
        </w:rPr>
        <w:t>проект изменений в</w:t>
      </w:r>
      <w:r w:rsidRPr="003425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4256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4256A">
          <w:rPr>
            <w:rFonts w:ascii="Times New Roman" w:hAnsi="Times New Roman" w:cs="Times New Roman"/>
            <w:sz w:val="28"/>
            <w:szCs w:val="28"/>
          </w:rPr>
          <w:t>программ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Pr="0034256A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города Ханты-Мансийска на 2014</w:t>
      </w:r>
      <w:r w:rsidR="00AA09CD">
        <w:rPr>
          <w:rFonts w:ascii="Times New Roman" w:hAnsi="Times New Roman" w:cs="Times New Roman"/>
          <w:sz w:val="28"/>
          <w:szCs w:val="28"/>
        </w:rPr>
        <w:t>-2020 годы»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Решению</w:t>
      </w:r>
      <w:r w:rsidRPr="0034256A">
        <w:rPr>
          <w:rFonts w:ascii="Times New Roman" w:hAnsi="Times New Roman" w:cs="Times New Roman"/>
          <w:sz w:val="28"/>
          <w:szCs w:val="28"/>
        </w:rPr>
        <w:t>.</w:t>
      </w:r>
    </w:p>
    <w:p w:rsidR="007D548C" w:rsidRDefault="007D548C" w:rsidP="007D548C">
      <w:pPr>
        <w:ind w:right="-5" w:firstLine="708"/>
        <w:jc w:val="both"/>
        <w:rPr>
          <w:sz w:val="28"/>
          <w:szCs w:val="28"/>
        </w:rPr>
      </w:pPr>
    </w:p>
    <w:p w:rsidR="007D548C" w:rsidRDefault="007D548C" w:rsidP="007D548C">
      <w:pPr>
        <w:ind w:right="-5" w:firstLine="708"/>
        <w:jc w:val="both"/>
        <w:rPr>
          <w:sz w:val="28"/>
          <w:szCs w:val="28"/>
        </w:rPr>
      </w:pPr>
    </w:p>
    <w:p w:rsidR="007D548C" w:rsidRDefault="007D548C" w:rsidP="00D563D4">
      <w:pPr>
        <w:tabs>
          <w:tab w:val="left" w:pos="-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EF11E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В.А. Филипенко</w:t>
      </w:r>
    </w:p>
    <w:p w:rsidR="00EF11E9" w:rsidRPr="00D563D4" w:rsidRDefault="00EF11E9" w:rsidP="00D563D4">
      <w:pPr>
        <w:tabs>
          <w:tab w:val="left" w:pos="-4860"/>
        </w:tabs>
        <w:rPr>
          <w:b/>
          <w:sz w:val="28"/>
          <w:szCs w:val="28"/>
        </w:rPr>
      </w:pPr>
    </w:p>
    <w:p w:rsidR="00794D5E" w:rsidRPr="00794D5E" w:rsidRDefault="00794D5E" w:rsidP="00794D5E">
      <w:pPr>
        <w:jc w:val="right"/>
        <w:rPr>
          <w:bCs/>
          <w:i/>
          <w:iCs/>
          <w:sz w:val="28"/>
          <w:szCs w:val="28"/>
        </w:rPr>
      </w:pPr>
      <w:r w:rsidRPr="00794D5E">
        <w:rPr>
          <w:bCs/>
          <w:i/>
          <w:iCs/>
          <w:sz w:val="28"/>
          <w:szCs w:val="28"/>
        </w:rPr>
        <w:t>Подписано</w:t>
      </w:r>
    </w:p>
    <w:p w:rsidR="00794D5E" w:rsidRPr="00794D5E" w:rsidRDefault="00794D5E" w:rsidP="00794D5E">
      <w:pPr>
        <w:jc w:val="right"/>
        <w:rPr>
          <w:bCs/>
          <w:i/>
          <w:iCs/>
          <w:sz w:val="28"/>
          <w:szCs w:val="28"/>
        </w:rPr>
      </w:pP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</w:r>
      <w:r w:rsidRPr="00794D5E">
        <w:rPr>
          <w:bCs/>
          <w:i/>
          <w:iCs/>
          <w:sz w:val="28"/>
          <w:szCs w:val="28"/>
        </w:rPr>
        <w:tab/>
        <w:t xml:space="preserve">18 декабря 2015 года </w:t>
      </w:r>
    </w:p>
    <w:p w:rsidR="00794D5E" w:rsidRPr="00794D5E" w:rsidRDefault="00794D5E" w:rsidP="00794D5E">
      <w:pPr>
        <w:rPr>
          <w:bCs/>
          <w:iCs/>
          <w:sz w:val="28"/>
          <w:szCs w:val="28"/>
        </w:rPr>
      </w:pPr>
      <w:proofErr w:type="gramStart"/>
      <w:r w:rsidRPr="00794D5E">
        <w:rPr>
          <w:bCs/>
          <w:iCs/>
          <w:sz w:val="28"/>
          <w:szCs w:val="28"/>
        </w:rPr>
        <w:t xml:space="preserve">Ханты – </w:t>
      </w:r>
      <w:proofErr w:type="spellStart"/>
      <w:r w:rsidRPr="00794D5E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794D5E" w:rsidRPr="00794D5E" w:rsidRDefault="00794D5E" w:rsidP="00794D5E">
      <w:pPr>
        <w:rPr>
          <w:bCs/>
          <w:iCs/>
          <w:sz w:val="28"/>
          <w:szCs w:val="28"/>
        </w:rPr>
      </w:pPr>
      <w:r w:rsidRPr="00794D5E">
        <w:rPr>
          <w:bCs/>
          <w:iCs/>
          <w:sz w:val="28"/>
          <w:szCs w:val="28"/>
        </w:rPr>
        <w:t xml:space="preserve">18 декабря 2015 года </w:t>
      </w:r>
    </w:p>
    <w:p w:rsidR="00794D5E" w:rsidRPr="00794D5E" w:rsidRDefault="00794D5E" w:rsidP="00794D5E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762</w:t>
      </w:r>
      <w:r w:rsidRPr="00794D5E">
        <w:rPr>
          <w:bCs/>
          <w:iCs/>
          <w:sz w:val="28"/>
          <w:szCs w:val="28"/>
        </w:rPr>
        <w:t xml:space="preserve"> - </w:t>
      </w:r>
      <w:r w:rsidRPr="00794D5E">
        <w:rPr>
          <w:bCs/>
          <w:iCs/>
          <w:sz w:val="28"/>
          <w:szCs w:val="28"/>
          <w:lang w:val="en-US"/>
        </w:rPr>
        <w:t>V</w:t>
      </w:r>
      <w:r w:rsidRPr="00794D5E">
        <w:rPr>
          <w:bCs/>
          <w:iCs/>
        </w:rPr>
        <w:t xml:space="preserve">  </w:t>
      </w:r>
      <w:r w:rsidRPr="00794D5E">
        <w:rPr>
          <w:bCs/>
          <w:iCs/>
          <w:sz w:val="28"/>
          <w:szCs w:val="28"/>
        </w:rPr>
        <w:t>РД</w:t>
      </w:r>
    </w:p>
    <w:p w:rsidR="00043009" w:rsidRDefault="007D548C" w:rsidP="007D54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7D548C" w:rsidRPr="00245356" w:rsidRDefault="007D548C" w:rsidP="00043009">
      <w:pPr>
        <w:jc w:val="right"/>
        <w:rPr>
          <w:sz w:val="28"/>
          <w:szCs w:val="28"/>
        </w:rPr>
      </w:pPr>
      <w:r w:rsidRPr="00245356">
        <w:rPr>
          <w:sz w:val="28"/>
          <w:szCs w:val="28"/>
        </w:rPr>
        <w:t xml:space="preserve">к Решению </w:t>
      </w:r>
      <w:r w:rsidR="00043009">
        <w:rPr>
          <w:sz w:val="28"/>
          <w:szCs w:val="28"/>
        </w:rPr>
        <w:t xml:space="preserve"> </w:t>
      </w:r>
      <w:r w:rsidRPr="00245356">
        <w:rPr>
          <w:sz w:val="28"/>
          <w:szCs w:val="28"/>
        </w:rPr>
        <w:t>Думы города Ханты-Мансийска</w:t>
      </w:r>
    </w:p>
    <w:p w:rsidR="007D548C" w:rsidRDefault="00043009" w:rsidP="007D548C">
      <w:pPr>
        <w:pStyle w:val="ConsPlusTitle"/>
        <w:widowControl/>
        <w:ind w:firstLine="709"/>
        <w:jc w:val="right"/>
        <w:rPr>
          <w:b w:val="0"/>
        </w:rPr>
      </w:pPr>
      <w:r>
        <w:rPr>
          <w:b w:val="0"/>
        </w:rPr>
        <w:t xml:space="preserve">от 18 декабря 2015 года  № </w:t>
      </w:r>
      <w:r w:rsidRPr="00043009">
        <w:rPr>
          <w:b w:val="0"/>
          <w:iCs/>
        </w:rPr>
        <w:t xml:space="preserve">762 - </w:t>
      </w:r>
      <w:r w:rsidRPr="00043009">
        <w:rPr>
          <w:b w:val="0"/>
          <w:iCs/>
          <w:lang w:val="en-US"/>
        </w:rPr>
        <w:t>V</w:t>
      </w:r>
      <w:r w:rsidRPr="00043009">
        <w:rPr>
          <w:b w:val="0"/>
          <w:iCs/>
        </w:rPr>
        <w:t xml:space="preserve">  РД</w:t>
      </w:r>
    </w:p>
    <w:p w:rsidR="007D548C" w:rsidRDefault="007D548C" w:rsidP="007D548C">
      <w:pPr>
        <w:pStyle w:val="ConsPlusTitle"/>
        <w:widowControl/>
        <w:jc w:val="center"/>
        <w:rPr>
          <w:b w:val="0"/>
          <w:bCs w:val="0"/>
          <w:iCs/>
        </w:rPr>
      </w:pPr>
    </w:p>
    <w:p w:rsidR="007D548C" w:rsidRPr="00E5766E" w:rsidRDefault="007D548C" w:rsidP="007D548C">
      <w:pPr>
        <w:pStyle w:val="ConsPlusTitle"/>
        <w:widowControl/>
        <w:jc w:val="center"/>
      </w:pPr>
      <w:r w:rsidRPr="00E5766E">
        <w:rPr>
          <w:bCs w:val="0"/>
          <w:iCs/>
        </w:rPr>
        <w:t>Проект изменений</w:t>
      </w:r>
      <w:r w:rsidRPr="00E5766E">
        <w:rPr>
          <w:iCs/>
        </w:rPr>
        <w:t xml:space="preserve"> в </w:t>
      </w:r>
      <w:r w:rsidRPr="00E5766E">
        <w:t>муниципальную программу</w:t>
      </w:r>
    </w:p>
    <w:p w:rsidR="007D548C" w:rsidRPr="00E5766E" w:rsidRDefault="007D548C" w:rsidP="007D548C">
      <w:pPr>
        <w:pStyle w:val="ConsPlusTitle"/>
        <w:widowControl/>
        <w:jc w:val="center"/>
      </w:pPr>
      <w:r w:rsidRPr="00E5766E">
        <w:t>«Управление муниципальными финансами города Ханты-Мансийска</w:t>
      </w:r>
    </w:p>
    <w:p w:rsidR="00043009" w:rsidRDefault="007D548C" w:rsidP="00043009">
      <w:pPr>
        <w:pStyle w:val="ac"/>
        <w:spacing w:after="0"/>
        <w:jc w:val="center"/>
        <w:rPr>
          <w:b/>
          <w:sz w:val="28"/>
          <w:szCs w:val="28"/>
        </w:rPr>
      </w:pPr>
      <w:r w:rsidRPr="00E5766E">
        <w:rPr>
          <w:b/>
          <w:sz w:val="28"/>
          <w:szCs w:val="28"/>
        </w:rPr>
        <w:t xml:space="preserve">на 2014-2020 годы» </w:t>
      </w:r>
    </w:p>
    <w:p w:rsidR="007D548C" w:rsidRPr="00043009" w:rsidRDefault="007D548C" w:rsidP="00043009">
      <w:pPr>
        <w:pStyle w:val="ac"/>
        <w:spacing w:after="0"/>
        <w:jc w:val="center"/>
        <w:rPr>
          <w:bCs/>
          <w:iCs/>
          <w:sz w:val="28"/>
          <w:szCs w:val="28"/>
        </w:rPr>
      </w:pPr>
      <w:r w:rsidRPr="00043009">
        <w:rPr>
          <w:sz w:val="28"/>
          <w:szCs w:val="28"/>
        </w:rPr>
        <w:t>(</w:t>
      </w:r>
      <w:r w:rsidRPr="00043009">
        <w:rPr>
          <w:bCs/>
          <w:iCs/>
          <w:sz w:val="28"/>
          <w:szCs w:val="28"/>
        </w:rPr>
        <w:t>далее – программа)</w:t>
      </w:r>
    </w:p>
    <w:p w:rsidR="007D548C" w:rsidRPr="00043009" w:rsidRDefault="007D548C" w:rsidP="007D548C">
      <w:pPr>
        <w:pStyle w:val="ac"/>
        <w:jc w:val="center"/>
        <w:rPr>
          <w:u w:val="single"/>
        </w:rPr>
      </w:pPr>
    </w:p>
    <w:p w:rsidR="007D548C" w:rsidRDefault="007D548C" w:rsidP="007D54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63E4B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В </w:t>
      </w:r>
      <w:proofErr w:type="gramStart"/>
      <w:r>
        <w:rPr>
          <w:rFonts w:eastAsia="Calibri"/>
          <w:sz w:val="28"/>
          <w:szCs w:val="28"/>
        </w:rPr>
        <w:t>паспорте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663E4B">
        <w:rPr>
          <w:rFonts w:eastAsia="Calibri"/>
          <w:sz w:val="28"/>
          <w:szCs w:val="28"/>
        </w:rPr>
        <w:t>программы</w:t>
      </w:r>
      <w:r>
        <w:rPr>
          <w:rFonts w:eastAsia="Calibri"/>
          <w:sz w:val="28"/>
          <w:szCs w:val="28"/>
        </w:rPr>
        <w:t>:</w:t>
      </w:r>
    </w:p>
    <w:p w:rsidR="007D548C" w:rsidRPr="00663E4B" w:rsidRDefault="007D548C" w:rsidP="007D54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1.1.С</w:t>
      </w:r>
      <w:r w:rsidRPr="00663E4B">
        <w:rPr>
          <w:rFonts w:eastAsia="Calibri"/>
          <w:sz w:val="28"/>
          <w:szCs w:val="28"/>
        </w:rPr>
        <w:t>т</w:t>
      </w:r>
      <w:r>
        <w:rPr>
          <w:sz w:val="28"/>
          <w:szCs w:val="28"/>
        </w:rPr>
        <w:t>року</w:t>
      </w:r>
      <w:r w:rsidRPr="00663E4B">
        <w:rPr>
          <w:rFonts w:eastAsia="Calibri"/>
          <w:sz w:val="28"/>
          <w:szCs w:val="28"/>
        </w:rPr>
        <w:t xml:space="preserve"> «</w:t>
      </w:r>
      <w:r>
        <w:rPr>
          <w:sz w:val="28"/>
          <w:szCs w:val="28"/>
        </w:rPr>
        <w:t>Исполнители мероприятий программы</w:t>
      </w:r>
      <w:r w:rsidRPr="00663E4B">
        <w:rPr>
          <w:rFonts w:eastAsia="Calibri"/>
          <w:sz w:val="28"/>
          <w:szCs w:val="28"/>
        </w:rPr>
        <w:t>» изложить в следующей редакции:</w:t>
      </w:r>
    </w:p>
    <w:p w:rsidR="007D548C" w:rsidRPr="00663E4B" w:rsidRDefault="007D548C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3E4B">
        <w:rPr>
          <w:rFonts w:eastAsia="Calibri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49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7215"/>
      </w:tblGrid>
      <w:tr w:rsidR="007D548C" w:rsidRPr="00663E4B" w:rsidTr="00EF11E9">
        <w:trPr>
          <w:trHeight w:val="20"/>
        </w:trPr>
        <w:tc>
          <w:tcPr>
            <w:tcW w:w="1421" w:type="pct"/>
          </w:tcPr>
          <w:p w:rsidR="007D548C" w:rsidRPr="00663E4B" w:rsidRDefault="007D548C" w:rsidP="00EF11E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3579" w:type="pct"/>
          </w:tcPr>
          <w:p w:rsidR="007D548C" w:rsidRDefault="007D548C" w:rsidP="00EF11E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 управления финансами Администрации города Ханты-Мансийска;</w:t>
            </w:r>
          </w:p>
          <w:p w:rsidR="007D548C" w:rsidRPr="00DF6B93" w:rsidRDefault="007D548C" w:rsidP="00EF11E9">
            <w:pPr>
              <w:pStyle w:val="ConsPlusTitle"/>
              <w:widowControl/>
              <w:tabs>
                <w:tab w:val="left" w:pos="4680"/>
              </w:tabs>
              <w:jc w:val="both"/>
              <w:rPr>
                <w:b w:val="0"/>
              </w:rPr>
            </w:pPr>
            <w:r>
              <w:rPr>
                <w:b w:val="0"/>
              </w:rPr>
              <w:t>муниципальное казенное учреждение «Управление логистики»</w:t>
            </w:r>
          </w:p>
          <w:p w:rsidR="007D548C" w:rsidRPr="00663E4B" w:rsidRDefault="007D548C" w:rsidP="00EF11E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548C" w:rsidRDefault="007D548C" w:rsidP="007D548C">
      <w:pPr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  <w:r w:rsidRPr="00663E4B">
        <w:rPr>
          <w:rFonts w:eastAsia="Calibri"/>
          <w:sz w:val="28"/>
          <w:szCs w:val="28"/>
        </w:rPr>
        <w:t>».</w:t>
      </w:r>
    </w:p>
    <w:p w:rsidR="007D548C" w:rsidRDefault="007D548C" w:rsidP="007D54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EF11E9">
        <w:rPr>
          <w:rFonts w:eastAsia="Calibri"/>
          <w:sz w:val="28"/>
          <w:szCs w:val="28"/>
        </w:rPr>
        <w:t>С</w:t>
      </w:r>
      <w:r w:rsidRPr="009E72A4">
        <w:rPr>
          <w:rFonts w:eastAsia="Calibri"/>
          <w:sz w:val="28"/>
          <w:szCs w:val="28"/>
        </w:rPr>
        <w:t>троки «Объемы и источники финансирования программы (всего)» изложить в следующей редакции:</w:t>
      </w:r>
    </w:p>
    <w:p w:rsidR="007D548C" w:rsidRPr="009E72A4" w:rsidRDefault="007D548C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9E72A4">
        <w:rPr>
          <w:rFonts w:eastAsia="Calibri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49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7215"/>
      </w:tblGrid>
      <w:tr w:rsidR="007D548C" w:rsidRPr="00BF120A" w:rsidTr="00EF11E9">
        <w:trPr>
          <w:trHeight w:val="20"/>
        </w:trPr>
        <w:tc>
          <w:tcPr>
            <w:tcW w:w="1421" w:type="pct"/>
          </w:tcPr>
          <w:p w:rsidR="007D548C" w:rsidRPr="00BF120A" w:rsidRDefault="007D548C" w:rsidP="00EF11E9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F120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 (всего)</w:t>
            </w:r>
          </w:p>
        </w:tc>
        <w:tc>
          <w:tcPr>
            <w:tcW w:w="3579" w:type="pct"/>
          </w:tcPr>
          <w:p w:rsidR="007D548C" w:rsidRPr="00FE724F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бюджета города Ханты-Мансийска на реализацию муниципальной программы носит прогнозный характер и составляет 442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420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 по годам:</w:t>
            </w:r>
          </w:p>
          <w:p w:rsidR="007D548C" w:rsidRPr="00FE724F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134,0 тыс. рублей;</w:t>
            </w:r>
          </w:p>
          <w:p w:rsidR="007D548C" w:rsidRPr="00FE724F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61 59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4,0 тыс. рублей;</w:t>
            </w:r>
          </w:p>
          <w:p w:rsidR="007D548C" w:rsidRPr="00FE724F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751,0 тыс. рублей;</w:t>
            </w:r>
          </w:p>
          <w:p w:rsidR="007D548C" w:rsidRPr="00FE724F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751,0 тыс. рублей;</w:t>
            </w:r>
          </w:p>
          <w:p w:rsidR="007D548C" w:rsidRPr="00FE724F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730,0 тыс. рублей;</w:t>
            </w:r>
          </w:p>
          <w:p w:rsidR="007D548C" w:rsidRPr="00FE724F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730,0 тыс. рублей;</w:t>
            </w:r>
          </w:p>
          <w:p w:rsidR="007D548C" w:rsidRPr="00BF120A" w:rsidRDefault="007D548C" w:rsidP="00EF11E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24F">
              <w:rPr>
                <w:rFonts w:ascii="Times New Roman" w:hAnsi="Times New Roman" w:cs="Times New Roman"/>
                <w:sz w:val="28"/>
                <w:szCs w:val="28"/>
              </w:rPr>
              <w:t>730,0 тыс. рублей</w:t>
            </w:r>
          </w:p>
        </w:tc>
      </w:tr>
    </w:tbl>
    <w:p w:rsidR="007D548C" w:rsidRDefault="007D548C" w:rsidP="007D548C">
      <w:pPr>
        <w:autoSpaceDE w:val="0"/>
        <w:autoSpaceDN w:val="0"/>
        <w:adjustRightInd w:val="0"/>
        <w:ind w:left="709"/>
        <w:jc w:val="right"/>
        <w:rPr>
          <w:rFonts w:eastAsia="Calibri"/>
          <w:sz w:val="28"/>
          <w:szCs w:val="28"/>
        </w:rPr>
      </w:pPr>
      <w:r w:rsidRPr="00BF120A">
        <w:rPr>
          <w:rFonts w:eastAsia="Calibri"/>
          <w:sz w:val="28"/>
          <w:szCs w:val="28"/>
        </w:rPr>
        <w:t>».</w:t>
      </w:r>
    </w:p>
    <w:p w:rsidR="007D548C" w:rsidRDefault="00EF11E9" w:rsidP="007D548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Таблицу Приложения</w:t>
      </w:r>
      <w:r w:rsidR="007D548C">
        <w:rPr>
          <w:rFonts w:eastAsia="Calibri"/>
          <w:sz w:val="28"/>
          <w:szCs w:val="28"/>
        </w:rPr>
        <w:t xml:space="preserve"> 2 </w:t>
      </w:r>
      <w:r w:rsidR="007D548C" w:rsidRPr="007A511E">
        <w:rPr>
          <w:sz w:val="28"/>
          <w:szCs w:val="28"/>
        </w:rPr>
        <w:t xml:space="preserve">«Перечень программных мероприятий» </w:t>
      </w:r>
      <w:r w:rsidR="007D548C">
        <w:rPr>
          <w:rFonts w:eastAsia="Calibri"/>
          <w:sz w:val="28"/>
          <w:szCs w:val="28"/>
        </w:rPr>
        <w:t xml:space="preserve"> </w:t>
      </w:r>
      <w:r w:rsidR="007D548C" w:rsidRPr="00B820C5">
        <w:rPr>
          <w:rFonts w:eastAsia="Calibri"/>
          <w:sz w:val="28"/>
          <w:szCs w:val="28"/>
        </w:rPr>
        <w:t xml:space="preserve">изложить </w:t>
      </w:r>
      <w:r w:rsidR="007D548C">
        <w:rPr>
          <w:rFonts w:eastAsia="Calibri"/>
          <w:sz w:val="28"/>
          <w:szCs w:val="28"/>
        </w:rPr>
        <w:t>в редакции согласно таблице 1.</w:t>
      </w:r>
    </w:p>
    <w:p w:rsidR="007D548C" w:rsidRDefault="007D548C" w:rsidP="007D548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7D548C" w:rsidRPr="00A56F5A" w:rsidRDefault="007D548C" w:rsidP="007D548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  <w:sectPr w:rsidR="007D548C" w:rsidRPr="00A56F5A" w:rsidSect="00EF11E9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7D548C" w:rsidRPr="00E5766E" w:rsidRDefault="007D548C" w:rsidP="007D54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766E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7D548C" w:rsidRPr="00841B3F" w:rsidRDefault="007D548C" w:rsidP="007D548C">
      <w:pPr>
        <w:pStyle w:val="ConsPlusTitle"/>
        <w:jc w:val="center"/>
        <w:rPr>
          <w:b w:val="0"/>
        </w:rPr>
      </w:pPr>
      <w:bookmarkStart w:id="0" w:name="P408"/>
      <w:bookmarkEnd w:id="0"/>
      <w:r w:rsidRPr="00841B3F">
        <w:rPr>
          <w:b w:val="0"/>
        </w:rPr>
        <w:t>ПЕРЕЧЕНЬ</w:t>
      </w:r>
    </w:p>
    <w:p w:rsidR="007D548C" w:rsidRPr="00841B3F" w:rsidRDefault="007D548C" w:rsidP="007D548C">
      <w:pPr>
        <w:pStyle w:val="ConsPlusTitle"/>
        <w:jc w:val="center"/>
        <w:rPr>
          <w:b w:val="0"/>
        </w:rPr>
      </w:pPr>
      <w:r w:rsidRPr="00841B3F">
        <w:rPr>
          <w:b w:val="0"/>
        </w:rPr>
        <w:t>ПРОГРАММНЫХ МЕРОПРИЯТИЙ МУНИЦИПАЛЬНОЙ ПРОГРАММЫ</w:t>
      </w:r>
    </w:p>
    <w:p w:rsidR="007D548C" w:rsidRPr="00841B3F" w:rsidRDefault="007D548C" w:rsidP="007D548C">
      <w:pPr>
        <w:pStyle w:val="ConsPlusTitle"/>
        <w:jc w:val="center"/>
        <w:rPr>
          <w:b w:val="0"/>
        </w:rPr>
      </w:pPr>
      <w:r w:rsidRPr="00841B3F">
        <w:rPr>
          <w:b w:val="0"/>
        </w:rPr>
        <w:t>"УПРАВЛЕНИЕ МУНИЦИПАЛЬНЫМИ ФИНАНСАМИ ГОРОДА ХАНТЫ-МАНСИЙСКА</w:t>
      </w:r>
    </w:p>
    <w:p w:rsidR="007D548C" w:rsidRPr="00841B3F" w:rsidRDefault="007D548C" w:rsidP="007D548C">
      <w:pPr>
        <w:pStyle w:val="ConsPlusTitle"/>
        <w:jc w:val="center"/>
        <w:rPr>
          <w:b w:val="0"/>
        </w:rPr>
      </w:pPr>
      <w:r w:rsidRPr="00841B3F">
        <w:rPr>
          <w:b w:val="0"/>
        </w:rPr>
        <w:t>НА 2014 - 2020 ГОДЫ"</w:t>
      </w:r>
    </w:p>
    <w:p w:rsidR="007D548C" w:rsidRPr="00841B3F" w:rsidRDefault="007D548C" w:rsidP="007D54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15"/>
        <w:gridCol w:w="1843"/>
        <w:gridCol w:w="2098"/>
        <w:gridCol w:w="1020"/>
        <w:gridCol w:w="964"/>
        <w:gridCol w:w="907"/>
        <w:gridCol w:w="907"/>
        <w:gridCol w:w="907"/>
        <w:gridCol w:w="907"/>
        <w:gridCol w:w="907"/>
        <w:gridCol w:w="907"/>
        <w:gridCol w:w="907"/>
      </w:tblGrid>
      <w:tr w:rsidR="007D548C" w:rsidRPr="00841B3F" w:rsidTr="00EF11E9">
        <w:tc>
          <w:tcPr>
            <w:tcW w:w="624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5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1843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098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1020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13" w:type="dxa"/>
            <w:gridSpan w:val="8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7D548C" w:rsidRPr="00841B3F" w:rsidTr="00EF11E9">
        <w:tc>
          <w:tcPr>
            <w:tcW w:w="624" w:type="dxa"/>
            <w:vMerge/>
          </w:tcPr>
          <w:p w:rsidR="007D548C" w:rsidRPr="00841B3F" w:rsidRDefault="007D548C" w:rsidP="00EF11E9"/>
        </w:tc>
        <w:tc>
          <w:tcPr>
            <w:tcW w:w="2415" w:type="dxa"/>
            <w:vMerge/>
          </w:tcPr>
          <w:p w:rsidR="007D548C" w:rsidRPr="00841B3F" w:rsidRDefault="007D548C" w:rsidP="00EF11E9"/>
        </w:tc>
        <w:tc>
          <w:tcPr>
            <w:tcW w:w="1843" w:type="dxa"/>
            <w:vMerge/>
          </w:tcPr>
          <w:p w:rsidR="007D548C" w:rsidRPr="00841B3F" w:rsidRDefault="007D548C" w:rsidP="00EF11E9"/>
        </w:tc>
        <w:tc>
          <w:tcPr>
            <w:tcW w:w="2098" w:type="dxa"/>
            <w:vMerge/>
          </w:tcPr>
          <w:p w:rsidR="007D548C" w:rsidRPr="00841B3F" w:rsidRDefault="007D548C" w:rsidP="00EF11E9"/>
        </w:tc>
        <w:tc>
          <w:tcPr>
            <w:tcW w:w="1020" w:type="dxa"/>
            <w:vMerge/>
          </w:tcPr>
          <w:p w:rsidR="007D548C" w:rsidRPr="00841B3F" w:rsidRDefault="007D548C" w:rsidP="00EF11E9"/>
        </w:tc>
        <w:tc>
          <w:tcPr>
            <w:tcW w:w="964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49" w:type="dxa"/>
            <w:gridSpan w:val="7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D548C" w:rsidRPr="00841B3F" w:rsidTr="00EF11E9">
        <w:tc>
          <w:tcPr>
            <w:tcW w:w="624" w:type="dxa"/>
            <w:vMerge/>
          </w:tcPr>
          <w:p w:rsidR="007D548C" w:rsidRPr="00841B3F" w:rsidRDefault="007D548C" w:rsidP="00EF11E9"/>
        </w:tc>
        <w:tc>
          <w:tcPr>
            <w:tcW w:w="2415" w:type="dxa"/>
            <w:vMerge/>
          </w:tcPr>
          <w:p w:rsidR="007D548C" w:rsidRPr="00841B3F" w:rsidRDefault="007D548C" w:rsidP="00EF11E9"/>
        </w:tc>
        <w:tc>
          <w:tcPr>
            <w:tcW w:w="1843" w:type="dxa"/>
            <w:vMerge/>
          </w:tcPr>
          <w:p w:rsidR="007D548C" w:rsidRPr="00841B3F" w:rsidRDefault="007D548C" w:rsidP="00EF11E9"/>
        </w:tc>
        <w:tc>
          <w:tcPr>
            <w:tcW w:w="2098" w:type="dxa"/>
            <w:vMerge/>
          </w:tcPr>
          <w:p w:rsidR="007D548C" w:rsidRPr="00841B3F" w:rsidRDefault="007D548C" w:rsidP="00EF11E9"/>
        </w:tc>
        <w:tc>
          <w:tcPr>
            <w:tcW w:w="1020" w:type="dxa"/>
            <w:vMerge/>
          </w:tcPr>
          <w:p w:rsidR="007D548C" w:rsidRPr="00841B3F" w:rsidRDefault="007D548C" w:rsidP="00EF11E9"/>
        </w:tc>
        <w:tc>
          <w:tcPr>
            <w:tcW w:w="964" w:type="dxa"/>
            <w:vMerge/>
          </w:tcPr>
          <w:p w:rsidR="007D548C" w:rsidRPr="00841B3F" w:rsidRDefault="007D548C" w:rsidP="00EF11E9"/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548C" w:rsidRPr="00841B3F" w:rsidTr="00EF11E9">
        <w:tc>
          <w:tcPr>
            <w:tcW w:w="15313" w:type="dxa"/>
            <w:gridSpan w:val="13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Цель: Обеспечение долгосрочной сбалансированности и устойчивости бюджетной системы муниципального образования, повышение качества управления муниципальными финансами города Ханты-Мансийска</w:t>
            </w:r>
          </w:p>
        </w:tc>
      </w:tr>
      <w:tr w:rsidR="007D548C" w:rsidRPr="00841B3F" w:rsidTr="00EF11E9">
        <w:tc>
          <w:tcPr>
            <w:tcW w:w="15313" w:type="dxa"/>
            <w:gridSpan w:val="13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5"/>
            <w:bookmarkEnd w:id="1"/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Задача 1. Нормативно-методическое обеспечение организации бюджетного процесса в городе Ханты-Мансийске</w:t>
            </w:r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направлений бюджетной и налоговой политики города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64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нормативного правового регулирования в сфере бюджетного процесса, разработка методических 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указаний (рекомендаций, инструкций) по планированию и исполнению бюджета города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64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15313" w:type="dxa"/>
            <w:gridSpan w:val="13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72"/>
            <w:bookmarkEnd w:id="2"/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Организация планирования и исполнения бюджета города Ханты-Мансийска, ведение бюджетного учета и формирование бюджетной отчетности</w:t>
            </w:r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бюджета города Ханты-Мансийска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64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бюджета города Ханты-Мансийска и формирование отчетности об исполнении бюджета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64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оценки качества финансового менеджмента, осуществляемого главными распорядителями средств и главными 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администраторами доходов бюджета города Ханты-Мансийска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64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64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56427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58251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58251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61819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61819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61819</w:t>
            </w:r>
          </w:p>
        </w:tc>
      </w:tr>
      <w:tr w:rsidR="007D548C" w:rsidRPr="00841B3F" w:rsidTr="00EF11E9">
        <w:tc>
          <w:tcPr>
            <w:tcW w:w="15313" w:type="dxa"/>
            <w:gridSpan w:val="13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525"/>
            <w:bookmarkEnd w:id="3"/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Задача 3. Формирование единого информационного пространства в сфере управления муниципальными финансами для обеспечения прозрачности и открытости бюджетного процесса в городе Ханты-Мансийске</w:t>
            </w:r>
          </w:p>
        </w:tc>
      </w:tr>
      <w:tr w:rsidR="007D548C" w:rsidRPr="00841B3F" w:rsidTr="00EF11E9">
        <w:tc>
          <w:tcPr>
            <w:tcW w:w="624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15" w:type="dxa"/>
            <w:vMerge w:val="restart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64" w:type="dxa"/>
            <w:vMerge w:val="restart"/>
          </w:tcPr>
          <w:p w:rsidR="007D548C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8C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8C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8C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8C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8C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25940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624" w:type="dxa"/>
            <w:vMerge/>
          </w:tcPr>
          <w:p w:rsidR="007D548C" w:rsidRPr="00841B3F" w:rsidRDefault="007D548C" w:rsidP="00EF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Title"/>
              <w:widowControl/>
              <w:tabs>
                <w:tab w:val="left" w:pos="4680"/>
              </w:tabs>
              <w:jc w:val="both"/>
              <w:rPr>
                <w:b w:val="0"/>
              </w:rPr>
            </w:pPr>
            <w:r w:rsidRPr="00182278">
              <w:rPr>
                <w:b w:val="0"/>
              </w:rPr>
              <w:t>муниципальное казенное учреждение «Управление логистики»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64" w:type="dxa"/>
            <w:vMerge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работоспособности аппаратного оборудования Департамента управления финансами Администрации города Ханты-Мансийска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 финансирования</w:t>
            </w:r>
          </w:p>
        </w:tc>
        <w:tc>
          <w:tcPr>
            <w:tcW w:w="964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открытости бюджетного процесса в городе Ханты-Мансийске</w:t>
            </w: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964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907" w:type="dxa"/>
          </w:tcPr>
          <w:p w:rsidR="007D548C" w:rsidRPr="00841B3F" w:rsidRDefault="009F1CE0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3" w:history="1">
              <w:r w:rsidR="007D548C" w:rsidRPr="00841B3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7D548C" w:rsidRPr="00841B3F" w:rsidTr="00EF11E9">
        <w:tc>
          <w:tcPr>
            <w:tcW w:w="6980" w:type="dxa"/>
            <w:gridSpan w:val="4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60134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61751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61751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65730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65730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65730</w:t>
            </w:r>
          </w:p>
        </w:tc>
      </w:tr>
      <w:tr w:rsidR="007D548C" w:rsidRPr="00841B3F" w:rsidTr="00EF11E9">
        <w:tc>
          <w:tcPr>
            <w:tcW w:w="624" w:type="dxa"/>
          </w:tcPr>
          <w:p w:rsidR="007D548C" w:rsidRPr="00841B3F" w:rsidRDefault="007D548C" w:rsidP="00EF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7D548C" w:rsidRPr="00841B3F" w:rsidRDefault="007D548C" w:rsidP="00EF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548C" w:rsidRPr="00841B3F" w:rsidRDefault="007D548C" w:rsidP="00EF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D548C" w:rsidRPr="00841B3F" w:rsidRDefault="007D548C" w:rsidP="00EF1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7D548C" w:rsidRPr="00841B3F" w:rsidRDefault="007D548C" w:rsidP="00EF11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964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60134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1594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61751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61751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65730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65730</w:t>
            </w:r>
          </w:p>
        </w:tc>
        <w:tc>
          <w:tcPr>
            <w:tcW w:w="907" w:type="dxa"/>
          </w:tcPr>
          <w:p w:rsidR="007D548C" w:rsidRPr="00841B3F" w:rsidRDefault="007D548C" w:rsidP="00EF1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3F">
              <w:rPr>
                <w:rFonts w:ascii="Times New Roman" w:hAnsi="Times New Roman" w:cs="Times New Roman"/>
                <w:sz w:val="24"/>
                <w:szCs w:val="24"/>
              </w:rPr>
              <w:t>65730</w:t>
            </w:r>
          </w:p>
        </w:tc>
      </w:tr>
    </w:tbl>
    <w:p w:rsidR="007D548C" w:rsidRPr="00841B3F" w:rsidRDefault="007D548C" w:rsidP="007D54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D548C" w:rsidRPr="00841B3F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B3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D548C" w:rsidRPr="00841B3F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03"/>
      <w:bookmarkEnd w:id="4"/>
      <w:r w:rsidRPr="00841B3F">
        <w:rPr>
          <w:rFonts w:ascii="Times New Roman" w:hAnsi="Times New Roman" w:cs="Times New Roman"/>
          <w:sz w:val="24"/>
          <w:szCs w:val="24"/>
        </w:rPr>
        <w:t>&lt;*&gt; - мероприятие не требует финансирования</w:t>
      </w:r>
    </w:p>
    <w:p w:rsidR="007D548C" w:rsidRDefault="007D548C" w:rsidP="007D548C">
      <w:pPr>
        <w:rPr>
          <w:bCs/>
          <w:iCs/>
          <w:sz w:val="28"/>
          <w:szCs w:val="28"/>
        </w:rPr>
        <w:sectPr w:rsidR="007D548C" w:rsidSect="00EF11E9">
          <w:pgSz w:w="16838" w:h="11906" w:orient="landscape"/>
          <w:pgMar w:top="1701" w:right="851" w:bottom="851" w:left="567" w:header="709" w:footer="709" w:gutter="0"/>
          <w:cols w:space="708"/>
          <w:docGrid w:linePitch="360"/>
        </w:sectPr>
      </w:pPr>
    </w:p>
    <w:p w:rsidR="00043009" w:rsidRDefault="007D548C" w:rsidP="00043009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7D548C" w:rsidRPr="00245356" w:rsidRDefault="007D548C" w:rsidP="00043009">
      <w:pPr>
        <w:spacing w:line="276" w:lineRule="auto"/>
        <w:jc w:val="right"/>
        <w:rPr>
          <w:sz w:val="28"/>
          <w:szCs w:val="28"/>
        </w:rPr>
      </w:pPr>
      <w:r w:rsidRPr="00245356">
        <w:rPr>
          <w:sz w:val="28"/>
          <w:szCs w:val="28"/>
        </w:rPr>
        <w:t xml:space="preserve">к Решению </w:t>
      </w:r>
      <w:r w:rsidR="00043009">
        <w:rPr>
          <w:sz w:val="28"/>
          <w:szCs w:val="28"/>
        </w:rPr>
        <w:t xml:space="preserve"> </w:t>
      </w:r>
      <w:r w:rsidRPr="00245356">
        <w:rPr>
          <w:sz w:val="28"/>
          <w:szCs w:val="28"/>
        </w:rPr>
        <w:t>Думы города Ханты-Мансийска</w:t>
      </w:r>
    </w:p>
    <w:p w:rsidR="007D548C" w:rsidRPr="00043009" w:rsidRDefault="00043009" w:rsidP="00043009">
      <w:pPr>
        <w:pStyle w:val="ConsPlusTitle"/>
        <w:widowControl/>
        <w:spacing w:line="276" w:lineRule="auto"/>
        <w:ind w:firstLine="709"/>
        <w:jc w:val="right"/>
        <w:rPr>
          <w:b w:val="0"/>
        </w:rPr>
      </w:pPr>
      <w:r>
        <w:rPr>
          <w:b w:val="0"/>
        </w:rPr>
        <w:t>от 18 декабря 2015 года №</w:t>
      </w:r>
      <w:r w:rsidRPr="00043009">
        <w:rPr>
          <w:b w:val="0"/>
          <w:iCs/>
        </w:rPr>
        <w:t xml:space="preserve">762 - </w:t>
      </w:r>
      <w:r w:rsidRPr="00043009">
        <w:rPr>
          <w:b w:val="0"/>
          <w:iCs/>
          <w:lang w:val="en-US"/>
        </w:rPr>
        <w:t>V</w:t>
      </w:r>
      <w:r w:rsidRPr="00043009">
        <w:rPr>
          <w:b w:val="0"/>
          <w:iCs/>
        </w:rPr>
        <w:t xml:space="preserve">  РД</w:t>
      </w:r>
    </w:p>
    <w:p w:rsidR="007D548C" w:rsidRDefault="007D548C" w:rsidP="007D548C">
      <w:pPr>
        <w:pStyle w:val="ConsPlusTitle"/>
        <w:widowControl/>
        <w:ind w:firstLine="709"/>
        <w:jc w:val="right"/>
        <w:rPr>
          <w:b w:val="0"/>
        </w:rPr>
      </w:pPr>
    </w:p>
    <w:p w:rsidR="007D548C" w:rsidRPr="00E5766E" w:rsidRDefault="007D548C" w:rsidP="007D548C">
      <w:pPr>
        <w:pStyle w:val="ConsPlusTitle"/>
        <w:widowControl/>
        <w:jc w:val="center"/>
      </w:pPr>
      <w:r w:rsidRPr="00E5766E">
        <w:rPr>
          <w:bCs w:val="0"/>
          <w:iCs/>
        </w:rPr>
        <w:t>Проект изменений</w:t>
      </w:r>
      <w:r w:rsidRPr="00E5766E">
        <w:rPr>
          <w:iCs/>
        </w:rPr>
        <w:t xml:space="preserve"> в </w:t>
      </w:r>
      <w:r w:rsidRPr="00E5766E">
        <w:t>муниципальную программу</w:t>
      </w:r>
    </w:p>
    <w:p w:rsidR="007D548C" w:rsidRPr="00E5766E" w:rsidRDefault="007D548C" w:rsidP="007D548C">
      <w:pPr>
        <w:pStyle w:val="ConsPlusTitle"/>
        <w:widowControl/>
        <w:jc w:val="center"/>
      </w:pPr>
      <w:r w:rsidRPr="00E5766E">
        <w:t>«Управление муниципальными финансами города Ханты-Мансийска</w:t>
      </w:r>
    </w:p>
    <w:p w:rsidR="00043009" w:rsidRDefault="007D548C" w:rsidP="00043009">
      <w:pPr>
        <w:pStyle w:val="ac"/>
        <w:spacing w:after="0"/>
        <w:jc w:val="center"/>
        <w:rPr>
          <w:b/>
          <w:sz w:val="28"/>
          <w:szCs w:val="28"/>
        </w:rPr>
      </w:pPr>
      <w:r w:rsidRPr="00E5766E">
        <w:rPr>
          <w:b/>
          <w:sz w:val="28"/>
          <w:szCs w:val="28"/>
        </w:rPr>
        <w:t xml:space="preserve">на 2014-2020 годы» </w:t>
      </w:r>
    </w:p>
    <w:p w:rsidR="007D548C" w:rsidRPr="00043009" w:rsidRDefault="007D548C" w:rsidP="00043009">
      <w:pPr>
        <w:pStyle w:val="ac"/>
        <w:spacing w:after="0"/>
        <w:jc w:val="center"/>
        <w:rPr>
          <w:bCs/>
          <w:iCs/>
          <w:sz w:val="28"/>
          <w:szCs w:val="28"/>
        </w:rPr>
      </w:pPr>
      <w:r w:rsidRPr="00043009">
        <w:rPr>
          <w:sz w:val="28"/>
          <w:szCs w:val="28"/>
        </w:rPr>
        <w:t>(</w:t>
      </w:r>
      <w:r w:rsidRPr="00043009">
        <w:rPr>
          <w:bCs/>
          <w:iCs/>
          <w:sz w:val="28"/>
          <w:szCs w:val="28"/>
        </w:rPr>
        <w:t>далее – программа)</w:t>
      </w:r>
    </w:p>
    <w:p w:rsidR="007D548C" w:rsidRPr="00043009" w:rsidRDefault="007D548C" w:rsidP="007D548C">
      <w:pPr>
        <w:pStyle w:val="ConsPlusTitle"/>
        <w:widowControl/>
        <w:ind w:firstLine="709"/>
        <w:jc w:val="both"/>
        <w:rPr>
          <w:b w:val="0"/>
        </w:rPr>
      </w:pPr>
    </w:p>
    <w:p w:rsidR="007D548C" w:rsidRPr="00B820C5" w:rsidRDefault="007D548C" w:rsidP="007D54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B820C5">
        <w:rPr>
          <w:rFonts w:eastAsia="Calibri"/>
          <w:sz w:val="28"/>
          <w:szCs w:val="28"/>
        </w:rPr>
        <w:t xml:space="preserve">В </w:t>
      </w:r>
      <w:proofErr w:type="gramStart"/>
      <w:r w:rsidR="005642DA">
        <w:rPr>
          <w:rFonts w:eastAsia="Calibri"/>
          <w:sz w:val="28"/>
          <w:szCs w:val="28"/>
        </w:rPr>
        <w:t>наименовании</w:t>
      </w:r>
      <w:proofErr w:type="gramEnd"/>
      <w:r>
        <w:rPr>
          <w:rFonts w:eastAsia="Calibri"/>
          <w:sz w:val="28"/>
          <w:szCs w:val="28"/>
        </w:rPr>
        <w:t xml:space="preserve"> программы цифры «2014</w:t>
      </w:r>
      <w:r w:rsidRPr="00B820C5">
        <w:rPr>
          <w:rFonts w:eastAsia="Calibri"/>
          <w:sz w:val="28"/>
          <w:szCs w:val="28"/>
        </w:rPr>
        <w:t>» заменить цифрами «2016».</w:t>
      </w:r>
    </w:p>
    <w:p w:rsidR="007D548C" w:rsidRPr="00E5766E" w:rsidRDefault="005642DA" w:rsidP="007D54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7D548C" w:rsidRPr="00E5766E" w:rsidSect="00BF7B5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>2</w:t>
      </w:r>
      <w:r w:rsidR="007D548C">
        <w:rPr>
          <w:rFonts w:eastAsia="Calibri"/>
          <w:sz w:val="28"/>
          <w:szCs w:val="28"/>
        </w:rPr>
        <w:t>.</w:t>
      </w:r>
      <w:r w:rsidR="007D548C" w:rsidRPr="00B820C5">
        <w:rPr>
          <w:rFonts w:eastAsia="Calibri"/>
          <w:sz w:val="28"/>
          <w:szCs w:val="28"/>
        </w:rPr>
        <w:t>П</w:t>
      </w:r>
      <w:r w:rsidR="007D548C">
        <w:rPr>
          <w:rFonts w:eastAsia="Calibri"/>
          <w:sz w:val="28"/>
          <w:szCs w:val="28"/>
        </w:rPr>
        <w:t>рограмму</w:t>
      </w:r>
      <w:r w:rsidR="007D548C" w:rsidRPr="00B820C5">
        <w:rPr>
          <w:rFonts w:eastAsia="Calibri"/>
          <w:sz w:val="28"/>
          <w:szCs w:val="28"/>
        </w:rPr>
        <w:t xml:space="preserve"> изложить в следующей редакции:</w:t>
      </w:r>
      <w:bookmarkStart w:id="5" w:name="P34"/>
      <w:bookmarkEnd w:id="5"/>
    </w:p>
    <w:p w:rsidR="007D548C" w:rsidRPr="00C63562" w:rsidRDefault="007D548C" w:rsidP="007D548C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63562">
        <w:rPr>
          <w:rFonts w:ascii="Times New Roman" w:hAnsi="Times New Roman" w:cs="Times New Roman"/>
          <w:sz w:val="28"/>
          <w:szCs w:val="28"/>
        </w:rPr>
        <w:t>Паспорт</w:t>
      </w:r>
    </w:p>
    <w:p w:rsidR="007D548C" w:rsidRPr="00C63562" w:rsidRDefault="00043009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7D548C" w:rsidRPr="00C63562">
        <w:rPr>
          <w:rFonts w:ascii="Times New Roman" w:hAnsi="Times New Roman" w:cs="Times New Roman"/>
          <w:sz w:val="28"/>
          <w:szCs w:val="28"/>
        </w:rPr>
        <w:t>Управление муниципальными финансами</w:t>
      </w:r>
    </w:p>
    <w:p w:rsidR="007D548C" w:rsidRPr="00C63562" w:rsidRDefault="007D548C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562">
        <w:rPr>
          <w:rFonts w:ascii="Times New Roman" w:hAnsi="Times New Roman" w:cs="Times New Roman"/>
          <w:sz w:val="28"/>
          <w:szCs w:val="28"/>
        </w:rPr>
        <w:t>города Хант</w:t>
      </w:r>
      <w:r w:rsidR="00043009">
        <w:rPr>
          <w:rFonts w:ascii="Times New Roman" w:hAnsi="Times New Roman" w:cs="Times New Roman"/>
          <w:sz w:val="28"/>
          <w:szCs w:val="28"/>
        </w:rPr>
        <w:t>ы-Мансийска на 2016 - 2020 годы»</w:t>
      </w:r>
    </w:p>
    <w:p w:rsidR="007D548C" w:rsidRDefault="007D548C" w:rsidP="007D548C">
      <w:pPr>
        <w:pStyle w:val="ConsPlusNormal"/>
      </w:pPr>
    </w:p>
    <w:tbl>
      <w:tblPr>
        <w:tblW w:w="0" w:type="auto"/>
        <w:tblInd w:w="2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7091"/>
      </w:tblGrid>
      <w:tr w:rsidR="007D548C" w:rsidRPr="00C63562" w:rsidTr="003E3B28">
        <w:tc>
          <w:tcPr>
            <w:tcW w:w="2475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91" w:type="dxa"/>
          </w:tcPr>
          <w:p w:rsidR="007D548C" w:rsidRPr="00C63562" w:rsidRDefault="00043009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="007D548C" w:rsidRPr="00C6356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 города Ханты-Мансийска на 201</w:t>
            </w:r>
            <w:r w:rsidR="007D54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- 2020 годы»</w:t>
            </w:r>
            <w:r w:rsidR="007D548C" w:rsidRPr="00C63562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7D548C" w:rsidRPr="00C63562" w:rsidTr="003E3B28">
        <w:tc>
          <w:tcPr>
            <w:tcW w:w="2475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Правовое обоснование для разработки программы</w:t>
            </w:r>
          </w:p>
        </w:tc>
        <w:tc>
          <w:tcPr>
            <w:tcW w:w="7091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 xml:space="preserve">1. Бюджетный </w:t>
            </w:r>
            <w:hyperlink r:id="rId11" w:history="1">
              <w:r w:rsidRPr="00C63562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C6356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Федерации.</w:t>
            </w:r>
          </w:p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 xml:space="preserve">2. Федеральный </w:t>
            </w:r>
            <w:hyperlink r:id="rId12" w:history="1">
              <w:r w:rsidRPr="00C63562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043009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«</w:t>
            </w: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043009"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13" w:history="1">
              <w:r w:rsidRPr="00C63562">
                <w:rPr>
                  <w:rFonts w:ascii="Times New Roman" w:hAnsi="Times New Roman" w:cs="Times New Roman"/>
                  <w:sz w:val="28"/>
                  <w:szCs w:val="28"/>
                </w:rPr>
                <w:t>Устав</w:t>
              </w:r>
            </w:hyperlink>
            <w:r w:rsidRPr="00C63562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Ханты-Мансийска.</w:t>
            </w:r>
          </w:p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4. Распоряжение Администрации города Ханты-М</w:t>
            </w:r>
            <w:r w:rsidR="00043009">
              <w:rPr>
                <w:rFonts w:ascii="Times New Roman" w:hAnsi="Times New Roman" w:cs="Times New Roman"/>
                <w:sz w:val="28"/>
                <w:szCs w:val="28"/>
              </w:rPr>
              <w:t>ансийска от 26.08.2013 N 222-р «</w:t>
            </w: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О разр</w:t>
            </w:r>
            <w:r w:rsidR="00043009">
              <w:rPr>
                <w:rFonts w:ascii="Times New Roman" w:hAnsi="Times New Roman" w:cs="Times New Roman"/>
                <w:sz w:val="28"/>
                <w:szCs w:val="28"/>
              </w:rPr>
              <w:t>аботке муниципальной программы «</w:t>
            </w: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</w:t>
            </w:r>
            <w:r w:rsidR="00043009">
              <w:rPr>
                <w:rFonts w:ascii="Times New Roman" w:hAnsi="Times New Roman" w:cs="Times New Roman"/>
                <w:sz w:val="28"/>
                <w:szCs w:val="28"/>
              </w:rPr>
              <w:t>инансами города Ханты-Мансийска» на 2014 - 2020 годы»</w:t>
            </w:r>
          </w:p>
        </w:tc>
      </w:tr>
      <w:tr w:rsidR="007D548C" w:rsidRPr="00C63562" w:rsidTr="003E3B28">
        <w:tc>
          <w:tcPr>
            <w:tcW w:w="2475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91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 Администрации города Ханты-Мансийска</w:t>
            </w:r>
          </w:p>
        </w:tc>
      </w:tr>
      <w:tr w:rsidR="007D548C" w:rsidRPr="00C63562" w:rsidTr="003E3B28">
        <w:tc>
          <w:tcPr>
            <w:tcW w:w="2475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091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 Администрации города Ханты-Мансийска</w:t>
            </w:r>
          </w:p>
        </w:tc>
      </w:tr>
      <w:tr w:rsidR="007D548C" w:rsidRPr="00C63562" w:rsidTr="003E3B28">
        <w:tblPrEx>
          <w:tblBorders>
            <w:insideH w:val="nil"/>
          </w:tblBorders>
        </w:tblPrEx>
        <w:tc>
          <w:tcPr>
            <w:tcW w:w="2475" w:type="dxa"/>
            <w:tcBorders>
              <w:bottom w:val="nil"/>
            </w:tcBorders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7091" w:type="dxa"/>
            <w:tcBorders>
              <w:bottom w:val="nil"/>
            </w:tcBorders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 Администрации города Ханты-Мансийска;</w:t>
            </w:r>
          </w:p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логистики»</w:t>
            </w:r>
          </w:p>
        </w:tc>
      </w:tr>
      <w:tr w:rsidR="007D548C" w:rsidRPr="00C63562" w:rsidTr="003E3B28">
        <w:tc>
          <w:tcPr>
            <w:tcW w:w="2475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091" w:type="dxa"/>
          </w:tcPr>
          <w:p w:rsidR="007D548C" w:rsidRPr="004A56E3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7D548C" w:rsidRPr="004A56E3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</w:t>
            </w:r>
            <w:r w:rsidRPr="004A5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устойчивости бюджетной системы муниципального образования, повышение качества управления муниципальными финансами города Ханты-Мансийска.</w:t>
            </w:r>
          </w:p>
          <w:p w:rsidR="007D548C" w:rsidRPr="004A56E3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56E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7D548C" w:rsidRPr="004A56E3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56E3">
              <w:rPr>
                <w:rFonts w:ascii="Times New Roman" w:hAnsi="Times New Roman" w:cs="Times New Roman"/>
                <w:sz w:val="28"/>
                <w:szCs w:val="28"/>
              </w:rPr>
              <w:t>) организация планирования и исполнения бюджета города Ханты-Мансийска, ведение бюджетного учета и формирование бюджетной отчетности;</w:t>
            </w:r>
          </w:p>
          <w:p w:rsidR="007D548C" w:rsidRDefault="007D548C" w:rsidP="00EF11E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4A56E3">
              <w:rPr>
                <w:rFonts w:ascii="Times New Roman" w:hAnsi="Times New Roman"/>
                <w:sz w:val="28"/>
                <w:szCs w:val="28"/>
              </w:rPr>
              <w:t>формирование единого информационного пространства в сфере управления муниципальными финансами для обеспечения прозрачности и открытости бюджетного процесса в городе Ханты-Мансийске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548C" w:rsidRDefault="007D548C" w:rsidP="00EF11E9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3)поддержание муниципального долга на экономически безопасном уровне, обеспечение полного и своевременного исполнения обязательств по муниципальным заимствованиям;</w:t>
            </w:r>
          </w:p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4)обеспечение формирования и использования средств резервного фонда Администрации города в соответствии с требованиями, установленными Бюджетным кодексом Российской Федерации и муниципальными правовыми актами</w:t>
            </w:r>
          </w:p>
        </w:tc>
      </w:tr>
      <w:tr w:rsidR="007D548C" w:rsidRPr="00C63562" w:rsidTr="003E3B28">
        <w:tc>
          <w:tcPr>
            <w:tcW w:w="2475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091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 xml:space="preserve"> - 2020 годы</w:t>
            </w:r>
          </w:p>
        </w:tc>
      </w:tr>
      <w:tr w:rsidR="007D548C" w:rsidRPr="00C63562" w:rsidTr="003E3B28">
        <w:tc>
          <w:tcPr>
            <w:tcW w:w="2475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91" w:type="dxa"/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D548C" w:rsidRPr="00C63562" w:rsidTr="003E3B28">
        <w:tblPrEx>
          <w:tblBorders>
            <w:insideH w:val="nil"/>
          </w:tblBorders>
        </w:tblPrEx>
        <w:tc>
          <w:tcPr>
            <w:tcW w:w="2475" w:type="dxa"/>
            <w:tcBorders>
              <w:bottom w:val="single" w:sz="4" w:space="0" w:color="auto"/>
            </w:tcBorders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(всего)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:rsidR="007D548C" w:rsidRPr="00C63562" w:rsidRDefault="007D548C" w:rsidP="00EF11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3562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бюджета города Ханты-Мансийска на реализацию муниципальной программы носит прогнозный характер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оставляет </w:t>
            </w:r>
          </w:p>
          <w:p w:rsidR="007D548C" w:rsidRPr="00C63562" w:rsidRDefault="009F1CE0" w:rsidP="002E1D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574 611 416 </w:t>
            </w:r>
            <w:r w:rsidR="007D548C" w:rsidRPr="00414B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7D548C" w:rsidRDefault="007D548C" w:rsidP="007D548C">
      <w:pPr>
        <w:sectPr w:rsidR="007D548C" w:rsidSect="00EF11E9">
          <w:pgSz w:w="16838" w:h="11905"/>
          <w:pgMar w:top="851" w:right="1134" w:bottom="850" w:left="1134" w:header="0" w:footer="0" w:gutter="0"/>
          <w:cols w:space="720"/>
        </w:sectPr>
      </w:pPr>
    </w:p>
    <w:p w:rsidR="007D548C" w:rsidRPr="005F3D72" w:rsidRDefault="007D548C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lastRenderedPageBreak/>
        <w:t>Раздел 1. ХАРАКТЕРИСТИКА ПРОБЛЕМЫ,</w:t>
      </w:r>
    </w:p>
    <w:p w:rsidR="007D548C" w:rsidRPr="005F3D72" w:rsidRDefault="007D548C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F3D72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5F3D72">
        <w:rPr>
          <w:rFonts w:ascii="Times New Roman" w:hAnsi="Times New Roman" w:cs="Times New Roman"/>
          <w:sz w:val="28"/>
          <w:szCs w:val="28"/>
        </w:rPr>
        <w:t xml:space="preserve"> КОТОРОЙ НАПРАВЛЕНА ПРОГРАММА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Система управления муниципальными финансами города Ханты-Мансийска сложилась в результате серьезной работы по совершенствованию бюджетного процесса, обеспечению прозрачности бюджетно-финансовой системы, внедрению новых технологий в формирование и исполнение бюджета. Бюджетно-финансовая система в муниципальном образовании развивается в условиях непрерывно меняющегося федерального и регионального законодательства, что затрудняет осуществление достоверных среднесрочных и долгосрочных финансовых прогнозов. Вместе с тем удавалось сохранять стабильность исполнения расходных обязатель</w:t>
      </w:r>
      <w:proofErr w:type="gramStart"/>
      <w:r w:rsidRPr="005F3D7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F3D72">
        <w:rPr>
          <w:rFonts w:ascii="Times New Roman" w:hAnsi="Times New Roman" w:cs="Times New Roman"/>
          <w:sz w:val="28"/>
          <w:szCs w:val="28"/>
        </w:rPr>
        <w:t>и отсутствии муниципального долга вплоть до декабря 2014 года и высокой степени прозрачности бюджета.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F3D7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F3D72">
        <w:rPr>
          <w:rFonts w:ascii="Times New Roman" w:hAnsi="Times New Roman" w:cs="Times New Roman"/>
          <w:sz w:val="28"/>
          <w:szCs w:val="28"/>
        </w:rPr>
        <w:t xml:space="preserve"> с проводимой бюджетной реформой на федеральном и региональном уровнях осуществляется реформирование бюджетного сектора экономики муниципального образования и повышения качества управления муниципальными финансами.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Результатом данных реформ явилось формирование в муниципальном образовании основ современной системы управления муниципальными финансами, внедрение инструментов бюджетирования, ориентированного на результат, в том числе: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перспективное (среднесрочное) финансовое планирование;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применение программно-целевого планирования;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формирование реестра расходных обязательств;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формирование качественно новой сети бюджетных учреждений путем изменения правового положения муниципальных учреждений;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задания, финансового обеспечения деятельности муниципальных казенных учреждений на основании бюджетной сметы;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разработан и применен механизм формирования нормативных затрат на оказание муниципальными учреждениями муниципальных услуг (выполнение работ);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 xml:space="preserve"> создание системы мониторинга финансового менеджмента, осуществляемого главными распорядителями бюджетных средств;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работа по обеспечению доступности информации по разработке, рассмотрению, утверждению и исполнению бюджета города Ханты-Мансийска, в том числе путем проведения публичных слушаний проекта бюджета города на очередной финансовый год и плановый период, отчетов об его исполнении. С 2011 года в городе Ханты-Мансийске осуществляется обсуждение проекта бюджета города на очередной финансовый год и плановый период в форме общественных слушаний "Народный бюджет";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утверждена методика планирования долговых обязательств города Ханты-Мансийска и определения долговой нагрузки на бюджет города Ханты-Мансийска;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lastRenderedPageBreak/>
        <w:t>утвержден и реализуется План мероприятий по росту доходов, оптимизации расходов и сокращению муниципального долга города Ханты-Мансийска на очередной финансовый год и плановый период.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В сфере автоматизации управления муниципальными финансами города Ханты-Мансийска проведен ряд реформ, которые позволили: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создать механизм эффективного управления единым счетом бюджета;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организовать оперативную обработку всех операций в процессе кассового обслуживания бюджета с использованием средств удаленного взаимодействия Департамента управления финансами Администрации города Ханты-Мансийска с распорядителями и получателями средств бюджета;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создать механизм предварительного контроля над соблюдением бюджетных ограничений в процессе кассового обслуживания исполнения бюджета;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 xml:space="preserve">внедрить механизмы планирования бюджетных ассигнований и формирования реестра расходных обязательств муниципального образования в соответствии с </w:t>
      </w:r>
      <w:hyperlink r:id="rId14" w:history="1">
        <w:r w:rsidRPr="005F3D7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F3D7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01.07.2015 N 103н;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внедрить элементы юридически значимого документооборота с использованием электронной подписи.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На текущий момент в муниципальном образовании сложился определенный уровень автоматизации различных функций и процессов, адекватный уровню развития сферы управления общественными финансами.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 xml:space="preserve">Проводимая муниципальным образованием работа в области улучшения качества осуществления бюджетного процесса получает высокую оценку Правительства Ханты-Мансийского автономного округа - Югры. С 2011 года город Ханты-Мансийск ежегодно занимает место в пятерке лидеров при проведении мониторинга организации бюджетного процесса, а также был отмечен почетными наградами при участии в 2014 году в </w:t>
      </w:r>
      <w:r w:rsidRPr="005F3D7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F3D72">
        <w:rPr>
          <w:rFonts w:ascii="Times New Roman" w:hAnsi="Times New Roman" w:cs="Times New Roman"/>
          <w:sz w:val="28"/>
          <w:szCs w:val="28"/>
        </w:rPr>
        <w:t xml:space="preserve"> Всероссийском конкурсе «Лучшее муниципальное образование в сфере управления общественными финансами»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Несмотря на проведенную работу по реформированию и автоматизации бюджетного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3D72">
        <w:rPr>
          <w:rFonts w:ascii="Times New Roman" w:hAnsi="Times New Roman" w:cs="Times New Roman"/>
          <w:sz w:val="28"/>
          <w:szCs w:val="28"/>
        </w:rPr>
        <w:t xml:space="preserve"> для формирования целостной системы управления муниципальными финансами и в условиях перехода на программный принцип планирования и исполнения бюджетов необходимо осуществить работу по устранению ряда недостатков и не полностью решенных проблем, в том числе: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отсутствие качественного взаимодействия между структурными подразделениями главных распорядителей бюджетных средств и между главными распорядителями бюджетных средств и их подведомственными получателями, что ведет к недостаткам в планировании расходных обязательств и составлению бюджетной отчетности;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отсутствие мотивации участников бюджетного процесса и муниципальных предприятий города к повышению эффективности использования бюджетных средств, в том числе качественного бюджетного планирования (минимизация внесения изменений в кассовые планы и бюджетные росписи расходов главных распорядителей бюджетных средств, что ведет к сокращению количества поправок бюджета города);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в большинстве случаев взаимосвязи задач муниципальных программ с задачами </w:t>
      </w:r>
      <w:hyperlink r:id="rId15" w:history="1">
        <w:r w:rsidRPr="005F3D72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5F3D7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Ханты-Мансийска и достигаемыми на каждом этапе промежуточными результатами их решения;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ограниченность использования муниципальных программ в качестве основного инструмента долгосрочного планирования и основы составления проекта бюджета города на финансовый год и плановый период;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независимость определения объемов и сроков финансирования программных мероприятий от поставленных в муниципальных программах целей и задач;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отсутствие конкурентного распределения средств на принимаемые обязательства по результатам оценки действующих и предполагаемых к принятию муниципальных программ;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использование муниципальных программ как дополнительного источника бюджетного финансирования текущих расходов;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 xml:space="preserve">отсутствие унифицированного регистра муниципальных услуг и работ, сформированных на основе базовых (отраслевых) перечней, утвержденных на федеральном уровне, а также нормативных затрат на оказание данных услуг (выполнение работ) </w:t>
      </w:r>
      <w:proofErr w:type="gramStart"/>
      <w:r w:rsidRPr="005F3D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D72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proofErr w:type="spellStart"/>
      <w:r w:rsidRPr="005F3D72">
        <w:rPr>
          <w:rFonts w:ascii="Times New Roman" w:hAnsi="Times New Roman" w:cs="Times New Roman"/>
          <w:sz w:val="28"/>
          <w:szCs w:val="28"/>
        </w:rPr>
        <w:t>разрезности</w:t>
      </w:r>
      <w:proofErr w:type="spellEnd"/>
      <w:r w:rsidRPr="005F3D72">
        <w:rPr>
          <w:rFonts w:ascii="Times New Roman" w:hAnsi="Times New Roman" w:cs="Times New Roman"/>
          <w:sz w:val="28"/>
          <w:szCs w:val="28"/>
        </w:rPr>
        <w:t>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наличие муниципального долга;</w:t>
      </w:r>
    </w:p>
    <w:p w:rsidR="007D548C" w:rsidRPr="005F3D72" w:rsidRDefault="007D548C" w:rsidP="007D548C">
      <w:pPr>
        <w:pStyle w:val="ac"/>
        <w:spacing w:after="0"/>
        <w:ind w:firstLine="540"/>
        <w:jc w:val="both"/>
        <w:rPr>
          <w:b/>
          <w:sz w:val="28"/>
          <w:szCs w:val="28"/>
        </w:rPr>
      </w:pPr>
      <w:r w:rsidRPr="005F3D72">
        <w:rPr>
          <w:sz w:val="28"/>
          <w:szCs w:val="28"/>
        </w:rPr>
        <w:t>недостаточная степень автоматизации процесса бюджетного планирования с возможностью интеграции в новую систему управления общественными финансами Российской Федерации «Электронный бюджет»;</w:t>
      </w:r>
    </w:p>
    <w:p w:rsidR="007D548C" w:rsidRPr="005F3D7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>недостаточная степень вовлеченности гражданского общества в обсуждение целей и результатов использования бюджетных средств.</w:t>
      </w:r>
    </w:p>
    <w:p w:rsidR="007D548C" w:rsidRPr="005F3D72" w:rsidRDefault="007D548C" w:rsidP="00BF7B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D72">
        <w:rPr>
          <w:rFonts w:ascii="Times New Roman" w:hAnsi="Times New Roman" w:cs="Times New Roman"/>
          <w:sz w:val="28"/>
          <w:szCs w:val="28"/>
        </w:rPr>
        <w:t xml:space="preserve">Муниципальная программа "Управление муниципальными финансами города Ханты-Мансийска на 2016 - 2020 годы" направлена на урегулирование нерешенных проблем в сфере управления муниципальными финансами и ориентирована на создание общих условий для всех участников </w:t>
      </w:r>
      <w:r w:rsidR="00BF7B52">
        <w:rPr>
          <w:rFonts w:ascii="Times New Roman" w:hAnsi="Times New Roman" w:cs="Times New Roman"/>
          <w:sz w:val="28"/>
          <w:szCs w:val="28"/>
        </w:rPr>
        <w:t xml:space="preserve"> </w:t>
      </w:r>
      <w:r w:rsidRPr="005F3D72">
        <w:rPr>
          <w:rFonts w:ascii="Times New Roman" w:hAnsi="Times New Roman" w:cs="Times New Roman"/>
          <w:sz w:val="28"/>
          <w:szCs w:val="28"/>
        </w:rPr>
        <w:t>бюджетного процесса. Реализация мероприятий программы приведет к повышению качества управления муниципальными финансами в городе Ханты-Мансийске, что в свою очередь обеспечит максимально эффективное и прозрачное использование муниципальных финансов и создаст благоприятные условия для экономического развития города.</w:t>
      </w:r>
    </w:p>
    <w:p w:rsidR="007D548C" w:rsidRPr="00C66C02" w:rsidRDefault="007D548C" w:rsidP="007D54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548C" w:rsidRPr="00C66C02" w:rsidRDefault="007D548C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>Раздел 2. ЦЕЛИ, ЗАДАЧИ И ПОКАЗАТЕЛИ ИХ ДОСТИЖЕНИЯ</w:t>
      </w:r>
    </w:p>
    <w:p w:rsidR="007D548C" w:rsidRPr="006C2303" w:rsidRDefault="007D548C" w:rsidP="007D548C">
      <w:pPr>
        <w:ind w:firstLine="540"/>
        <w:jc w:val="both"/>
        <w:rPr>
          <w:rFonts w:asciiTheme="minorHAnsi" w:hAnsiTheme="minorHAnsi" w:cstheme="minorBidi"/>
          <w:sz w:val="36"/>
          <w:szCs w:val="36"/>
        </w:rPr>
      </w:pPr>
      <w:proofErr w:type="gramStart"/>
      <w:r w:rsidRPr="00D502EB">
        <w:rPr>
          <w:sz w:val="28"/>
          <w:szCs w:val="28"/>
        </w:rPr>
        <w:t xml:space="preserve">Приоритетным направлением развития города Ханты-Мансийска согласно </w:t>
      </w:r>
      <w:hyperlink r:id="rId16" w:history="1">
        <w:r w:rsidRPr="00D502EB">
          <w:rPr>
            <w:sz w:val="28"/>
            <w:szCs w:val="28"/>
          </w:rPr>
          <w:t>Стратегии</w:t>
        </w:r>
      </w:hyperlink>
      <w:r w:rsidRPr="00D502EB">
        <w:rPr>
          <w:sz w:val="28"/>
          <w:szCs w:val="28"/>
        </w:rPr>
        <w:t xml:space="preserve"> социально-экономического развития города Ханты-Мансийска до 2020 года</w:t>
      </w:r>
      <w:r>
        <w:rPr>
          <w:sz w:val="28"/>
          <w:szCs w:val="28"/>
        </w:rPr>
        <w:t xml:space="preserve"> и на период до 2030 года</w:t>
      </w:r>
      <w:r w:rsidRPr="00D502EB">
        <w:rPr>
          <w:sz w:val="28"/>
          <w:szCs w:val="28"/>
        </w:rPr>
        <w:t>, утвержденной решением Думы города Ханты-Мансийска от 16.12.2011 N 141, является укрепление и развитие позиций города как административного, культурного, инновационного и общественного центра региона на основе интенсификации социально-экономического развития, выраженного в повышении качества жизни населения, устойчивых темпах экономического роста и поддержании</w:t>
      </w:r>
      <w:proofErr w:type="gramEnd"/>
      <w:r w:rsidRPr="00D502EB">
        <w:rPr>
          <w:sz w:val="28"/>
          <w:szCs w:val="28"/>
        </w:rPr>
        <w:t xml:space="preserve"> стабильной экологической обстановки.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в муниципальном образовании реализуется бюджетная политика, направленная на повышение уровня и качества </w:t>
      </w:r>
      <w:r w:rsidRPr="00D502EB">
        <w:rPr>
          <w:rFonts w:ascii="Times New Roman" w:hAnsi="Times New Roman" w:cs="Times New Roman"/>
          <w:sz w:val="28"/>
          <w:szCs w:val="28"/>
        </w:rPr>
        <w:lastRenderedPageBreak/>
        <w:t>жизни населения, на улучшение инвестиционного климата и повышение эффективности бюджетных расходов как составной части эффективности деятельности органов местного самоуправления.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обеспечение долгосрочной сбалансированности и устойчивости бюджетной системы муниципального образования, повышение качества управления муниципальными финансами в городе Ханты-Мансийске.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Для достижения указанной цели в рамках реализации программы предусматривается р</w:t>
      </w:r>
      <w:r>
        <w:rPr>
          <w:rFonts w:ascii="Times New Roman" w:hAnsi="Times New Roman" w:cs="Times New Roman"/>
          <w:sz w:val="28"/>
          <w:szCs w:val="28"/>
        </w:rPr>
        <w:t>ешение следующих основных задач: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02EB">
        <w:rPr>
          <w:rFonts w:ascii="Times New Roman" w:hAnsi="Times New Roman" w:cs="Times New Roman"/>
          <w:sz w:val="28"/>
          <w:szCs w:val="28"/>
        </w:rPr>
        <w:t>организация планирования и исполнения бюджета города Ханты-Мансийска, ведение бюджетного учета и формирование бюджетной отчетности;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02EB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в сфере управления муниципальными финансами для обеспечения прозрачности и открытости бюджетного процесса города Ханты-Мансийска;</w:t>
      </w:r>
    </w:p>
    <w:p w:rsidR="007D548C" w:rsidRPr="00D502EB" w:rsidRDefault="007D548C" w:rsidP="007D548C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D502EB">
        <w:rPr>
          <w:rFonts w:ascii="Times New Roman" w:hAnsi="Times New Roman"/>
          <w:sz w:val="28"/>
          <w:szCs w:val="28"/>
        </w:rPr>
        <w:t>3)поддержание муниципального долга на экономически безопасном уровне, обеспечение полного и своевременного исполнения обязательств по муниципальным заимствованиям;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 xml:space="preserve">4)обеспечение формирования и использования средств резервного фонда Администрации города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требованиями, установленными Б</w:t>
      </w:r>
      <w:r w:rsidRPr="00D502EB">
        <w:rPr>
          <w:rFonts w:ascii="Times New Roman" w:hAnsi="Times New Roman" w:cs="Times New Roman"/>
          <w:sz w:val="28"/>
          <w:szCs w:val="28"/>
        </w:rPr>
        <w:t>юджетным кодексом Российской Федерации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Решение поставленных задач будет осуществляться с учетом: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долгосрочного прогноза основных параметров бюджетной системы, основанных на реалистических оценках при формировании бюджета города;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полноты учета и прогнозирования финансовых ресурсов;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планирования бюджетных ассигнований исходя из необходимости безусловного исполнения действующих расходных обязательств;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принятия новых расходных обязатель</w:t>
      </w:r>
      <w:proofErr w:type="gramStart"/>
      <w:r w:rsidRPr="00D502E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502EB">
        <w:rPr>
          <w:rFonts w:ascii="Times New Roman" w:hAnsi="Times New Roman" w:cs="Times New Roman"/>
          <w:sz w:val="28"/>
          <w:szCs w:val="28"/>
        </w:rP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необходимости).</w:t>
      </w:r>
    </w:p>
    <w:p w:rsidR="007D548C" w:rsidRPr="00D502EB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2EB">
        <w:rPr>
          <w:rFonts w:ascii="Times New Roman" w:hAnsi="Times New Roman" w:cs="Times New Roman"/>
          <w:sz w:val="28"/>
          <w:szCs w:val="28"/>
        </w:rPr>
        <w:t>Переход к формированию бюджета муниципального образования с применением программно-целевого метода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обязательств. Тем самым реализуется возможность полноценного применения программно-целевого метода планирования бюджета, что создает прочную основу для системного повышения эффективности бюджетных расходов.</w:t>
      </w:r>
    </w:p>
    <w:p w:rsidR="007D548C" w:rsidRDefault="009F1CE0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6" w:history="1">
        <w:r w:rsidR="007D548C" w:rsidRPr="0022620F">
          <w:rPr>
            <w:rFonts w:ascii="Times New Roman" w:hAnsi="Times New Roman" w:cs="Times New Roman"/>
            <w:sz w:val="28"/>
            <w:szCs w:val="28"/>
          </w:rPr>
          <w:t>Система</w:t>
        </w:r>
      </w:hyperlink>
      <w:r w:rsidR="007D548C" w:rsidRPr="0022620F">
        <w:rPr>
          <w:rFonts w:ascii="Times New Roman" w:hAnsi="Times New Roman" w:cs="Times New Roman"/>
          <w:sz w:val="28"/>
          <w:szCs w:val="28"/>
        </w:rPr>
        <w:t xml:space="preserve"> </w:t>
      </w:r>
      <w:r w:rsidR="007D548C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7D548C" w:rsidRPr="0022620F">
        <w:rPr>
          <w:rFonts w:ascii="Times New Roman" w:hAnsi="Times New Roman" w:cs="Times New Roman"/>
          <w:sz w:val="28"/>
          <w:szCs w:val="28"/>
        </w:rPr>
        <w:t>, характеризующих результаты реализации муниципальной программы "Управление муниципальными финансам</w:t>
      </w:r>
      <w:r w:rsidR="007D548C">
        <w:rPr>
          <w:rFonts w:ascii="Times New Roman" w:hAnsi="Times New Roman" w:cs="Times New Roman"/>
          <w:sz w:val="28"/>
          <w:szCs w:val="28"/>
        </w:rPr>
        <w:t>и города Ханты-Мансийска на 2016</w:t>
      </w:r>
      <w:r w:rsidR="007D548C" w:rsidRPr="0022620F">
        <w:rPr>
          <w:rFonts w:ascii="Times New Roman" w:hAnsi="Times New Roman" w:cs="Times New Roman"/>
          <w:sz w:val="28"/>
          <w:szCs w:val="28"/>
        </w:rPr>
        <w:t xml:space="preserve"> - 2020 годы", отра</w:t>
      </w:r>
      <w:r w:rsidR="007D548C">
        <w:rPr>
          <w:rFonts w:ascii="Times New Roman" w:hAnsi="Times New Roman" w:cs="Times New Roman"/>
          <w:sz w:val="28"/>
          <w:szCs w:val="28"/>
        </w:rPr>
        <w:t>жена в приложении 1 к программе и состоит из следующих показателей: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2620F">
        <w:rPr>
          <w:rFonts w:ascii="Times New Roman" w:hAnsi="Times New Roman" w:cs="Times New Roman"/>
          <w:sz w:val="28"/>
          <w:szCs w:val="28"/>
        </w:rPr>
        <w:t>Доля расходов на оказание муниципальных услуг (работ), оказываемых (выполняемых) в соответствии с муниципальным заданием, в общем объеме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 показатель рассчитывается ежеквартально на основании данных согласно решению Думы города Ханты-Мансийска о бюджете города Ханты-Мансийска на очередной финансовый год и плановый период (с учетом изменений) и отражает удельный вес расходов бюджета города Ханты-Мансийска, запланированный в виде объема субсидий на финансовое обеспечение выполнения муниципальных заданий на оказание муниципальных услуг (выполнение работ) при решении вопросов местного значения и переданных государственных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общем объеме бюджета города Ханты-Мансийска. 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8C1">
        <w:rPr>
          <w:rFonts w:ascii="Times New Roman" w:hAnsi="Times New Roman" w:cs="Times New Roman"/>
          <w:sz w:val="28"/>
          <w:szCs w:val="28"/>
        </w:rPr>
        <w:t>2.Отсутствие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</w:t>
      </w:r>
      <w:r>
        <w:rPr>
          <w:rFonts w:ascii="Times New Roman" w:hAnsi="Times New Roman" w:cs="Times New Roman"/>
          <w:sz w:val="28"/>
          <w:szCs w:val="28"/>
        </w:rPr>
        <w:t xml:space="preserve">. Данный показатель определяется ежемесячно путем оценки данных согласно форме бюджетной отчетности 0503169 и отражает своевременное исполнение обязательств по гарантированным выплатам по оплате труда и начислениям по оплате труда. </w:t>
      </w:r>
    </w:p>
    <w:p w:rsidR="007D548C" w:rsidRPr="00591225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AA2">
        <w:rPr>
          <w:rFonts w:ascii="Times New Roman" w:hAnsi="Times New Roman" w:cs="Times New Roman"/>
          <w:sz w:val="28"/>
          <w:szCs w:val="28"/>
        </w:rPr>
        <w:t>3.Своевременное проведение мониторинга качества финансового менеджмента, осуществляемого главными распорядителями средств бюджета города, и размещение результатов данного мониторинга на Официальном информационном портале органов местного самоуправления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показатель определяется ежеквартально путем проведения мониторинга наличия информации по данному направлению на </w:t>
      </w:r>
      <w:r w:rsidRPr="00743AA2">
        <w:rPr>
          <w:rFonts w:ascii="Times New Roman" w:hAnsi="Times New Roman" w:cs="Times New Roman"/>
          <w:sz w:val="28"/>
          <w:szCs w:val="28"/>
        </w:rPr>
        <w:t>Официальном информационном портале</w:t>
      </w:r>
      <w:r>
        <w:rPr>
          <w:rFonts w:ascii="Times New Roman" w:hAnsi="Times New Roman" w:cs="Times New Roman"/>
          <w:sz w:val="28"/>
          <w:szCs w:val="28"/>
        </w:rPr>
        <w:t xml:space="preserve"> на дату согласно муниципальному правовому акту, утверждающему Порядок </w:t>
      </w:r>
      <w:r w:rsidRPr="00743AA2">
        <w:rPr>
          <w:rFonts w:ascii="Times New Roman" w:hAnsi="Times New Roman" w:cs="Times New Roman"/>
          <w:sz w:val="28"/>
          <w:szCs w:val="28"/>
        </w:rPr>
        <w:t>проведение мониторинга качества финансового менеджмента, осуществляемого главными распорядителями средств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и отражает соблюдение требования муниципального правого акта, а также обеспечивает создание аналитической базы для повышения эффективности использования средств бюджета города и качества управления средствами бюджета.</w:t>
      </w:r>
      <w:proofErr w:type="gramEnd"/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AA2">
        <w:rPr>
          <w:rFonts w:ascii="Times New Roman" w:hAnsi="Times New Roman" w:cs="Times New Roman"/>
          <w:sz w:val="28"/>
          <w:szCs w:val="28"/>
        </w:rPr>
        <w:t>4.</w:t>
      </w:r>
      <w:r w:rsidRPr="00E204CF">
        <w:rPr>
          <w:rFonts w:ascii="Times New Roman" w:hAnsi="Times New Roman" w:cs="Times New Roman"/>
          <w:sz w:val="28"/>
          <w:szCs w:val="28"/>
        </w:rPr>
        <w:t>Доля главных распорядителей средств бюджета города Ханты-Мансийска, предоставивших отчетность в сроки, установленные Департаментом управления финансами Администрации города Ханты-Мансийска</w:t>
      </w:r>
      <w:r>
        <w:rPr>
          <w:rFonts w:ascii="Times New Roman" w:hAnsi="Times New Roman" w:cs="Times New Roman"/>
          <w:sz w:val="28"/>
          <w:szCs w:val="28"/>
        </w:rPr>
        <w:t>. Данный показатель определяется ежемесячно путем мониторинга сдачи необходимого объема отчетности главными распорядителями средств бюджета города Ханты-Мансийска и показывает степень соблюдения главными распорядителями средств бюджета города муниципальных правовых актов о сроках сдачи отчетности.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F16AC">
        <w:rPr>
          <w:rFonts w:ascii="Times New Roman" w:hAnsi="Times New Roman" w:cs="Times New Roman"/>
          <w:sz w:val="28"/>
          <w:szCs w:val="28"/>
        </w:rPr>
        <w:t>Увеличение доли принятых на текущий финансовый год бюджетных обязательств в общем объеме расходов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. Показатель рассчитывается ежемесячно на основании данных согласно решению Думы города Ханты-Мансийска о бюджете города Ханты-Мансийска на очередной финансовый год и плановый период (с учетом изменений) и отчета об исполнении бюджетных обязательств форма 0531704 и отражает удельный вес </w:t>
      </w:r>
      <w:r>
        <w:rPr>
          <w:rFonts w:ascii="Times New Roman" w:hAnsi="Times New Roman" w:cs="Times New Roman"/>
          <w:sz w:val="28"/>
          <w:szCs w:val="28"/>
        </w:rPr>
        <w:lastRenderedPageBreak/>
        <w:t>запланированного объема расходов, подкрепленных договорными обязательствами, в общем объеме расходов бюджета города.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5135F">
        <w:rPr>
          <w:rFonts w:ascii="Times New Roman" w:hAnsi="Times New Roman" w:cs="Times New Roman"/>
          <w:sz w:val="28"/>
          <w:szCs w:val="28"/>
        </w:rPr>
        <w:t>Увеличение доли расходов бюджета города, сформированных в рамках муниципальных программ, в общем объеме расходов бюджета города</w:t>
      </w:r>
      <w:r>
        <w:rPr>
          <w:rFonts w:ascii="Times New Roman" w:hAnsi="Times New Roman" w:cs="Times New Roman"/>
          <w:sz w:val="28"/>
          <w:szCs w:val="28"/>
        </w:rPr>
        <w:t>. Показатель рассчитывается ежеквартально на основании данных согласно решению Думы города Ханты-Мансийска о бюджете города Ханты-Мансийска на очередной финансовый год и плановый период (с учетом изменений) и направлен на формирование бюджета города по программному принципу с увязкой планируемых объемов расходов бюджета города с показателями результативности.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5135F">
        <w:rPr>
          <w:rFonts w:ascii="Times New Roman" w:hAnsi="Times New Roman" w:cs="Times New Roman"/>
          <w:sz w:val="28"/>
          <w:szCs w:val="28"/>
        </w:rPr>
        <w:t>Доля муниципальных учреждений, выполнивших в полном объеме муниципальные задания, в общем количестве муниципальных учреждений города Ханты-Мансийска, которым утверждены муниципальные задания</w:t>
      </w:r>
      <w:r>
        <w:rPr>
          <w:rFonts w:ascii="Times New Roman" w:hAnsi="Times New Roman" w:cs="Times New Roman"/>
          <w:sz w:val="28"/>
          <w:szCs w:val="28"/>
        </w:rPr>
        <w:t>. Данный показатель определяется ежегодно на основании расчетов по приказу Департамента управления финансами Администрации города Ханты-Мансийска с утвержденным порядком по оценке эффективности и результативности выполнения муниципальных заданий и обеспечивает создание аналитической базы для принятия управленческих и контрольных функций главными распорядителями средств бюджета города.</w:t>
      </w:r>
    </w:p>
    <w:p w:rsidR="007D548C" w:rsidRDefault="007D548C" w:rsidP="007D5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F3B01">
        <w:rPr>
          <w:sz w:val="28"/>
          <w:szCs w:val="28"/>
        </w:rPr>
        <w:t>Доля разработанных муниципальных правовых актов от общего количества муниципальных правовых актов, подлежащих разработке финансовым органом муниципал</w:t>
      </w:r>
      <w:r>
        <w:rPr>
          <w:sz w:val="28"/>
          <w:szCs w:val="28"/>
        </w:rPr>
        <w:t>ьного образования в соответствие</w:t>
      </w:r>
      <w:r w:rsidRPr="009F3B01">
        <w:rPr>
          <w:sz w:val="28"/>
          <w:szCs w:val="28"/>
        </w:rPr>
        <w:t xml:space="preserve"> с требованиями, установленными бюджетным законодательством</w:t>
      </w:r>
      <w:r>
        <w:rPr>
          <w:sz w:val="28"/>
          <w:szCs w:val="28"/>
        </w:rPr>
        <w:t xml:space="preserve">. Данный показатель определяется ежеквартально путем проведения отделом правовой и кадровой работы Департамента управления финансами Администрации города Ханты-Мансийска мониторинга изменения действующего бюджетного законодательства и соответствия ему муниципальных правовых актов. </w:t>
      </w:r>
    </w:p>
    <w:p w:rsidR="007D548C" w:rsidRDefault="007D548C" w:rsidP="007D5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F3B01">
        <w:rPr>
          <w:sz w:val="28"/>
          <w:szCs w:val="28"/>
        </w:rPr>
        <w:t xml:space="preserve">Степень </w:t>
      </w:r>
      <w:proofErr w:type="gramStart"/>
      <w:r w:rsidRPr="009F3B01">
        <w:rPr>
          <w:sz w:val="28"/>
          <w:szCs w:val="28"/>
        </w:rPr>
        <w:t>соответствия содержания проекта решения Думы</w:t>
      </w:r>
      <w:proofErr w:type="gramEnd"/>
      <w:r w:rsidRPr="009F3B01">
        <w:rPr>
          <w:sz w:val="28"/>
          <w:szCs w:val="28"/>
        </w:rPr>
        <w:t xml:space="preserve"> города о бюджете города и состава документов и материалов, предоставляемых одновременно с ним, требованиям, установленным бюджетным законодательством</w:t>
      </w:r>
      <w:r>
        <w:rPr>
          <w:sz w:val="28"/>
          <w:szCs w:val="28"/>
        </w:rPr>
        <w:t>. Показатель определяется ежегодно путем оценки экспертного заключения уполномоченных органов на предмет отсутствия замечаний к содержанию проекта решения Думы города Ханты-Мансийска о бюджете города и составу документов и материалов, представленных с ним, и отражает качественную подготовку Департаментом управления финансами Администрации города Ханты-Мансийска бюджета города на стадии планирования.</w:t>
      </w:r>
    </w:p>
    <w:p w:rsidR="007D548C" w:rsidRDefault="007D548C" w:rsidP="007D5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F3B01">
        <w:rPr>
          <w:sz w:val="28"/>
          <w:szCs w:val="28"/>
        </w:rPr>
        <w:t>Степень соответствия состава годового отчета об исполнении бюджета города и документов, предоставляемых одновременно с ним, требованиям, установленным бюджетным законодательством</w:t>
      </w:r>
      <w:r>
        <w:rPr>
          <w:sz w:val="28"/>
          <w:szCs w:val="28"/>
        </w:rPr>
        <w:t>.</w:t>
      </w:r>
      <w:r w:rsidRPr="009F3B0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Показатель определяется ежегодно путем оценки на предмет отсутствия замечаний финансового органа Ханты-Мансийского автономного округа-Югры по составу годового отчета и отражает качественную подготовку Департаментом управления финансами Администрации города Ханты-Мансийска отчета об исполнении бюджета города.</w:t>
      </w:r>
    </w:p>
    <w:p w:rsidR="007D548C" w:rsidRDefault="007D548C" w:rsidP="007D54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F3B01">
        <w:rPr>
          <w:sz w:val="28"/>
          <w:szCs w:val="28"/>
        </w:rPr>
        <w:t>Соблюдение срока представления годовой бюджетной отчетности в Департамент финансов Ханты-Мансийского автономного округа-Югры</w:t>
      </w:r>
      <w:r>
        <w:rPr>
          <w:sz w:val="28"/>
          <w:szCs w:val="28"/>
        </w:rPr>
        <w:t>.</w:t>
      </w:r>
      <w:r w:rsidRPr="00C01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</w:t>
      </w:r>
      <w:r>
        <w:rPr>
          <w:sz w:val="28"/>
          <w:szCs w:val="28"/>
        </w:rPr>
        <w:lastRenderedPageBreak/>
        <w:t>показатель определяется ежегодно путем оценки на предмет отсутствия замечаний финансового органа Ханты-Мансийского автономного округа-Югры по сроку предоставления и отражает своевременную подготовку Департаментом управления финансами Администрации города Ханты-Мансийска отчета об исполнении бюджета города.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204CF">
        <w:rPr>
          <w:rFonts w:ascii="Times New Roman" w:hAnsi="Times New Roman" w:cs="Times New Roman"/>
          <w:sz w:val="28"/>
          <w:szCs w:val="28"/>
        </w:rPr>
        <w:t>.Размещение на Официальном информационном портале органов местного самоуправления города Ханты-Мансийска информации о результатах проведения публичных слушаний по проекту бюджета и отчету о его исполнении</w:t>
      </w:r>
      <w:r>
        <w:rPr>
          <w:rFonts w:ascii="Times New Roman" w:hAnsi="Times New Roman" w:cs="Times New Roman"/>
          <w:sz w:val="28"/>
          <w:szCs w:val="28"/>
        </w:rPr>
        <w:t xml:space="preserve">. Данный показатель определяется 2 раза в год не позднее 10 дней со дня проведения публичных слушаний путем проведения мониторинга наличия информации по данному направлению на </w:t>
      </w:r>
      <w:r w:rsidRPr="00743AA2">
        <w:rPr>
          <w:rFonts w:ascii="Times New Roman" w:hAnsi="Times New Roman" w:cs="Times New Roman"/>
          <w:sz w:val="28"/>
          <w:szCs w:val="28"/>
        </w:rPr>
        <w:t>Официальном информационном портале</w:t>
      </w:r>
      <w:r>
        <w:rPr>
          <w:rFonts w:ascii="Times New Roman" w:hAnsi="Times New Roman" w:cs="Times New Roman"/>
          <w:sz w:val="28"/>
          <w:szCs w:val="28"/>
        </w:rPr>
        <w:t xml:space="preserve"> и показывает степень соблюдения ответственным исполнителем за размещение данной информации в сети Интернет требования муниципального правового акта.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F16AC">
        <w:rPr>
          <w:rFonts w:ascii="Times New Roman" w:hAnsi="Times New Roman" w:cs="Times New Roman"/>
          <w:sz w:val="28"/>
          <w:szCs w:val="28"/>
        </w:rPr>
        <w:t>.Открытость показателей бюджета города на стадиях рассмотрения, утверждения и исполнения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1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показатель</w:t>
      </w:r>
      <w:r w:rsidRPr="001D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ежемесячно</w:t>
      </w:r>
      <w:r w:rsidRPr="001D7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путем проведения мониторинга полноты информации, подлежащей размещению на </w:t>
      </w:r>
      <w:r w:rsidRPr="00743AA2">
        <w:rPr>
          <w:rFonts w:ascii="Times New Roman" w:hAnsi="Times New Roman" w:cs="Times New Roman"/>
          <w:sz w:val="28"/>
          <w:szCs w:val="28"/>
        </w:rPr>
        <w:t>Официальном информационном портале</w:t>
      </w:r>
      <w:r>
        <w:rPr>
          <w:rFonts w:ascii="Times New Roman" w:hAnsi="Times New Roman" w:cs="Times New Roman"/>
          <w:sz w:val="28"/>
          <w:szCs w:val="28"/>
        </w:rPr>
        <w:t>, согласно приказу Департамента управления финансами Администрации города Ханты-Мансийска, а также мониторинга своевременности проведения иных мероприятий, направленных на разъяснительную работу и привлечение населения города к</w:t>
      </w:r>
      <w:r w:rsidRPr="009A2D9A">
        <w:rPr>
          <w:rFonts w:ascii="Times New Roman" w:hAnsi="Times New Roman" w:cs="Times New Roman"/>
          <w:sz w:val="28"/>
          <w:szCs w:val="28"/>
        </w:rPr>
        <w:t xml:space="preserve"> участию в обсуждении вопросов формирования бюджета города Ханты-Мансийска и его исполнения</w:t>
      </w:r>
      <w:r>
        <w:rPr>
          <w:rFonts w:ascii="Times New Roman" w:hAnsi="Times New Roman" w:cs="Times New Roman"/>
          <w:sz w:val="28"/>
          <w:szCs w:val="28"/>
        </w:rPr>
        <w:t>. Показатель отражает степень соблюдения ответственных исполнителей за размещение необходимого состава информации в сети Интернет и прочим мероприятиям, направленным на открытость информации о бюджете города согласно муниципальным правовым актам.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F16AC">
        <w:rPr>
          <w:rFonts w:ascii="Times New Roman" w:hAnsi="Times New Roman" w:cs="Times New Roman"/>
          <w:sz w:val="28"/>
          <w:szCs w:val="28"/>
        </w:rPr>
        <w:t>.Обеспеченность программно-техническими средствами специалистов Департамента управления финансами Администрации города Ханты-Мансийска в объеме, достаточном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 Показатель определяется ежемесячно путем мониторинга наличия не устраненных проблем по официальным заявкам в адрес Управления информатизации Администрации города Ханты-Мансийска от специалистов Департамента управления финансами Администрации. Сохранение данного показателя на установленном уровне направлено на обеспечение бесперебойной и качественной работы специалистов финансового органа.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B01">
        <w:rPr>
          <w:rFonts w:ascii="Times New Roman" w:hAnsi="Times New Roman" w:cs="Times New Roman"/>
          <w:sz w:val="28"/>
          <w:szCs w:val="28"/>
        </w:rPr>
        <w:t>15.</w:t>
      </w:r>
      <w:r w:rsidRPr="00743AA2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по долговым обязательствам муниципального образования в структуре расходов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 Показатель определяется ежемесячно путем оценки данных согласно Муниципальной долговой книге муниципального образования города Ханты-Мансийск. Сохранение данного показателя на установленном уровне направлено</w:t>
      </w:r>
      <w:r w:rsidRPr="00591225">
        <w:rPr>
          <w:rFonts w:ascii="Times New Roman" w:hAnsi="Times New Roman" w:cs="Times New Roman"/>
          <w:sz w:val="28"/>
          <w:szCs w:val="28"/>
        </w:rPr>
        <w:t xml:space="preserve"> на обеспечение ответственной долговой политики, поддержания городом имиджа надежного заемщика и гаранта.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1D5F">
        <w:rPr>
          <w:rFonts w:ascii="Times New Roman" w:hAnsi="Times New Roman" w:cs="Times New Roman"/>
          <w:sz w:val="28"/>
          <w:szCs w:val="28"/>
        </w:rPr>
        <w:t xml:space="preserve">16.Соблюдение ограничений по дефициту бюджета и предельному объему муниципального долга, </w:t>
      </w:r>
      <w:proofErr w:type="gramStart"/>
      <w:r w:rsidRPr="00C01D5F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C01D5F">
        <w:rPr>
          <w:rFonts w:ascii="Times New Roman" w:hAnsi="Times New Roman" w:cs="Times New Roman"/>
          <w:sz w:val="28"/>
          <w:szCs w:val="28"/>
        </w:rPr>
        <w:t xml:space="preserve"> бюджетным законодательством</w:t>
      </w:r>
      <w:r>
        <w:rPr>
          <w:rFonts w:ascii="Times New Roman" w:hAnsi="Times New Roman" w:cs="Times New Roman"/>
          <w:sz w:val="28"/>
          <w:szCs w:val="28"/>
        </w:rPr>
        <w:t>. Показатель</w:t>
      </w:r>
      <w:r w:rsidRPr="00DB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ежегодно путем оценки соответствия расчетных данных согласно методике планирования долговых обязательств города Ханты-</w:t>
      </w:r>
      <w:r>
        <w:rPr>
          <w:rFonts w:ascii="Times New Roman" w:hAnsi="Times New Roman" w:cs="Times New Roman"/>
          <w:sz w:val="28"/>
          <w:szCs w:val="28"/>
        </w:rPr>
        <w:lastRenderedPageBreak/>
        <w:t>Мансийска и определения долговой нагрузки на бюджет города Ханты-Мансийска, утвержденной муниципальным правовым актом, с установленным показателем согласно статье 107 Бюджетного кодекса Российской Федерации. Данный показатель ориентирован</w:t>
      </w:r>
      <w:r w:rsidRPr="00591225">
        <w:rPr>
          <w:rFonts w:ascii="Times New Roman" w:hAnsi="Times New Roman" w:cs="Times New Roman"/>
          <w:sz w:val="28"/>
          <w:szCs w:val="28"/>
        </w:rPr>
        <w:t xml:space="preserve"> на сохранение муниципального долга на э</w:t>
      </w:r>
      <w:r>
        <w:rPr>
          <w:rFonts w:ascii="Times New Roman" w:hAnsi="Times New Roman" w:cs="Times New Roman"/>
          <w:sz w:val="28"/>
          <w:szCs w:val="28"/>
        </w:rPr>
        <w:t xml:space="preserve">кономически безопасном уровне. 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E01">
        <w:rPr>
          <w:rFonts w:ascii="Times New Roman" w:hAnsi="Times New Roman" w:cs="Times New Roman"/>
          <w:sz w:val="28"/>
          <w:szCs w:val="28"/>
        </w:rPr>
        <w:t>17.</w:t>
      </w:r>
      <w:r w:rsidRPr="00C679EB">
        <w:rPr>
          <w:rFonts w:ascii="Times New Roman" w:hAnsi="Times New Roman" w:cs="Times New Roman"/>
          <w:sz w:val="28"/>
          <w:szCs w:val="28"/>
        </w:rPr>
        <w:t>Доля расходо</w:t>
      </w:r>
      <w:r>
        <w:rPr>
          <w:rFonts w:ascii="Times New Roman" w:hAnsi="Times New Roman" w:cs="Times New Roman"/>
          <w:sz w:val="28"/>
          <w:szCs w:val="28"/>
        </w:rPr>
        <w:t>в бюджета города на обслуживание</w:t>
      </w:r>
      <w:r w:rsidRPr="00C679EB">
        <w:rPr>
          <w:rFonts w:ascii="Times New Roman" w:hAnsi="Times New Roman" w:cs="Times New Roman"/>
          <w:sz w:val="28"/>
          <w:szCs w:val="28"/>
        </w:rPr>
        <w:t xml:space="preserve"> муниципального долга в общем объеме расходов бюджета без учета расходов, осуществляемых за счет целевых межбюджетных трансфертов из вышестоящего бюджета.</w:t>
      </w:r>
      <w:r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Pr="00DB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определяется ежегодно путем оценки расчетных данных согласно методике планирования долговых обязательств города Ханты-Мансийска и определения долговой нагрузки на бюджет города Ханты-Мансийска, утвержденной муниципальным правовым актом, и  отражает долговую нагрузку на бюджет города Ханты-Мансийска.</w:t>
      </w:r>
    </w:p>
    <w:p w:rsidR="007D548C" w:rsidRDefault="007D548C" w:rsidP="007D54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B7E01">
        <w:rPr>
          <w:rFonts w:ascii="Times New Roman" w:hAnsi="Times New Roman" w:cs="Times New Roman"/>
          <w:sz w:val="28"/>
          <w:szCs w:val="28"/>
        </w:rPr>
        <w:t>Соблюдение  ограничений по предельному размеру резервного фонда, установленного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Показатель определяется ежеквартально</w:t>
      </w:r>
      <w:r w:rsidRPr="00DB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оценки соответствия данных согласно решению Думы города Ханты-Мансийска о бюджете города Ханты-Мансийска на очередной финансовый год и плановый период (с учетом изменений) с установленным показателем согласно статье 81 Бюджетного кодекса Российской Федерации Данный показатель ориентирован</w:t>
      </w:r>
      <w:r w:rsidRPr="005912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соблюдение условий </w:t>
      </w:r>
      <w:r w:rsidRPr="00591225">
        <w:rPr>
          <w:rFonts w:ascii="Times New Roman" w:hAnsi="Times New Roman" w:cs="Times New Roman"/>
          <w:sz w:val="28"/>
          <w:szCs w:val="28"/>
        </w:rPr>
        <w:t>исполнения расходных обязательств по финансовому обеспечению непред</w:t>
      </w:r>
      <w:r>
        <w:rPr>
          <w:rFonts w:ascii="Times New Roman" w:hAnsi="Times New Roman" w:cs="Times New Roman"/>
          <w:sz w:val="28"/>
          <w:szCs w:val="28"/>
        </w:rPr>
        <w:t>виденных расходов.</w:t>
      </w:r>
      <w:proofErr w:type="gramEnd"/>
    </w:p>
    <w:p w:rsidR="007D548C" w:rsidRDefault="007D548C" w:rsidP="007D548C">
      <w:pPr>
        <w:pStyle w:val="ConsPlusNormal"/>
      </w:pPr>
    </w:p>
    <w:p w:rsidR="007D548C" w:rsidRPr="00C66C02" w:rsidRDefault="007D548C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>Раздел 3. ХАРАКТЕРИСТИКА ОСНОВНЫХ МЕРОПРИЯТИЙ ПРОГРАММЫ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>Достижение поставленной цели и задач программы будет выполняться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реализации следующих основных мероприятий: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</w:t>
      </w:r>
      <w:r w:rsidRPr="009A2D9A">
        <w:rPr>
          <w:rFonts w:ascii="Times New Roman" w:hAnsi="Times New Roman" w:cs="Times New Roman"/>
          <w:sz w:val="28"/>
          <w:szCs w:val="28"/>
        </w:rPr>
        <w:t xml:space="preserve"> выполнения функций и полномочий финансового органа - Департамента управления финансами Администрации города Ханты-Мансийска.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t>Деятельность Департамента управления финансами Администрации города Ханты-Мансийска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муниципального образования.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t>Результатом реализации данного мероприятия является материально-техническое обеспечение деятельности Департамента управления финансами Администрации города Ханты-Мансийска в объеме, необходимом для своевременного и качественного выполнения возложенных на него полномочий.</w:t>
      </w:r>
      <w:r>
        <w:rPr>
          <w:rFonts w:ascii="Times New Roman" w:hAnsi="Times New Roman" w:cs="Times New Roman"/>
          <w:sz w:val="28"/>
          <w:szCs w:val="28"/>
        </w:rPr>
        <w:t xml:space="preserve"> Таких как: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2D9A">
        <w:rPr>
          <w:rFonts w:ascii="Times New Roman" w:hAnsi="Times New Roman" w:cs="Times New Roman"/>
          <w:sz w:val="28"/>
          <w:szCs w:val="28"/>
        </w:rPr>
        <w:t>рганизация планирования бюджета го</w:t>
      </w:r>
      <w:r>
        <w:rPr>
          <w:rFonts w:ascii="Times New Roman" w:hAnsi="Times New Roman" w:cs="Times New Roman"/>
          <w:sz w:val="28"/>
          <w:szCs w:val="28"/>
        </w:rPr>
        <w:t>рода Ханты-Мансийска, р</w:t>
      </w:r>
      <w:r w:rsidRPr="009A2D9A">
        <w:rPr>
          <w:rFonts w:ascii="Times New Roman" w:hAnsi="Times New Roman" w:cs="Times New Roman"/>
          <w:sz w:val="28"/>
          <w:szCs w:val="28"/>
        </w:rPr>
        <w:t xml:space="preserve">езультатом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9A2D9A">
        <w:rPr>
          <w:rFonts w:ascii="Times New Roman" w:hAnsi="Times New Roman" w:cs="Times New Roman"/>
          <w:sz w:val="28"/>
          <w:szCs w:val="28"/>
        </w:rPr>
        <w:t xml:space="preserve"> является принятый в установленные сроки и соответствующий требованиям бюджетного законодательства Российской Федерации бюджет города Ханты-Мансийска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2D9A">
        <w:rPr>
          <w:rFonts w:ascii="Times New Roman" w:hAnsi="Times New Roman" w:cs="Times New Roman"/>
          <w:sz w:val="28"/>
          <w:szCs w:val="28"/>
        </w:rPr>
        <w:t>рганизация исполнения бюджета города Ханты-Мансийска и фо</w:t>
      </w:r>
      <w:r>
        <w:rPr>
          <w:rFonts w:ascii="Times New Roman" w:hAnsi="Times New Roman" w:cs="Times New Roman"/>
          <w:sz w:val="28"/>
          <w:szCs w:val="28"/>
        </w:rPr>
        <w:t>рмирование бюджетной отчетности, с</w:t>
      </w:r>
      <w:r w:rsidRPr="009A2D9A">
        <w:rPr>
          <w:rFonts w:ascii="Times New Roman" w:hAnsi="Times New Roman" w:cs="Times New Roman"/>
          <w:sz w:val="28"/>
          <w:szCs w:val="28"/>
        </w:rPr>
        <w:t xml:space="preserve">воевременное и качественное формирование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Pr="009A2D9A">
        <w:rPr>
          <w:rFonts w:ascii="Times New Roman" w:hAnsi="Times New Roman" w:cs="Times New Roman"/>
          <w:sz w:val="28"/>
          <w:szCs w:val="28"/>
        </w:rPr>
        <w:t xml:space="preserve"> позволит оценить степень выполнения расходных обязательств муниципального образования, предоставить участникам бюджетного процесса необходимую для </w:t>
      </w:r>
      <w:r w:rsidRPr="009A2D9A">
        <w:rPr>
          <w:rFonts w:ascii="Times New Roman" w:hAnsi="Times New Roman" w:cs="Times New Roman"/>
          <w:sz w:val="28"/>
          <w:szCs w:val="28"/>
        </w:rPr>
        <w:lastRenderedPageBreak/>
        <w:t>анализа, планирования и управления бюджетными средствами информацию, оценить финансовое состояни</w:t>
      </w:r>
      <w:r>
        <w:rPr>
          <w:rFonts w:ascii="Times New Roman" w:hAnsi="Times New Roman" w:cs="Times New Roman"/>
          <w:sz w:val="28"/>
          <w:szCs w:val="28"/>
        </w:rPr>
        <w:t>е учреждений бюджетного сектора;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9A2D9A">
        <w:rPr>
          <w:rFonts w:ascii="Times New Roman" w:hAnsi="Times New Roman" w:cs="Times New Roman"/>
          <w:sz w:val="28"/>
          <w:szCs w:val="28"/>
        </w:rPr>
        <w:t>ормативно-методическое обеспечение организации бюджетного процесса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в р</w:t>
      </w:r>
      <w:r w:rsidRPr="009A2D9A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е и утверждении</w:t>
      </w:r>
      <w:r w:rsidRPr="009A2D9A">
        <w:rPr>
          <w:rFonts w:ascii="Times New Roman" w:hAnsi="Times New Roman" w:cs="Times New Roman"/>
          <w:sz w:val="28"/>
          <w:szCs w:val="28"/>
        </w:rPr>
        <w:t xml:space="preserve"> необходимых правовых актов и методических указаний в области организации бюджетного процесса, соответствующих требованиям бюджетного законодательства,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9A2D9A">
        <w:rPr>
          <w:rFonts w:ascii="Times New Roman" w:hAnsi="Times New Roman" w:cs="Times New Roman"/>
          <w:sz w:val="28"/>
          <w:szCs w:val="28"/>
        </w:rPr>
        <w:t xml:space="preserve"> спос</w:t>
      </w:r>
      <w:r>
        <w:rPr>
          <w:rFonts w:ascii="Times New Roman" w:hAnsi="Times New Roman" w:cs="Times New Roman"/>
          <w:sz w:val="28"/>
          <w:szCs w:val="28"/>
        </w:rPr>
        <w:t>обствует</w:t>
      </w:r>
      <w:r w:rsidRPr="009A2D9A">
        <w:rPr>
          <w:rFonts w:ascii="Times New Roman" w:hAnsi="Times New Roman" w:cs="Times New Roman"/>
          <w:sz w:val="28"/>
          <w:szCs w:val="28"/>
        </w:rPr>
        <w:t xml:space="preserve"> качественной организации планирования и исполнения расходных обязательств, составлению бюджетной отчетности главными распорядителями бюджетных средств, обеспечит единство нормативно-правового регулирования в сфере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2D9A">
        <w:rPr>
          <w:rFonts w:ascii="Times New Roman" w:hAnsi="Times New Roman" w:cs="Times New Roman"/>
          <w:sz w:val="28"/>
          <w:szCs w:val="28"/>
        </w:rPr>
        <w:t>овершенствование системы оценки качества финансового менеджмента, осуществляемого главными распорядителями средств и главными администраторами доходов бюджета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Pr="00CA2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2D9A">
        <w:rPr>
          <w:rFonts w:ascii="Times New Roman" w:hAnsi="Times New Roman" w:cs="Times New Roman"/>
          <w:sz w:val="28"/>
          <w:szCs w:val="28"/>
        </w:rPr>
        <w:t xml:space="preserve"> целях повышения заинтересованности участников бюджетного процесса в муниципальном образовании в повышении качества контроля в сфере упра</w:t>
      </w:r>
      <w:r>
        <w:rPr>
          <w:rFonts w:ascii="Times New Roman" w:hAnsi="Times New Roman" w:cs="Times New Roman"/>
          <w:sz w:val="28"/>
          <w:szCs w:val="28"/>
        </w:rPr>
        <w:t xml:space="preserve">вления муниципальными финансами. 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Pr="009A2D9A">
        <w:rPr>
          <w:rFonts w:ascii="Times New Roman" w:hAnsi="Times New Roman" w:cs="Times New Roman"/>
          <w:sz w:val="28"/>
          <w:szCs w:val="28"/>
        </w:rPr>
        <w:t>дминистрировани</w:t>
      </w:r>
      <w:r>
        <w:rPr>
          <w:rFonts w:ascii="Times New Roman" w:hAnsi="Times New Roman" w:cs="Times New Roman"/>
          <w:sz w:val="28"/>
          <w:szCs w:val="28"/>
        </w:rPr>
        <w:t>е и сопровождение</w:t>
      </w:r>
      <w:r w:rsidRPr="009A2D9A">
        <w:rPr>
          <w:rFonts w:ascii="Times New Roman" w:hAnsi="Times New Roman" w:cs="Times New Roman"/>
          <w:sz w:val="28"/>
          <w:szCs w:val="28"/>
        </w:rPr>
        <w:t xml:space="preserve"> программных комплексов, прикладного программного обеспечения в сфере управления общественными финансами.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t>Современное развитие отношений в сфере общественных финансов предъявляет новые требования к составу и качеству информации о финансовой деятельности муниципальных образований, а также открытости информации о результатах их деятельности.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t>Открытость бюджетного процесса является одним из главных приоритетов бюджетной политики, проводимой в муниципальном образовании. С целью вовлечения населения города Ханты-Мансийска в осуществление бюджетного процесса Департаментом управления финансами Администрации города Ханты-Мансийска ежегодно организуются публичные слушания по проекту бюджета города и отчету об его исполнении.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t>На официальном информационном портале органов местного самоуправления города Ханты-Мансийска размещается информация о бюджете города Ханты-Мансийска и ходе его исполнения, о деятельности Департамента управления финансами Администрации города Ханты-Мансийска.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t xml:space="preserve">Для привлечения большего количества горожан к участию в обсуждении вопросов формирования бюджета города Ханты-Мансийска и его исполнения Департаментом управления финансами Администрации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t>реализовано</w:t>
      </w:r>
      <w:r w:rsidRPr="009A2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DC7ECE">
        <w:rPr>
          <w:rFonts w:ascii="Times New Roman" w:hAnsi="Times New Roman" w:cs="Times New Roman"/>
          <w:sz w:val="28"/>
          <w:szCs w:val="28"/>
        </w:rPr>
        <w:t xml:space="preserve"> информационного материала «Бюджет для граждан»</w:t>
      </w:r>
      <w:r w:rsidRPr="009A2D9A">
        <w:rPr>
          <w:rFonts w:ascii="Times New Roman" w:hAnsi="Times New Roman" w:cs="Times New Roman"/>
          <w:sz w:val="28"/>
          <w:szCs w:val="28"/>
        </w:rPr>
        <w:t>. "Бюджет для граждан" предназначен, прежде всего, для жителей города Ханты-Мансийска, не обладающих специальными знаниями в сфере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>, и представлен в доступной для понимания форме</w:t>
      </w:r>
      <w:r w:rsidRPr="009A2D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в целях повышения уровня финансовой грамотности населения города и формирования позитивного имиджа финансовой и бюджетной составляющей деятельности органов местного самоуправления проводятся такие мероприятия, как день финансовой грамотности и день открытых дверей в Департаменте управления финансами города Ханты-Мансийска.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lastRenderedPageBreak/>
        <w:t>Департаментом управления финансами Администрации города Ханты-Мансийска обеспечивается бесперебойная работа автоматизированной системы "Бюджет" (АС "Бюджет") и автоматизированной системы "Управление рабочим местом" (АС "УРМ") - основных информационных систем, база данных которых является центральной в комплексной автоматизации исполнения бюджета города на всех этапах его планирования и исполнения.</w:t>
      </w:r>
    </w:p>
    <w:p w:rsidR="007D548C" w:rsidRPr="009A2D9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D9A">
        <w:rPr>
          <w:rFonts w:ascii="Times New Roman" w:hAnsi="Times New Roman" w:cs="Times New Roman"/>
          <w:sz w:val="28"/>
          <w:szCs w:val="28"/>
        </w:rPr>
        <w:t>Совершенствование программных комплексов в сфере управления финансами позволит обеспечить прозрачность и подотчетность деятельности финансового органа муниципального образования, повысить доступность информации о финансовой деятельности и финансовом состоянии муниципального образования города Ханты-Мансийска, создать инструментарий для принятия обоснованных управленческих решений с целью эффективности и результативности бюджетных расходов.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также осуществляется о</w:t>
      </w:r>
      <w:r w:rsidRPr="009A2D9A">
        <w:rPr>
          <w:rFonts w:ascii="Times New Roman" w:hAnsi="Times New Roman" w:cs="Times New Roman"/>
          <w:sz w:val="28"/>
          <w:szCs w:val="28"/>
        </w:rPr>
        <w:t>беспечение работоспособности аппаратного оборудования Департамента управления финансами Администрации города Ханты-Мансийска, его обновление в соответствии с треб</w:t>
      </w:r>
      <w:r>
        <w:rPr>
          <w:rFonts w:ascii="Times New Roman" w:hAnsi="Times New Roman" w:cs="Times New Roman"/>
          <w:sz w:val="28"/>
          <w:szCs w:val="28"/>
        </w:rPr>
        <w:t>ованиями программных комплексов, а также а</w:t>
      </w:r>
      <w:r w:rsidRPr="009A2D9A">
        <w:rPr>
          <w:rFonts w:ascii="Times New Roman" w:hAnsi="Times New Roman" w:cs="Times New Roman"/>
          <w:sz w:val="28"/>
          <w:szCs w:val="28"/>
        </w:rPr>
        <w:t xml:space="preserve">дминистрирование и сопровождение систем хранения и защиты баз данных. 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Pr="00591225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1225">
        <w:rPr>
          <w:rFonts w:ascii="Times New Roman" w:hAnsi="Times New Roman" w:cs="Times New Roman"/>
          <w:sz w:val="28"/>
          <w:szCs w:val="28"/>
        </w:rPr>
        <w:t xml:space="preserve"> взвешенной долг</w:t>
      </w:r>
      <w:r w:rsidR="00DC7ECE">
        <w:rPr>
          <w:rFonts w:ascii="Times New Roman" w:hAnsi="Times New Roman" w:cs="Times New Roman"/>
          <w:sz w:val="28"/>
          <w:szCs w:val="28"/>
        </w:rPr>
        <w:t>овой политики, надлежащ</w:t>
      </w:r>
      <w:r w:rsidRPr="00591225">
        <w:rPr>
          <w:rFonts w:ascii="Times New Roman" w:hAnsi="Times New Roman" w:cs="Times New Roman"/>
          <w:sz w:val="28"/>
          <w:szCs w:val="28"/>
        </w:rPr>
        <w:t>ее исполнение обязательств по муниципальным заимствованиям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25">
        <w:rPr>
          <w:rFonts w:ascii="Times New Roman" w:hAnsi="Times New Roman" w:cs="Times New Roman"/>
          <w:sz w:val="28"/>
          <w:szCs w:val="28"/>
        </w:rPr>
        <w:t>Долговая политика является неотъемлемой частью бюджетной политики муниципального образования и оказывает непосредственное влияние на устойчивость местного бюджета.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25">
        <w:rPr>
          <w:rFonts w:ascii="Times New Roman" w:hAnsi="Times New Roman" w:cs="Times New Roman"/>
          <w:sz w:val="28"/>
          <w:szCs w:val="28"/>
        </w:rPr>
        <w:t>Управление муниципальным долгом осуществляется посредством системы четких процедур, ориентированных на сохранение муниципального долга на экономически безопасном уровне.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деятельность Д</w:t>
      </w:r>
      <w:r w:rsidRPr="0059122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>
        <w:rPr>
          <w:rFonts w:ascii="Times New Roman" w:hAnsi="Times New Roman" w:cs="Times New Roman"/>
          <w:sz w:val="28"/>
          <w:szCs w:val="28"/>
        </w:rPr>
        <w:t>управления финансами</w:t>
      </w:r>
      <w:r w:rsidRPr="00591225">
        <w:rPr>
          <w:rFonts w:ascii="Times New Roman" w:hAnsi="Times New Roman" w:cs="Times New Roman"/>
          <w:sz w:val="28"/>
          <w:szCs w:val="28"/>
        </w:rPr>
        <w:t xml:space="preserve"> в сфере 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иципальным долгом направлена на </w:t>
      </w:r>
      <w:r w:rsidRPr="00591225">
        <w:rPr>
          <w:rFonts w:ascii="Times New Roman" w:hAnsi="Times New Roman" w:cs="Times New Roman"/>
          <w:sz w:val="28"/>
          <w:szCs w:val="28"/>
        </w:rPr>
        <w:t xml:space="preserve">обеспечение полного и своевременного исполнения обязательств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 муниципальным заимствованиям.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реализации данного направления утверждено распоряжение</w:t>
      </w:r>
      <w:r w:rsidRPr="00591225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 от 12.03.2015 N 32-р</w:t>
      </w:r>
      <w:r w:rsidR="00DC7ECE">
        <w:rPr>
          <w:rFonts w:ascii="Times New Roman" w:hAnsi="Times New Roman" w:cs="Times New Roman"/>
          <w:sz w:val="28"/>
          <w:szCs w:val="28"/>
        </w:rPr>
        <w:t xml:space="preserve"> «</w:t>
      </w:r>
      <w:r w:rsidRPr="00591225">
        <w:rPr>
          <w:rFonts w:ascii="Times New Roman" w:hAnsi="Times New Roman" w:cs="Times New Roman"/>
          <w:sz w:val="28"/>
          <w:szCs w:val="28"/>
        </w:rPr>
        <w:t xml:space="preserve">Об утверждении методики </w:t>
      </w:r>
      <w:r>
        <w:rPr>
          <w:rFonts w:ascii="Times New Roman" w:hAnsi="Times New Roman" w:cs="Times New Roman"/>
          <w:sz w:val="28"/>
          <w:szCs w:val="28"/>
        </w:rPr>
        <w:t>планирования долговых обязательств города Ханты-Мансийска и определения долговой нагрузки на бюджет города Ханты-Мансийска</w:t>
      </w:r>
      <w:r w:rsidR="00DC7ECE">
        <w:rPr>
          <w:rFonts w:ascii="Times New Roman" w:hAnsi="Times New Roman" w:cs="Times New Roman"/>
          <w:sz w:val="28"/>
          <w:szCs w:val="28"/>
        </w:rPr>
        <w:t>»</w:t>
      </w:r>
      <w:r w:rsidRPr="00591225">
        <w:rPr>
          <w:rFonts w:ascii="Times New Roman" w:hAnsi="Times New Roman" w:cs="Times New Roman"/>
          <w:sz w:val="28"/>
          <w:szCs w:val="28"/>
        </w:rPr>
        <w:t>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2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1225">
        <w:rPr>
          <w:rFonts w:ascii="Times New Roman" w:hAnsi="Times New Roman" w:cs="Times New Roman"/>
          <w:sz w:val="28"/>
          <w:szCs w:val="28"/>
        </w:rPr>
        <w:t xml:space="preserve"> исполнением обязательств по муниципальным заимствованиям обеспечен в регулярном режиме - долговые обязательства города исполняются в полном объеме и в установленные сроки.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25">
        <w:rPr>
          <w:rFonts w:ascii="Times New Roman" w:hAnsi="Times New Roman" w:cs="Times New Roman"/>
          <w:sz w:val="28"/>
          <w:szCs w:val="28"/>
        </w:rPr>
        <w:t>Взвешенный подход к формированию муниципального долга позволи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91225">
        <w:rPr>
          <w:rFonts w:ascii="Times New Roman" w:hAnsi="Times New Roman" w:cs="Times New Roman"/>
          <w:sz w:val="28"/>
          <w:szCs w:val="28"/>
        </w:rPr>
        <w:t xml:space="preserve"> успешно реализо</w:t>
      </w:r>
      <w:r>
        <w:rPr>
          <w:rFonts w:ascii="Times New Roman" w:hAnsi="Times New Roman" w:cs="Times New Roman"/>
          <w:sz w:val="28"/>
          <w:szCs w:val="28"/>
        </w:rPr>
        <w:t xml:space="preserve">вывать долговую политику города, </w:t>
      </w:r>
      <w:r w:rsidRPr="00591225">
        <w:rPr>
          <w:rFonts w:ascii="Times New Roman" w:hAnsi="Times New Roman" w:cs="Times New Roman"/>
          <w:sz w:val="28"/>
          <w:szCs w:val="28"/>
        </w:rPr>
        <w:t>несмотря на нестабильную внешнеполитическую ситуацию и обеспечить уровень муниципального долга значительно ниже предельного уровня, установленного бюджетным законодательством.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мероприятия направлена</w:t>
      </w:r>
      <w:r w:rsidRPr="00591225">
        <w:rPr>
          <w:rFonts w:ascii="Times New Roman" w:hAnsi="Times New Roman" w:cs="Times New Roman"/>
          <w:sz w:val="28"/>
          <w:szCs w:val="28"/>
        </w:rPr>
        <w:t xml:space="preserve"> на обеспечение ответственной долговой политики, поддержания городом имиджа надежного заемщика и гаранта.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AA4B5F">
        <w:rPr>
          <w:rFonts w:ascii="Times New Roman" w:hAnsi="Times New Roman" w:cs="Times New Roman"/>
          <w:sz w:val="28"/>
          <w:szCs w:val="28"/>
        </w:rPr>
        <w:t>Формирование в бюджете города резервного фонда Администрации города в соответствии с требованиями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25">
        <w:rPr>
          <w:rFonts w:ascii="Times New Roman" w:hAnsi="Times New Roman" w:cs="Times New Roman"/>
          <w:sz w:val="28"/>
          <w:szCs w:val="28"/>
        </w:rPr>
        <w:t xml:space="preserve">Формирование расходов резервного фонда Администрации города осуществляется в пределах ограничений, установленных нормой </w:t>
      </w:r>
      <w:hyperlink r:id="rId17" w:history="1">
        <w:r w:rsidRPr="00C12041">
          <w:rPr>
            <w:rFonts w:ascii="Times New Roman" w:hAnsi="Times New Roman" w:cs="Times New Roman"/>
            <w:sz w:val="28"/>
            <w:szCs w:val="28"/>
          </w:rPr>
          <w:t>статьи 81</w:t>
        </w:r>
      </w:hyperlink>
      <w:r w:rsidRPr="0059122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для возможного исполнения расходных обязательств по финансовому обеспечению непредвиденных расходов.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25">
        <w:rPr>
          <w:rFonts w:ascii="Times New Roman" w:hAnsi="Times New Roman" w:cs="Times New Roman"/>
          <w:sz w:val="28"/>
          <w:szCs w:val="28"/>
        </w:rPr>
        <w:t>Средства резервного фонда Администрации города используются в порядке, установленном муниципальным правовым актом, и направляются в основном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25">
        <w:rPr>
          <w:rFonts w:ascii="Times New Roman" w:hAnsi="Times New Roman" w:cs="Times New Roman"/>
          <w:sz w:val="28"/>
          <w:szCs w:val="28"/>
        </w:rPr>
        <w:t>Формирование резерва сре</w:t>
      </w:r>
      <w:proofErr w:type="gramStart"/>
      <w:r w:rsidRPr="0059122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91225">
        <w:rPr>
          <w:rFonts w:ascii="Times New Roman" w:hAnsi="Times New Roman" w:cs="Times New Roman"/>
          <w:sz w:val="28"/>
          <w:szCs w:val="28"/>
        </w:rPr>
        <w:t>я последующего направления соответствующим главным распорядителям бюджетных средств осуществляется в целях обеспечения планируемых в очередном финансовом году расходных обязательств, нормативно не закрепленных в период формирования бюджета (обеспечение эксплуатации новых объектов муниципальной собственности после их ввода и иные случаи, предусматриваемые текстовой частью решения Думы города о бюджете города).</w:t>
      </w:r>
    </w:p>
    <w:p w:rsidR="007D548C" w:rsidRPr="00591225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225">
        <w:rPr>
          <w:rFonts w:ascii="Times New Roman" w:hAnsi="Times New Roman" w:cs="Times New Roman"/>
          <w:sz w:val="28"/>
          <w:szCs w:val="28"/>
        </w:rPr>
        <w:t>Распределение иным образом зарезервированных средств между главными распорядителями бю</w:t>
      </w:r>
      <w:r>
        <w:rPr>
          <w:rFonts w:ascii="Times New Roman" w:hAnsi="Times New Roman" w:cs="Times New Roman"/>
          <w:sz w:val="28"/>
          <w:szCs w:val="28"/>
        </w:rPr>
        <w:t>джетных средств осуществляется Д</w:t>
      </w:r>
      <w:r w:rsidRPr="00591225">
        <w:rPr>
          <w:rFonts w:ascii="Times New Roman" w:hAnsi="Times New Roman" w:cs="Times New Roman"/>
          <w:sz w:val="28"/>
          <w:szCs w:val="28"/>
        </w:rPr>
        <w:t>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управления финансами</w:t>
      </w:r>
      <w:r w:rsidRPr="00591225">
        <w:rPr>
          <w:rFonts w:ascii="Times New Roman" w:hAnsi="Times New Roman" w:cs="Times New Roman"/>
          <w:sz w:val="28"/>
          <w:szCs w:val="28"/>
        </w:rPr>
        <w:t xml:space="preserve"> после издания соответствующих муниципальных правовых актов.</w:t>
      </w:r>
    </w:p>
    <w:p w:rsidR="007D548C" w:rsidRDefault="007D548C" w:rsidP="007D548C">
      <w:pPr>
        <w:pStyle w:val="ConsPlusNormal"/>
        <w:jc w:val="both"/>
      </w:pPr>
      <w:r w:rsidRPr="00591225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gramStart"/>
      <w:r w:rsidRPr="00591225">
        <w:rPr>
          <w:rFonts w:ascii="Times New Roman" w:hAnsi="Times New Roman" w:cs="Times New Roman"/>
          <w:sz w:val="28"/>
          <w:szCs w:val="28"/>
        </w:rPr>
        <w:t>возникновения рисков отсутствия финансового обеспечения расходов непредвиденного характера</w:t>
      </w:r>
      <w:proofErr w:type="gramEnd"/>
      <w:r w:rsidRPr="00591225">
        <w:rPr>
          <w:rFonts w:ascii="Times New Roman" w:hAnsi="Times New Roman" w:cs="Times New Roman"/>
          <w:sz w:val="28"/>
          <w:szCs w:val="28"/>
        </w:rPr>
        <w:t xml:space="preserve"> и расходных обязательств, прогнозируемых на перспективу, должна решаться путем формирования резервного фонда Администрации города в оптимальном размере, определения условно утвержденных </w:t>
      </w:r>
      <w:r w:rsidRPr="00C12041">
        <w:rPr>
          <w:rFonts w:ascii="Times New Roman" w:hAnsi="Times New Roman" w:cs="Times New Roman"/>
          <w:sz w:val="28"/>
          <w:szCs w:val="28"/>
        </w:rPr>
        <w:t xml:space="preserve">расходов в достаточном объеме, а также обоснованной концентрацией средств, иным образом </w:t>
      </w:r>
      <w:r>
        <w:rPr>
          <w:rFonts w:ascii="Times New Roman" w:hAnsi="Times New Roman" w:cs="Times New Roman"/>
          <w:sz w:val="28"/>
          <w:szCs w:val="28"/>
        </w:rPr>
        <w:t>резервируемых в бюджете города.</w:t>
      </w:r>
    </w:p>
    <w:p w:rsidR="007D548C" w:rsidRDefault="007D548C" w:rsidP="007D548C">
      <w:pPr>
        <w:pStyle w:val="ConsPlusNormal"/>
      </w:pPr>
    </w:p>
    <w:p w:rsidR="007D548C" w:rsidRPr="00C66C02" w:rsidRDefault="007D548C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>Раздел 4. ОБОСНОВАНИЕ РЕСУРСНОГО ОБЕСПЕЧЕНИЯ ПРОГРАММЫ</w:t>
      </w:r>
    </w:p>
    <w:p w:rsidR="007D548C" w:rsidRPr="00C66C0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бюджета города Ханты-Мансийска.</w:t>
      </w:r>
    </w:p>
    <w:p w:rsidR="007D548C" w:rsidRPr="00A56F5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программы носит прогнозный характер и </w:t>
      </w:r>
      <w:r w:rsidR="009F1CE0">
        <w:rPr>
          <w:rFonts w:ascii="Times New Roman" w:hAnsi="Times New Roman" w:cs="Times New Roman"/>
          <w:sz w:val="28"/>
          <w:szCs w:val="28"/>
        </w:rPr>
        <w:t>составляет 574 611 416</w:t>
      </w:r>
      <w:r w:rsidRPr="00A56F5A">
        <w:rPr>
          <w:rFonts w:ascii="Times New Roman" w:hAnsi="Times New Roman" w:cs="Times New Roman"/>
          <w:sz w:val="28"/>
          <w:szCs w:val="28"/>
        </w:rPr>
        <w:t>,0 рублей, в том числе по годам:</w:t>
      </w:r>
    </w:p>
    <w:p w:rsidR="007D548C" w:rsidRPr="00A56F5A" w:rsidRDefault="009F1CE0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113 247 046</w:t>
      </w:r>
      <w:r w:rsidR="007D548C" w:rsidRPr="00A56F5A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D548C" w:rsidRPr="00A56F5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5A">
        <w:rPr>
          <w:rFonts w:ascii="Times New Roman" w:hAnsi="Times New Roman" w:cs="Times New Roman"/>
          <w:sz w:val="28"/>
          <w:szCs w:val="28"/>
        </w:rPr>
        <w:t>2017 – 114 630 370 рублей;</w:t>
      </w:r>
    </w:p>
    <w:p w:rsidR="007D548C" w:rsidRPr="00A56F5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5A">
        <w:rPr>
          <w:rFonts w:ascii="Times New Roman" w:hAnsi="Times New Roman" w:cs="Times New Roman"/>
          <w:sz w:val="28"/>
          <w:szCs w:val="28"/>
        </w:rPr>
        <w:t>2018 – 115 578 000 рублей;</w:t>
      </w:r>
    </w:p>
    <w:p w:rsidR="007D548C" w:rsidRPr="00A56F5A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5A">
        <w:rPr>
          <w:rFonts w:ascii="Times New Roman" w:hAnsi="Times New Roman" w:cs="Times New Roman"/>
          <w:sz w:val="28"/>
          <w:szCs w:val="28"/>
        </w:rPr>
        <w:t>2019 -  115 578 000 рублей;</w:t>
      </w:r>
    </w:p>
    <w:p w:rsidR="007D548C" w:rsidRPr="00C66C0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5A">
        <w:rPr>
          <w:rFonts w:ascii="Times New Roman" w:hAnsi="Times New Roman" w:cs="Times New Roman"/>
          <w:sz w:val="28"/>
          <w:szCs w:val="28"/>
        </w:rPr>
        <w:t>2020 -  115 578 000 рублей.</w:t>
      </w:r>
    </w:p>
    <w:p w:rsidR="007D548C" w:rsidRPr="00C66C02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>Ежегодный объем финансирования программы определяется в соответствии с утвержденным бюджетом города Ханты-Мансийска на очередной финансовый год и плановый период.</w:t>
      </w:r>
    </w:p>
    <w:p w:rsidR="007D548C" w:rsidRDefault="007D548C" w:rsidP="007D548C">
      <w:pPr>
        <w:pStyle w:val="ConsPlusNormal"/>
      </w:pPr>
    </w:p>
    <w:p w:rsidR="007D548C" w:rsidRPr="00C66C02" w:rsidRDefault="007D548C" w:rsidP="007D54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C02">
        <w:rPr>
          <w:rFonts w:ascii="Times New Roman" w:hAnsi="Times New Roman" w:cs="Times New Roman"/>
          <w:sz w:val="28"/>
          <w:szCs w:val="28"/>
        </w:rPr>
        <w:t>Раздел 5. МЕХАНИЗМ РЕАЛИЗАЦИИ ПРОГРАММЫ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Департамент управления финансами Администрации города Ханты-Мансийска.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программы осуществляет управление реализацией программы, обладает правом вносить предложения об изменении объемов финансовых средств, направляемых на решение отдельных ее мероприятий.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разработку проектов нормативных правовых актов муниципального образования, необходимых для выполнения программы;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исполнительной власти, органами государственной власти Ханты-Мансийского автономного округа - Югры, Думой города Ханты-Мансийска, структурными подразделениями Администрации города Ханты-Мансийска, коммерческими и некоммерческими организациями по вопросам, относящимся к установленным сферам деятельности Департамента управления финансами Администрации города Ханты-Мансийска;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уточнение объемов финансирования по основным мероприятиям программы на очередной финансовый год и плановый период в соответствии с мониторингом фактически достигнутых результатов путем сопоставления их с установленной системой показателей, характеризующих результаты реализации программы;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управление программой, эффективное использование средств, выделенных на реализацию программы;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представление в установленном порядке отчета о ходе исполнения комплексного плана (сетевого графика) по реализации программы;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основных мероприятий программы, в том числе о механизмах их реализации.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Оценка исполнения мероприятий программы основана на мониторинге показателей, характеризующих результаты реализации программы, путем сопоставления фактически достигнутых показателей с показателями, установленными при утверждении программы.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программы в нее могут быть внесены изменения.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A64">
        <w:rPr>
          <w:rFonts w:ascii="Times New Roman" w:hAnsi="Times New Roman" w:cs="Times New Roman"/>
          <w:sz w:val="28"/>
          <w:szCs w:val="28"/>
        </w:rPr>
        <w:t>Реализация отдельных мероприятий программы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</w:t>
      </w:r>
      <w:proofErr w:type="gramEnd"/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Основным финансовым риском реализации программы является существенное ухудшение параметров поступления доходов в бюджет города Ханты-Мансийска, что повлечет за собой увеличение дефицита бюджета муниципального образования, увеличение объема муниципального долга и стоимости его обслуживания. 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муниципального образования.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</w:t>
      </w:r>
      <w:r w:rsidRPr="00D33A64">
        <w:rPr>
          <w:rFonts w:ascii="Times New Roman" w:hAnsi="Times New Roman" w:cs="Times New Roman"/>
          <w:sz w:val="28"/>
          <w:szCs w:val="28"/>
        </w:rPr>
        <w:lastRenderedPageBreak/>
        <w:t>согласованных межведомственных решений, а также увязки с мерами правового регулирования в рамках других муниципальных программ (прежде всего, в сфере экономического регулирования, управления муниципальным имуществом, муниципальных закупок и т.д.).</w:t>
      </w:r>
    </w:p>
    <w:p w:rsidR="007D548C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A64">
        <w:rPr>
          <w:rFonts w:ascii="Times New Roman" w:hAnsi="Times New Roman" w:cs="Times New Roman"/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бюджета города Ханты-Мансийска, зависит от действий всех участников бюджетного процесса, а не только от Департамента управления финансами Администрации города Ханты-Мансийска, осуществляющего организацию составления и исполнения бюджета муниципального образования.</w:t>
      </w:r>
    </w:p>
    <w:p w:rsidR="007D548C" w:rsidRPr="00D33A64" w:rsidRDefault="007D548C" w:rsidP="007D54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rPr>
          <w:rFonts w:eastAsia="Calibri"/>
          <w:b/>
          <w:sz w:val="28"/>
          <w:szCs w:val="28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  <w:sz w:val="24"/>
          <w:szCs w:val="24"/>
        </w:rPr>
        <w:sectPr w:rsidR="007D548C" w:rsidSect="00EF11E9">
          <w:headerReference w:type="even" r:id="rId18"/>
          <w:headerReference w:type="default" r:id="rId1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D548C" w:rsidRPr="00E5766E" w:rsidRDefault="007D548C" w:rsidP="007D548C">
      <w:pPr>
        <w:pStyle w:val="ConsPlusTitle"/>
        <w:widowControl/>
        <w:jc w:val="right"/>
        <w:rPr>
          <w:b w:val="0"/>
          <w:sz w:val="24"/>
          <w:szCs w:val="24"/>
        </w:rPr>
      </w:pPr>
      <w:r w:rsidRPr="00E5766E">
        <w:rPr>
          <w:b w:val="0"/>
          <w:sz w:val="24"/>
          <w:szCs w:val="24"/>
        </w:rPr>
        <w:lastRenderedPageBreak/>
        <w:t xml:space="preserve">Приложение 1 </w:t>
      </w:r>
    </w:p>
    <w:p w:rsidR="007D548C" w:rsidRPr="00E5766E" w:rsidRDefault="007D548C" w:rsidP="007D548C">
      <w:pPr>
        <w:pStyle w:val="ConsPlusTitle"/>
        <w:widowControl/>
        <w:jc w:val="right"/>
        <w:rPr>
          <w:b w:val="0"/>
          <w:sz w:val="24"/>
          <w:szCs w:val="24"/>
        </w:rPr>
      </w:pPr>
      <w:r w:rsidRPr="00E5766E">
        <w:rPr>
          <w:b w:val="0"/>
          <w:sz w:val="24"/>
          <w:szCs w:val="24"/>
        </w:rPr>
        <w:t xml:space="preserve">к </w:t>
      </w:r>
      <w:r w:rsidR="00BF7B52">
        <w:rPr>
          <w:b w:val="0"/>
          <w:sz w:val="24"/>
          <w:szCs w:val="24"/>
        </w:rPr>
        <w:t>проекту муниципальной программы</w:t>
      </w:r>
    </w:p>
    <w:p w:rsidR="007D548C" w:rsidRPr="00E5766E" w:rsidRDefault="007D548C" w:rsidP="007D548C">
      <w:pPr>
        <w:pStyle w:val="ConsPlusTitle"/>
        <w:widowControl/>
        <w:jc w:val="right"/>
        <w:rPr>
          <w:b w:val="0"/>
          <w:sz w:val="24"/>
          <w:szCs w:val="24"/>
        </w:rPr>
      </w:pPr>
      <w:r w:rsidRPr="00E5766E">
        <w:rPr>
          <w:b w:val="0"/>
          <w:sz w:val="24"/>
          <w:szCs w:val="24"/>
        </w:rPr>
        <w:t xml:space="preserve">«Управление муниципальными финансами </w:t>
      </w:r>
    </w:p>
    <w:p w:rsidR="007D548C" w:rsidRPr="00E5766E" w:rsidRDefault="007D548C" w:rsidP="007D548C">
      <w:pPr>
        <w:pStyle w:val="ConsPlusTitle"/>
        <w:widowControl/>
        <w:jc w:val="right"/>
        <w:rPr>
          <w:b w:val="0"/>
          <w:sz w:val="24"/>
          <w:szCs w:val="24"/>
        </w:rPr>
      </w:pPr>
      <w:r w:rsidRPr="00E5766E">
        <w:rPr>
          <w:b w:val="0"/>
          <w:sz w:val="24"/>
          <w:szCs w:val="24"/>
        </w:rPr>
        <w:t>города Ханты-Мансийска на 2016-2020 годы»</w:t>
      </w:r>
    </w:p>
    <w:p w:rsidR="007D548C" w:rsidRDefault="007D548C" w:rsidP="007D548C">
      <w:pPr>
        <w:pStyle w:val="ConsPlusTitle"/>
        <w:widowControl/>
        <w:jc w:val="center"/>
        <w:rPr>
          <w:b w:val="0"/>
        </w:rPr>
      </w:pPr>
    </w:p>
    <w:p w:rsidR="007D548C" w:rsidRPr="00423DED" w:rsidRDefault="007D548C" w:rsidP="007D548C">
      <w:pPr>
        <w:pStyle w:val="ConsPlusTitle"/>
        <w:widowControl/>
        <w:jc w:val="center"/>
        <w:rPr>
          <w:b w:val="0"/>
        </w:rPr>
      </w:pPr>
      <w:r w:rsidRPr="00423DED">
        <w:rPr>
          <w:b w:val="0"/>
        </w:rPr>
        <w:t>Система показателей, характеризующих результаты реализации</w:t>
      </w:r>
    </w:p>
    <w:p w:rsidR="007D548C" w:rsidRPr="00423DED" w:rsidRDefault="007D548C" w:rsidP="007D548C">
      <w:pPr>
        <w:pStyle w:val="ConsPlusTitle"/>
        <w:widowControl/>
        <w:jc w:val="center"/>
        <w:rPr>
          <w:b w:val="0"/>
        </w:rPr>
      </w:pPr>
      <w:r w:rsidRPr="00423DED">
        <w:rPr>
          <w:b w:val="0"/>
        </w:rPr>
        <w:t>муниципальной программы</w:t>
      </w:r>
    </w:p>
    <w:p w:rsidR="007D548C" w:rsidRPr="00423DED" w:rsidRDefault="007D548C" w:rsidP="007D54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48C" w:rsidRPr="00423DED" w:rsidRDefault="007D548C" w:rsidP="007D54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3DED">
        <w:rPr>
          <w:sz w:val="28"/>
          <w:szCs w:val="28"/>
        </w:rPr>
        <w:t>Наименование программы и срок ее реализации: «Управление муниципальными финансам</w:t>
      </w:r>
      <w:r>
        <w:rPr>
          <w:sz w:val="28"/>
          <w:szCs w:val="28"/>
        </w:rPr>
        <w:t>и города Ханты-Мансийска на 2016</w:t>
      </w:r>
      <w:r w:rsidRPr="00423DED">
        <w:rPr>
          <w:sz w:val="28"/>
          <w:szCs w:val="28"/>
        </w:rPr>
        <w:t>-2020 годы».</w:t>
      </w:r>
    </w:p>
    <w:p w:rsidR="007D548C" w:rsidRPr="00423DED" w:rsidRDefault="007D548C" w:rsidP="007D54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</w:t>
      </w:r>
      <w:r w:rsidRPr="00423DED">
        <w:rPr>
          <w:sz w:val="28"/>
          <w:szCs w:val="28"/>
        </w:rPr>
        <w:t>-2020 годы.</w:t>
      </w:r>
    </w:p>
    <w:p w:rsidR="007D548C" w:rsidRPr="00423DED" w:rsidRDefault="007D548C" w:rsidP="007D54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3DED">
        <w:rPr>
          <w:sz w:val="28"/>
          <w:szCs w:val="28"/>
        </w:rPr>
        <w:t>Координатор программы: Департамент управления финансами Администрации города Ханты-Мансийска.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71"/>
        <w:gridCol w:w="1178"/>
        <w:gridCol w:w="1478"/>
        <w:gridCol w:w="1121"/>
        <w:gridCol w:w="1133"/>
        <w:gridCol w:w="1136"/>
        <w:gridCol w:w="1133"/>
        <w:gridCol w:w="1032"/>
        <w:gridCol w:w="1508"/>
      </w:tblGrid>
      <w:tr w:rsidR="007D548C" w:rsidRPr="00554D63" w:rsidTr="00EF11E9">
        <w:trPr>
          <w:trHeight w:val="580"/>
        </w:trPr>
        <w:tc>
          <w:tcPr>
            <w:tcW w:w="234" w:type="pct"/>
            <w:vMerge w:val="restart"/>
            <w:shd w:val="clear" w:color="auto" w:fill="auto"/>
            <w:vAlign w:val="center"/>
          </w:tcPr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 xml:space="preserve">№ </w:t>
            </w:r>
            <w:r w:rsidRPr="00423DED">
              <w:rPr>
                <w:bCs/>
              </w:rPr>
              <w:br/>
            </w:r>
            <w:proofErr w:type="gramStart"/>
            <w:r w:rsidRPr="00423DED">
              <w:rPr>
                <w:bCs/>
              </w:rPr>
              <w:t>п</w:t>
            </w:r>
            <w:proofErr w:type="gramEnd"/>
            <w:r w:rsidRPr="00423DED">
              <w:rPr>
                <w:bCs/>
              </w:rPr>
              <w:t>/п</w:t>
            </w:r>
          </w:p>
        </w:tc>
        <w:tc>
          <w:tcPr>
            <w:tcW w:w="1524" w:type="pct"/>
            <w:vMerge w:val="restart"/>
            <w:shd w:val="clear" w:color="auto" w:fill="auto"/>
            <w:vAlign w:val="center"/>
          </w:tcPr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 xml:space="preserve">Наименование показателей 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результатов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 xml:space="preserve">Единица </w:t>
            </w:r>
            <w:proofErr w:type="spellStart"/>
            <w:proofErr w:type="gramStart"/>
            <w:r w:rsidRPr="00423DED">
              <w:rPr>
                <w:bCs/>
              </w:rPr>
              <w:t>изме</w:t>
            </w:r>
            <w:proofErr w:type="spellEnd"/>
            <w:r w:rsidRPr="00423DED">
              <w:rPr>
                <w:bCs/>
              </w:rPr>
              <w:t xml:space="preserve"> рения</w:t>
            </w:r>
            <w:proofErr w:type="gramEnd"/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Базовый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показатель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на начало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реализации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программы</w:t>
            </w:r>
          </w:p>
        </w:tc>
        <w:tc>
          <w:tcPr>
            <w:tcW w:w="1853" w:type="pct"/>
            <w:gridSpan w:val="5"/>
            <w:shd w:val="clear" w:color="auto" w:fill="auto"/>
            <w:vAlign w:val="center"/>
          </w:tcPr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 xml:space="preserve">Значения показателя по годам 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Целевое значение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показателя на момент окончания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действия</w:t>
            </w:r>
          </w:p>
          <w:p w:rsidR="007D548C" w:rsidRPr="00423DED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23DED">
              <w:rPr>
                <w:bCs/>
              </w:rPr>
              <w:t>программы</w:t>
            </w:r>
          </w:p>
        </w:tc>
      </w:tr>
      <w:tr w:rsidR="007D548C" w:rsidRPr="00554D63" w:rsidTr="00EF11E9">
        <w:tc>
          <w:tcPr>
            <w:tcW w:w="234" w:type="pct"/>
            <w:vMerge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24" w:type="pct"/>
            <w:vMerge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93" w:type="pct"/>
            <w:vMerge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2016 </w:t>
            </w:r>
            <w:r w:rsidRPr="00554D63">
              <w:rPr>
                <w:bCs/>
              </w:rPr>
              <w:t>г.</w:t>
            </w:r>
          </w:p>
        </w:tc>
        <w:tc>
          <w:tcPr>
            <w:tcW w:w="378" w:type="pct"/>
          </w:tcPr>
          <w:p w:rsidR="007D548C" w:rsidRDefault="007D548C" w:rsidP="00EF11E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2017 </w:t>
            </w:r>
            <w:r w:rsidRPr="00554D63">
              <w:rPr>
                <w:bCs/>
              </w:rPr>
              <w:t>г.</w:t>
            </w:r>
          </w:p>
        </w:tc>
        <w:tc>
          <w:tcPr>
            <w:tcW w:w="379" w:type="pct"/>
          </w:tcPr>
          <w:p w:rsidR="007D548C" w:rsidRDefault="007D548C" w:rsidP="00EF11E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2018 </w:t>
            </w:r>
            <w:r w:rsidRPr="00554D63">
              <w:rPr>
                <w:bCs/>
              </w:rPr>
              <w:t>г.</w:t>
            </w:r>
          </w:p>
        </w:tc>
        <w:tc>
          <w:tcPr>
            <w:tcW w:w="378" w:type="pct"/>
          </w:tcPr>
          <w:p w:rsidR="007D548C" w:rsidRDefault="007D548C" w:rsidP="00EF11E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2019 </w:t>
            </w:r>
            <w:r w:rsidRPr="00554D63">
              <w:rPr>
                <w:bCs/>
              </w:rPr>
              <w:t>г.</w:t>
            </w:r>
          </w:p>
        </w:tc>
        <w:tc>
          <w:tcPr>
            <w:tcW w:w="344" w:type="pct"/>
          </w:tcPr>
          <w:p w:rsidR="007D548C" w:rsidRDefault="007D548C" w:rsidP="00EF11E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2020 </w:t>
            </w:r>
            <w:r w:rsidRPr="00554D63">
              <w:rPr>
                <w:bCs/>
              </w:rPr>
              <w:t>г.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7D548C" w:rsidRPr="00554D63" w:rsidTr="00EF11E9">
        <w:tc>
          <w:tcPr>
            <w:tcW w:w="234" w:type="pct"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D63">
              <w:rPr>
                <w:bCs/>
              </w:rPr>
              <w:t>1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D63">
              <w:rPr>
                <w:bCs/>
              </w:rPr>
              <w:t>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D63">
              <w:rPr>
                <w:bCs/>
              </w:rPr>
              <w:t>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4D63">
              <w:rPr>
                <w:bCs/>
              </w:rPr>
              <w:t>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8" w:type="pct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9" w:type="pct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78" w:type="pct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44" w:type="pct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54D6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1.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Доля расходов на оказание муниципальных услуг (работ), оказываемых (выполняемых) в соответствии с муниципальным заданием, в общем объеме бюджета города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35%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40%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40%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40%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40%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40%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40%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 w:rsidRPr="00554D63">
              <w:t>2.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Отсутствие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3.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 xml:space="preserve">Своевременное проведение мониторинга качества финансового менеджмента, </w:t>
            </w:r>
            <w:r>
              <w:lastRenderedPageBreak/>
              <w:t>осуществляемого главными распорядителями средств бюджета города, и размещение результатов данного мониторинга на Официальном информационном портале органов местного самоуправления города Ханты-Мансийска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lastRenderedPageBreak/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lastRenderedPageBreak/>
              <w:t>4.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Доля главных распорядителей средств бюджета города Ханты-Мансийска, предоставивших отчетность в сроки, установленные Департаментом управления финансами Администрации города Ханты-Мансийска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5.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Увеличение доли принятых на текущий финансовый год бюджетных обязательств в общем объеме расходов бюджета города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94%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94%</w:t>
            </w:r>
          </w:p>
        </w:tc>
        <w:tc>
          <w:tcPr>
            <w:tcW w:w="378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379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378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344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6.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Увеличение доли расходов бюджета города, сформированных в рамках муниципальных программ, в общем объеме расходов бюджета города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Pr="004D3133">
              <w:rPr>
                <w:bCs/>
              </w:rPr>
              <w:t>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</w:t>
            </w:r>
            <w:r w:rsidRPr="004D3133">
              <w:rPr>
                <w:bCs/>
              </w:rPr>
              <w:t>%</w:t>
            </w:r>
          </w:p>
        </w:tc>
        <w:tc>
          <w:tcPr>
            <w:tcW w:w="378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379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378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344" w:type="pct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4D3133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D3133">
              <w:rPr>
                <w:bCs/>
              </w:rPr>
              <w:t>95%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t>7.</w:t>
            </w:r>
          </w:p>
        </w:tc>
        <w:tc>
          <w:tcPr>
            <w:tcW w:w="152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</w:pPr>
            <w:r>
              <w:t>Доля муниципальных учреждений, выполнивших в полном объеме муниципальные задания, в общем количестве муниципальных учреждений города Ханты-Мансийска, которым утверждены муниципальные задания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t>8.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Доля разработанных муниципальных правовых актов от общего количества муниципальных правовых актов, подлежащих разработке финансовым органом муниципального образования в соответствии с требованиями, установленными бюджетным законодательством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t>9.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 xml:space="preserve">Степень </w:t>
            </w:r>
            <w:proofErr w:type="gramStart"/>
            <w:r>
              <w:t>соответствия содержания проекта решения Думы</w:t>
            </w:r>
            <w:proofErr w:type="gramEnd"/>
            <w:r>
              <w:t xml:space="preserve"> города о бюджете </w:t>
            </w:r>
            <w:r>
              <w:lastRenderedPageBreak/>
              <w:t>города и состава документов и материалов, предоставляемых одновременно с ним, требованиям, установленным бюджетным законодательством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lastRenderedPageBreak/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lastRenderedPageBreak/>
              <w:t>10.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Степень соответствия состава годового отчета об исполнении бюджета города и документов, предоставляемых одновременно с ним, требованиям, установленным бюджетным законодательством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t>11.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Соблюдение срока представления годовой бюджетной отчетности в Департамент финансов Ханты-Мансийского автономного округа-Югры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12.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Размещение на Официальном информационном портале органов местного самоуправления города Ханты-Мансийска информации о результатах проведения публичных слушаний по проекту бюджета и отчету о его исполнении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13.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Открытость показателей бюджета города на стадиях рассмотрения, утверждения и исполнения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14.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Обеспеченность программно-техническими средствами специалистов Департамента управления финансами Администрации города Ханты-Мансийска в объеме, достаточном для исполнения должностных обязанностей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  <w:jc w:val="center"/>
            </w:pPr>
            <w:r>
              <w:t>15.</w:t>
            </w:r>
          </w:p>
        </w:tc>
        <w:tc>
          <w:tcPr>
            <w:tcW w:w="1524" w:type="pct"/>
            <w:shd w:val="clear" w:color="auto" w:fill="auto"/>
          </w:tcPr>
          <w:p w:rsidR="007D548C" w:rsidRPr="00554D63" w:rsidRDefault="007D548C" w:rsidP="00EF11E9">
            <w:pPr>
              <w:pStyle w:val="ConsPlusCell"/>
              <w:widowControl/>
            </w:pPr>
            <w:r>
              <w:t>Отсутствие просроченной задолженности по долговым обязательствам муниципального образования в структуре расходов бюджета муниципального образования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lastRenderedPageBreak/>
              <w:t>16.</w:t>
            </w:r>
          </w:p>
        </w:tc>
        <w:tc>
          <w:tcPr>
            <w:tcW w:w="1524" w:type="pct"/>
            <w:shd w:val="clear" w:color="auto" w:fill="auto"/>
          </w:tcPr>
          <w:p w:rsidR="007D548C" w:rsidRPr="00F8305B" w:rsidRDefault="007D548C" w:rsidP="00EF11E9">
            <w:pPr>
              <w:pStyle w:val="ConsPlusCell"/>
              <w:widowControl/>
            </w:pPr>
            <w:r>
              <w:t xml:space="preserve">Соблюдение ограничений по </w:t>
            </w:r>
            <w:r w:rsidRPr="00F8305B">
              <w:t>дефицит</w:t>
            </w:r>
            <w:r>
              <w:t>у</w:t>
            </w:r>
            <w:r w:rsidRPr="00F8305B">
              <w:t xml:space="preserve"> бюджета и предельн</w:t>
            </w:r>
            <w:r>
              <w:t>ому</w:t>
            </w:r>
            <w:r w:rsidRPr="00F8305B">
              <w:t xml:space="preserve"> объем</w:t>
            </w:r>
            <w:r>
              <w:t>у</w:t>
            </w:r>
            <w:r w:rsidRPr="00F8305B">
              <w:t xml:space="preserve"> муниципального долга, </w:t>
            </w:r>
            <w:proofErr w:type="gramStart"/>
            <w:r w:rsidRPr="00F8305B">
              <w:t>установленный</w:t>
            </w:r>
            <w:proofErr w:type="gramEnd"/>
            <w:r w:rsidRPr="00F8305B">
              <w:t xml:space="preserve"> бюджетным законодательством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t>17.</w:t>
            </w:r>
          </w:p>
        </w:tc>
        <w:tc>
          <w:tcPr>
            <w:tcW w:w="152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</w:pPr>
            <w:r>
              <w:t>Доля расходов бюджета города на обслуживание муниципального долга в общем объеме расходов бюджета без учета расходов, осуществляемых за счет целевых межбюджетных трансфертов из вышестоящего бюджета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4F14"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</w:t>
            </w:r>
            <w:r w:rsidRPr="005E4F14">
              <w:rPr>
                <w:bCs/>
              </w:rPr>
              <w:t>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</w:t>
            </w:r>
            <w:r w:rsidRPr="005E4F14">
              <w:rPr>
                <w:bCs/>
              </w:rPr>
              <w:t>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0,3</w:t>
            </w:r>
            <w:r w:rsidRPr="005E4F14">
              <w:rPr>
                <w:bCs/>
              </w:rPr>
              <w:t>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E4F14">
              <w:rPr>
                <w:bCs/>
              </w:rPr>
              <w:t>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E4F14">
              <w:rPr>
                <w:bCs/>
              </w:rPr>
              <w:t>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E4F14">
              <w:rPr>
                <w:bCs/>
              </w:rPr>
              <w:t>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E4F14">
              <w:rPr>
                <w:bCs/>
              </w:rPr>
              <w:t>%</w:t>
            </w:r>
          </w:p>
        </w:tc>
      </w:tr>
      <w:tr w:rsidR="007D548C" w:rsidRPr="00554D63" w:rsidTr="00EF11E9">
        <w:tc>
          <w:tcPr>
            <w:tcW w:w="23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  <w:jc w:val="center"/>
            </w:pPr>
            <w:r>
              <w:t>18.</w:t>
            </w:r>
          </w:p>
        </w:tc>
        <w:tc>
          <w:tcPr>
            <w:tcW w:w="1524" w:type="pct"/>
            <w:shd w:val="clear" w:color="auto" w:fill="auto"/>
          </w:tcPr>
          <w:p w:rsidR="007D548C" w:rsidRDefault="007D548C" w:rsidP="00EF11E9">
            <w:pPr>
              <w:pStyle w:val="ConsPlusCell"/>
              <w:widowControl/>
            </w:pPr>
            <w:r>
              <w:t>Соблюдение  ограничений по предельному размеру резервного фонда, установленного Бюджетным кодексом Российской Федерации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9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78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344" w:type="pct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D548C" w:rsidRPr="005E4F14" w:rsidRDefault="007D548C" w:rsidP="00EF11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5E4F14">
              <w:rPr>
                <w:bCs/>
              </w:rPr>
              <w:t>0%</w:t>
            </w:r>
          </w:p>
        </w:tc>
      </w:tr>
    </w:tbl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pStyle w:val="ConsPlusTitle"/>
        <w:widowControl/>
        <w:jc w:val="right"/>
        <w:rPr>
          <w:b w:val="0"/>
        </w:rPr>
      </w:pPr>
    </w:p>
    <w:p w:rsidR="007D548C" w:rsidRDefault="007D548C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D548C" w:rsidRDefault="007D548C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D548C" w:rsidRDefault="007D548C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D548C" w:rsidRDefault="007D548C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C2105" w:rsidRDefault="00DC2105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C2105" w:rsidRDefault="00DC2105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C2105" w:rsidRDefault="00DC2105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C2105" w:rsidRDefault="00DC2105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C2105" w:rsidRDefault="00DC2105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DC2105" w:rsidRDefault="00DC2105" w:rsidP="007D548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1512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2835"/>
        <w:gridCol w:w="1843"/>
        <w:gridCol w:w="1701"/>
        <w:gridCol w:w="1134"/>
        <w:gridCol w:w="1142"/>
        <w:gridCol w:w="53"/>
        <w:gridCol w:w="1107"/>
        <w:gridCol w:w="85"/>
        <w:gridCol w:w="1165"/>
        <w:gridCol w:w="1160"/>
        <w:gridCol w:w="1160"/>
        <w:gridCol w:w="1160"/>
      </w:tblGrid>
      <w:tr w:rsidR="007D548C" w:rsidRPr="00864076" w:rsidTr="00EF11E9">
        <w:trPr>
          <w:trHeight w:val="345"/>
        </w:trPr>
        <w:tc>
          <w:tcPr>
            <w:tcW w:w="15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Default="007D548C" w:rsidP="00EF11E9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</w:p>
          <w:p w:rsidR="007D548C" w:rsidRPr="00E5766E" w:rsidRDefault="007D548C" w:rsidP="00EF11E9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Приложение 2</w:t>
            </w:r>
            <w:r w:rsidRPr="00E5766E">
              <w:rPr>
                <w:b w:val="0"/>
                <w:sz w:val="24"/>
                <w:szCs w:val="24"/>
              </w:rPr>
              <w:t xml:space="preserve"> </w:t>
            </w:r>
          </w:p>
          <w:p w:rsidR="007D548C" w:rsidRPr="00E5766E" w:rsidRDefault="007D548C" w:rsidP="00EF11E9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  <w:r w:rsidRPr="00E5766E">
              <w:rPr>
                <w:b w:val="0"/>
                <w:sz w:val="24"/>
                <w:szCs w:val="24"/>
              </w:rPr>
              <w:t xml:space="preserve">к </w:t>
            </w:r>
            <w:r w:rsidR="00BF7B52">
              <w:rPr>
                <w:b w:val="0"/>
                <w:sz w:val="24"/>
                <w:szCs w:val="24"/>
              </w:rPr>
              <w:t>проекту муниципальной программы</w:t>
            </w:r>
          </w:p>
          <w:p w:rsidR="007D548C" w:rsidRPr="00E5766E" w:rsidRDefault="007D548C" w:rsidP="00EF11E9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  <w:r w:rsidRPr="00E5766E">
              <w:rPr>
                <w:b w:val="0"/>
                <w:sz w:val="24"/>
                <w:szCs w:val="24"/>
              </w:rPr>
              <w:t xml:space="preserve">«Управление муниципальными финансами </w:t>
            </w:r>
          </w:p>
          <w:p w:rsidR="007D548C" w:rsidRPr="00E5766E" w:rsidRDefault="007D548C" w:rsidP="00EF11E9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  <w:r w:rsidRPr="00E5766E">
              <w:rPr>
                <w:b w:val="0"/>
                <w:sz w:val="24"/>
                <w:szCs w:val="24"/>
              </w:rPr>
              <w:t>города Ханты-Мансийска на 2016-2020 годы»</w:t>
            </w:r>
          </w:p>
          <w:p w:rsidR="007D548C" w:rsidRPr="0008713C" w:rsidRDefault="007D548C" w:rsidP="00EF11E9">
            <w:pPr>
              <w:jc w:val="center"/>
              <w:rPr>
                <w:color w:val="000000"/>
                <w:sz w:val="28"/>
                <w:szCs w:val="28"/>
              </w:rPr>
            </w:pPr>
            <w:r w:rsidRPr="0008713C">
              <w:rPr>
                <w:color w:val="000000"/>
                <w:sz w:val="28"/>
                <w:szCs w:val="28"/>
              </w:rPr>
              <w:t>Перечень  основных мероприятий</w:t>
            </w:r>
          </w:p>
        </w:tc>
      </w:tr>
      <w:tr w:rsidR="007D548C" w:rsidRPr="00864076" w:rsidTr="00EF11E9">
        <w:trPr>
          <w:trHeight w:val="338"/>
        </w:trPr>
        <w:tc>
          <w:tcPr>
            <w:tcW w:w="15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8"/>
                <w:szCs w:val="28"/>
              </w:rPr>
            </w:pPr>
            <w:r w:rsidRPr="0008713C">
              <w:rPr>
                <w:color w:val="000000"/>
                <w:sz w:val="28"/>
                <w:szCs w:val="28"/>
              </w:rPr>
              <w:lastRenderedPageBreak/>
              <w:t>муниципальной программы "Управление муниципальными финансами города Ханты-Мансийска на 2016-2020 годы"</w:t>
            </w:r>
          </w:p>
        </w:tc>
      </w:tr>
      <w:tr w:rsidR="007D548C" w:rsidRPr="00864076" w:rsidTr="00EF11E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</w:tr>
      <w:tr w:rsidR="007D548C" w:rsidRPr="00864076" w:rsidTr="00EF11E9">
        <w:trPr>
          <w:trHeight w:val="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</w:tr>
      <w:tr w:rsidR="007D548C" w:rsidRPr="00864076" w:rsidTr="00EF11E9">
        <w:trPr>
          <w:trHeight w:val="27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 xml:space="preserve">№ </w:t>
            </w:r>
            <w:proofErr w:type="gramStart"/>
            <w:r w:rsidRPr="00B052EA">
              <w:rPr>
                <w:color w:val="000000"/>
              </w:rPr>
              <w:t>п</w:t>
            </w:r>
            <w:proofErr w:type="gramEnd"/>
            <w:r w:rsidRPr="00B052EA">
              <w:rPr>
                <w:color w:val="00000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Основные м</w:t>
            </w:r>
            <w:r w:rsidRPr="00B052EA">
              <w:rPr>
                <w:color w:val="000000"/>
              </w:rPr>
              <w:t>ероприятия программы</w:t>
            </w:r>
            <w:r>
              <w:rPr>
                <w:color w:val="000000"/>
              </w:rPr>
              <w:t xml:space="preserve"> (связь мероприятий с показателями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Исполнители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052EA">
              <w:rPr>
                <w:color w:val="000000"/>
              </w:rPr>
              <w:t>Источ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052EA">
              <w:rPr>
                <w:color w:val="000000"/>
              </w:rPr>
              <w:t>ники</w:t>
            </w:r>
            <w:proofErr w:type="spellEnd"/>
            <w:proofErr w:type="gramEnd"/>
            <w:r w:rsidRPr="00B052EA">
              <w:rPr>
                <w:color w:val="000000"/>
              </w:rPr>
              <w:t xml:space="preserve"> </w:t>
            </w:r>
            <w:proofErr w:type="spellStart"/>
            <w:r w:rsidRPr="00B052EA">
              <w:rPr>
                <w:color w:val="000000"/>
              </w:rPr>
              <w:t>финан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</w:t>
            </w:r>
            <w:r w:rsidRPr="00B052EA">
              <w:rPr>
                <w:color w:val="000000"/>
              </w:rPr>
              <w:t>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052EA">
              <w:rPr>
                <w:color w:val="000000"/>
              </w:rPr>
              <w:t>ния</w:t>
            </w:r>
            <w:proofErr w:type="spellEnd"/>
          </w:p>
        </w:tc>
        <w:tc>
          <w:tcPr>
            <w:tcW w:w="7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Финансовые затраты на реализацию (рублей)</w:t>
            </w:r>
          </w:p>
        </w:tc>
      </w:tr>
      <w:tr w:rsidR="007D548C" w:rsidRPr="00864076" w:rsidTr="00EF11E9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Всего</w:t>
            </w:r>
          </w:p>
        </w:tc>
        <w:tc>
          <w:tcPr>
            <w:tcW w:w="58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 </w:t>
            </w:r>
          </w:p>
        </w:tc>
      </w:tr>
      <w:tr w:rsidR="007D548C" w:rsidRPr="00864076" w:rsidTr="00EF11E9">
        <w:trPr>
          <w:trHeight w:val="82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2016 г.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2017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2018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2019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2020 г.</w:t>
            </w:r>
          </w:p>
        </w:tc>
      </w:tr>
      <w:tr w:rsidR="007D548C" w:rsidRPr="00864076" w:rsidTr="00EF11E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13</w:t>
            </w:r>
          </w:p>
        </w:tc>
      </w:tr>
      <w:tr w:rsidR="007D548C" w:rsidRPr="00864076" w:rsidTr="00BF7B52">
        <w:trPr>
          <w:trHeight w:val="41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  <w:r w:rsidRPr="00B052EA">
              <w:rPr>
                <w:color w:val="000000"/>
              </w:rPr>
              <w:t>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r>
              <w:rPr>
                <w:color w:val="000000"/>
              </w:rPr>
              <w:t xml:space="preserve"> (показатели № 1-11 Приложения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бюджет города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301261740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58130370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58130370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61667000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61667000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61667000</w:t>
            </w:r>
          </w:p>
        </w:tc>
      </w:tr>
      <w:tr w:rsidR="007D548C" w:rsidRPr="00864076" w:rsidTr="00EF11E9">
        <w:trPr>
          <w:trHeight w:val="3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lastRenderedPageBreak/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  <w:r w:rsidRPr="00B052EA">
              <w:rPr>
                <w:color w:val="000000"/>
              </w:rPr>
              <w:t>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r>
              <w:rPr>
                <w:color w:val="000000"/>
              </w:rPr>
              <w:t xml:space="preserve"> (показатели № 12-14 Приложения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Администрация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B052EA">
              <w:rPr>
                <w:color w:val="000000"/>
              </w:rPr>
              <w:t>Муниципаль</w:t>
            </w:r>
            <w:proofErr w:type="spellEnd"/>
            <w:r w:rsidRPr="00B052EA">
              <w:rPr>
                <w:color w:val="000000"/>
              </w:rPr>
              <w:t xml:space="preserve">   </w:t>
            </w:r>
            <w:proofErr w:type="spellStart"/>
            <w:r w:rsidRPr="00B052EA">
              <w:rPr>
                <w:color w:val="000000"/>
              </w:rPr>
              <w:t>ное</w:t>
            </w:r>
            <w:proofErr w:type="spellEnd"/>
            <w:proofErr w:type="gramEnd"/>
            <w:r w:rsidRPr="00B052EA">
              <w:rPr>
                <w:color w:val="000000"/>
              </w:rPr>
              <w:t xml:space="preserve"> казенное учреждение "Управление логистики"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бюджет города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18733000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3500000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3500000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3911000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3911000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3911000</w:t>
            </w:r>
          </w:p>
        </w:tc>
      </w:tr>
      <w:tr w:rsidR="007D548C" w:rsidRPr="00864076" w:rsidTr="00EF11E9">
        <w:trPr>
          <w:trHeight w:val="229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  <w:r w:rsidRPr="00B052EA">
              <w:rPr>
                <w:color w:val="000000"/>
              </w:rPr>
              <w:t>Проведение взвешенной</w:t>
            </w:r>
            <w:r w:rsidR="00EF6080">
              <w:rPr>
                <w:color w:val="000000"/>
              </w:rPr>
              <w:t xml:space="preserve"> долговой политики, надлежащее </w:t>
            </w:r>
            <w:bookmarkStart w:id="6" w:name="_GoBack"/>
            <w:bookmarkEnd w:id="6"/>
            <w:r w:rsidRPr="00B052EA">
              <w:rPr>
                <w:color w:val="000000"/>
              </w:rPr>
              <w:t>исполнение обязательств по муниципальным заимствованиям</w:t>
            </w:r>
            <w:r>
              <w:rPr>
                <w:color w:val="000000"/>
              </w:rPr>
              <w:t xml:space="preserve"> (показатели № 15-17 Приложения 1)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бюджет города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20000000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17000000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*</w:t>
            </w:r>
          </w:p>
        </w:tc>
      </w:tr>
      <w:tr w:rsidR="007D548C" w:rsidRPr="00864076" w:rsidTr="00EF11E9">
        <w:trPr>
          <w:trHeight w:val="26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  <w:r w:rsidRPr="00B052EA">
              <w:rPr>
                <w:color w:val="000000"/>
              </w:rPr>
              <w:t>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r>
              <w:rPr>
                <w:color w:val="000000"/>
              </w:rPr>
              <w:t xml:space="preserve"> (показатель № 18 Приложения 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48C" w:rsidRPr="00B052EA" w:rsidRDefault="007D548C" w:rsidP="00EF11E9">
            <w:pPr>
              <w:jc w:val="center"/>
              <w:rPr>
                <w:color w:val="000000"/>
              </w:rPr>
            </w:pPr>
            <w:r w:rsidRPr="00B052EA">
              <w:rPr>
                <w:color w:val="000000"/>
              </w:rPr>
              <w:t>бюджет города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A7FE3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2</w:t>
            </w:r>
            <w:r w:rsidR="009F1CE0">
              <w:rPr>
                <w:color w:val="000000"/>
                <w:sz w:val="20"/>
                <w:szCs w:val="20"/>
              </w:rPr>
              <w:t>34616676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9F1CE0" w:rsidP="00EF11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34616676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50000000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50000000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50000000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50000000</w:t>
            </w:r>
          </w:p>
        </w:tc>
      </w:tr>
      <w:tr w:rsidR="007D548C" w:rsidRPr="00864076" w:rsidTr="00EF11E9">
        <w:trPr>
          <w:trHeight w:val="300"/>
        </w:trPr>
        <w:tc>
          <w:tcPr>
            <w:tcW w:w="3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right"/>
              <w:rPr>
                <w:color w:val="000000"/>
              </w:rPr>
            </w:pPr>
            <w:r w:rsidRPr="00B052EA">
              <w:rPr>
                <w:color w:val="000000"/>
              </w:rPr>
              <w:t>Всего по программе: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right"/>
              <w:rPr>
                <w:color w:val="000000"/>
              </w:rPr>
            </w:pPr>
            <w:r w:rsidRPr="00B052E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right"/>
              <w:rPr>
                <w:color w:val="000000"/>
              </w:rPr>
            </w:pPr>
            <w:r w:rsidRPr="00B052E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  <w:r w:rsidRPr="00B052EA">
              <w:rPr>
                <w:color w:val="000000"/>
              </w:rPr>
              <w:t>всего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A7FE3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5</w:t>
            </w:r>
            <w:r w:rsidR="00EF6080">
              <w:rPr>
                <w:color w:val="000000"/>
                <w:sz w:val="20"/>
                <w:szCs w:val="20"/>
              </w:rPr>
              <w:t>74611416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EF6080" w:rsidP="00EF11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113247046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114630370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115578000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115578000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115578000</w:t>
            </w:r>
          </w:p>
        </w:tc>
      </w:tr>
      <w:tr w:rsidR="007D548C" w:rsidRPr="00864076" w:rsidTr="00EF11E9">
        <w:trPr>
          <w:trHeight w:val="301"/>
        </w:trPr>
        <w:tc>
          <w:tcPr>
            <w:tcW w:w="3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right"/>
              <w:rPr>
                <w:color w:val="000000"/>
              </w:rPr>
            </w:pPr>
            <w:r w:rsidRPr="00B052E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48C" w:rsidRPr="00B052EA" w:rsidRDefault="007D548C" w:rsidP="00EF11E9">
            <w:pPr>
              <w:jc w:val="right"/>
              <w:rPr>
                <w:color w:val="000000"/>
              </w:rPr>
            </w:pPr>
            <w:r w:rsidRPr="00B052E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548C" w:rsidRPr="00B052EA" w:rsidRDefault="007D548C" w:rsidP="00EF11E9">
            <w:pPr>
              <w:rPr>
                <w:color w:val="000000"/>
              </w:rPr>
            </w:pPr>
            <w:r w:rsidRPr="00B052EA">
              <w:rPr>
                <w:color w:val="000000"/>
              </w:rPr>
              <w:t xml:space="preserve">бюджет </w:t>
            </w:r>
            <w:r w:rsidRPr="00B052EA">
              <w:rPr>
                <w:color w:val="000000"/>
              </w:rPr>
              <w:br/>
              <w:t>города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EF6080" w:rsidP="00EA7F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574611416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EF6080" w:rsidP="00EF11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113247046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114630370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115578000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115578000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48C" w:rsidRPr="0008713C" w:rsidRDefault="007D548C" w:rsidP="00EF11E9">
            <w:pPr>
              <w:jc w:val="center"/>
              <w:rPr>
                <w:color w:val="000000"/>
                <w:sz w:val="20"/>
                <w:szCs w:val="20"/>
              </w:rPr>
            </w:pPr>
            <w:r w:rsidRPr="0008713C">
              <w:rPr>
                <w:color w:val="000000"/>
                <w:sz w:val="20"/>
                <w:szCs w:val="20"/>
              </w:rPr>
              <w:t>115578000</w:t>
            </w:r>
          </w:p>
        </w:tc>
      </w:tr>
      <w:tr w:rsidR="007D548C" w:rsidRPr="00864076" w:rsidTr="00EF11E9">
        <w:trPr>
          <w:trHeight w:val="300"/>
        </w:trPr>
        <w:tc>
          <w:tcPr>
            <w:tcW w:w="5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  <w:r w:rsidRPr="00864076">
              <w:rPr>
                <w:color w:val="000000"/>
              </w:rPr>
              <w:t>* - мероприятие не требует финансирования</w:t>
            </w:r>
            <w:r>
              <w:rPr>
                <w:color w:val="000000"/>
              </w:rPr>
              <w:t>»</w:t>
            </w:r>
            <w:r w:rsidR="00DC2105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48C" w:rsidRPr="00864076" w:rsidRDefault="007D548C" w:rsidP="00EF11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7D548C" w:rsidRDefault="007D548C" w:rsidP="007D548C">
      <w:pPr>
        <w:pStyle w:val="ConsPlusTitle"/>
        <w:widowControl/>
        <w:tabs>
          <w:tab w:val="left" w:pos="0"/>
        </w:tabs>
        <w:jc w:val="both"/>
        <w:rPr>
          <w:b w:val="0"/>
        </w:rPr>
        <w:sectPr w:rsidR="007D548C" w:rsidSect="003E3B28">
          <w:pgSz w:w="16838" w:h="11906" w:orient="landscape"/>
          <w:pgMar w:top="1134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7D548C" w:rsidRDefault="007D548C" w:rsidP="007D548C">
      <w:pPr>
        <w:pStyle w:val="ConsPlusTitle"/>
        <w:widowControl/>
        <w:tabs>
          <w:tab w:val="left" w:pos="0"/>
        </w:tabs>
        <w:jc w:val="both"/>
        <w:rPr>
          <w:b w:val="0"/>
        </w:rPr>
      </w:pPr>
    </w:p>
    <w:sectPr w:rsidR="007D548C" w:rsidSect="00CA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BF" w:rsidRDefault="001162BF" w:rsidP="007D548C">
      <w:r>
        <w:separator/>
      </w:r>
    </w:p>
  </w:endnote>
  <w:endnote w:type="continuationSeparator" w:id="0">
    <w:p w:rsidR="001162BF" w:rsidRDefault="001162BF" w:rsidP="007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BF" w:rsidRDefault="001162BF" w:rsidP="007D548C">
      <w:r>
        <w:separator/>
      </w:r>
    </w:p>
  </w:footnote>
  <w:footnote w:type="continuationSeparator" w:id="0">
    <w:p w:rsidR="001162BF" w:rsidRDefault="001162BF" w:rsidP="007D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E0" w:rsidRDefault="009F1C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CE0" w:rsidRDefault="009F1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E0" w:rsidRDefault="009F1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AEE1E1E"/>
    <w:multiLevelType w:val="hybridMultilevel"/>
    <w:tmpl w:val="F72E52B8"/>
    <w:lvl w:ilvl="0" w:tplc="2968FCA6">
      <w:start w:val="2020"/>
      <w:numFmt w:val="decimal"/>
      <w:lvlText w:val="%1"/>
      <w:lvlJc w:val="left"/>
      <w:pPr>
        <w:ind w:left="80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48C"/>
    <w:rsid w:val="00043009"/>
    <w:rsid w:val="001162BF"/>
    <w:rsid w:val="001A3207"/>
    <w:rsid w:val="001C2934"/>
    <w:rsid w:val="002127DF"/>
    <w:rsid w:val="002E1DF7"/>
    <w:rsid w:val="002F32C3"/>
    <w:rsid w:val="003E3B28"/>
    <w:rsid w:val="003F6973"/>
    <w:rsid w:val="00502E56"/>
    <w:rsid w:val="005642DA"/>
    <w:rsid w:val="005F3D7C"/>
    <w:rsid w:val="00612BD0"/>
    <w:rsid w:val="00757935"/>
    <w:rsid w:val="00794D5E"/>
    <w:rsid w:val="007D548C"/>
    <w:rsid w:val="00802C0D"/>
    <w:rsid w:val="009F1CE0"/>
    <w:rsid w:val="00AA09CD"/>
    <w:rsid w:val="00AA2A4C"/>
    <w:rsid w:val="00BE359C"/>
    <w:rsid w:val="00BF7B52"/>
    <w:rsid w:val="00CA71BF"/>
    <w:rsid w:val="00D00268"/>
    <w:rsid w:val="00D563D4"/>
    <w:rsid w:val="00DC2105"/>
    <w:rsid w:val="00DC7ECE"/>
    <w:rsid w:val="00E569C6"/>
    <w:rsid w:val="00E92D76"/>
    <w:rsid w:val="00E956CC"/>
    <w:rsid w:val="00EA7FE3"/>
    <w:rsid w:val="00EF11E9"/>
    <w:rsid w:val="00EF6080"/>
    <w:rsid w:val="00F353DB"/>
    <w:rsid w:val="00F577B2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48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D5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5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548C"/>
  </w:style>
  <w:style w:type="paragraph" w:styleId="a6">
    <w:name w:val="Balloon Text"/>
    <w:basedOn w:val="a"/>
    <w:link w:val="a7"/>
    <w:uiPriority w:val="99"/>
    <w:semiHidden/>
    <w:unhideWhenUsed/>
    <w:rsid w:val="007D54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4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7D548C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7D548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7D54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D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D54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5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7D54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D548C"/>
    <w:pPr>
      <w:ind w:left="720"/>
      <w:contextualSpacing/>
    </w:pPr>
  </w:style>
  <w:style w:type="paragraph" w:customStyle="1" w:styleId="11">
    <w:name w:val="1"/>
    <w:basedOn w:val="a"/>
    <w:rsid w:val="007D548C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unhideWhenUsed/>
    <w:rsid w:val="007D54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D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5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D5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D54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5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5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No Spacing"/>
    <w:link w:val="af1"/>
    <w:qFormat/>
    <w:rsid w:val="007D5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7D548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5BAFEF140A0ACF632BC1A66338E14D46C2ECA88F90B3BD834632033A11DF75987193840899C86A46FFA0DB8P9e5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BAFEF140A0ACF632BC046B25E243DB6B2D9385FB01318F6C372664FEP4eDG" TargetMode="External"/><Relationship Id="rId17" Type="http://schemas.openxmlformats.org/officeDocument/2006/relationships/hyperlink" Target="consultantplus://offline/ref=788E17B56595A141B4C80EE9B97649A1569B67AF8425A4C97B9B13C19863A92991A06F0E6FCCL6B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BAFEF140A0ACF632BC1A66338E14D46C2ECA88FF0C3DD036687D39A944FB5B801667578ED58AA56FFA08PBeA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BAFEF140A0ACF632BC046B25E243DB6B2D9282FB0B318F6C372664FE4DF10CC7593E15CADB89ADP6e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BAFEF140A0ACF632BC1A66338E14D46C2ECA88FF0C3DD036687D39A944FB5B801667578ED58AA56FFA08PBeAG" TargetMode="External"/><Relationship Id="rId10" Type="http://schemas.openxmlformats.org/officeDocument/2006/relationships/hyperlink" Target="consultantplus://offline/ref=B278D1A453629647894AFCC19C006C55A2C99D1BC2F394248640D9DBDEC72E0A8A8AC84C0ED79277E83B64E3r4K9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78D1A453629647894AFCC19C006C55A2C99D1BC2F394248640D9DBDEC72E0A8A8AC84C0ED79277E83B64E3r4K9I" TargetMode="External"/><Relationship Id="rId14" Type="http://schemas.openxmlformats.org/officeDocument/2006/relationships/hyperlink" Target="consultantplus://offline/ref=95BAFEF140A0ACF632BC046B25E243DB6B269483FA0A318F6C372664FEP4e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29</Pages>
  <Words>7945</Words>
  <Characters>45291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53130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Юлия В. Федорова</cp:lastModifiedBy>
  <cp:revision>15</cp:revision>
  <cp:lastPrinted>2015-12-08T10:49:00Z</cp:lastPrinted>
  <dcterms:created xsi:type="dcterms:W3CDTF">2015-11-24T11:57:00Z</dcterms:created>
  <dcterms:modified xsi:type="dcterms:W3CDTF">2015-12-25T10:33:00Z</dcterms:modified>
</cp:coreProperties>
</file>