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2AB" w:rsidRPr="009232AB" w:rsidRDefault="009232AB" w:rsidP="009232AB">
      <w:pPr>
        <w:spacing w:after="0" w:line="240" w:lineRule="auto"/>
        <w:jc w:val="center"/>
        <w:rPr>
          <w:rFonts w:ascii="Times New Roman" w:eastAsia="Calibri" w:hAnsi="Times New Roman" w:cs="Times New Roman"/>
          <w:b/>
          <w:sz w:val="28"/>
          <w:szCs w:val="20"/>
          <w:lang w:eastAsia="ru-RU"/>
        </w:rPr>
      </w:pPr>
      <w:bookmarkStart w:id="0" w:name="_GoBack"/>
      <w:bookmarkEnd w:id="0"/>
      <w:r>
        <w:rPr>
          <w:rFonts w:ascii="Calibri" w:eastAsia="Calibri" w:hAnsi="Calibri" w:cs="Times New Roman"/>
          <w:b/>
          <w:i/>
          <w:noProof/>
          <w:sz w:val="28"/>
          <w:szCs w:val="28"/>
          <w:lang w:eastAsia="ru-RU"/>
        </w:rPr>
        <w:drawing>
          <wp:inline distT="0" distB="0" distL="0" distR="0">
            <wp:extent cx="581025" cy="704850"/>
            <wp:effectExtent l="0" t="0" r="9525" b="0"/>
            <wp:docPr id="53" name="Рисунок 53" descr="Описание: Описание: Описание: Описание: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edi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p w:rsidR="009232AB" w:rsidRPr="009232AB" w:rsidRDefault="009232AB" w:rsidP="009232AB">
      <w:pPr>
        <w:spacing w:after="0" w:line="240" w:lineRule="auto"/>
        <w:jc w:val="center"/>
        <w:rPr>
          <w:rFonts w:ascii="Times New Roman" w:eastAsia="Calibri" w:hAnsi="Times New Roman" w:cs="Times New Roman"/>
          <w:b/>
          <w:sz w:val="28"/>
          <w:szCs w:val="20"/>
          <w:lang w:eastAsia="ru-RU"/>
        </w:rPr>
      </w:pPr>
      <w:r w:rsidRPr="009232AB">
        <w:rPr>
          <w:rFonts w:ascii="Times New Roman" w:eastAsia="Calibri" w:hAnsi="Times New Roman" w:cs="Times New Roman"/>
          <w:b/>
          <w:sz w:val="28"/>
          <w:szCs w:val="20"/>
          <w:lang w:eastAsia="ru-RU"/>
        </w:rPr>
        <w:t>Муниципальное образование</w:t>
      </w:r>
    </w:p>
    <w:p w:rsidR="009232AB" w:rsidRPr="009232AB" w:rsidRDefault="009232AB" w:rsidP="009232AB">
      <w:pPr>
        <w:spacing w:after="0" w:line="240" w:lineRule="auto"/>
        <w:jc w:val="center"/>
        <w:rPr>
          <w:rFonts w:ascii="Times New Roman" w:eastAsia="Calibri" w:hAnsi="Times New Roman" w:cs="Times New Roman"/>
          <w:b/>
          <w:sz w:val="28"/>
          <w:szCs w:val="20"/>
          <w:lang w:eastAsia="ru-RU"/>
        </w:rPr>
      </w:pPr>
      <w:r w:rsidRPr="009232AB">
        <w:rPr>
          <w:rFonts w:ascii="Times New Roman" w:eastAsia="Calibri" w:hAnsi="Times New Roman" w:cs="Times New Roman"/>
          <w:b/>
          <w:sz w:val="28"/>
          <w:szCs w:val="20"/>
          <w:lang w:eastAsia="ru-RU"/>
        </w:rPr>
        <w:t>Ханты-Мансийского автономного округа – Югры</w:t>
      </w:r>
    </w:p>
    <w:p w:rsidR="009232AB" w:rsidRPr="009232AB" w:rsidRDefault="009232AB" w:rsidP="009232AB">
      <w:pPr>
        <w:spacing w:after="0" w:line="240" w:lineRule="auto"/>
        <w:jc w:val="center"/>
        <w:rPr>
          <w:rFonts w:ascii="Times New Roman" w:eastAsia="Calibri" w:hAnsi="Times New Roman" w:cs="Times New Roman"/>
          <w:b/>
          <w:sz w:val="28"/>
          <w:szCs w:val="20"/>
          <w:lang w:eastAsia="ru-RU"/>
        </w:rPr>
      </w:pPr>
      <w:r w:rsidRPr="009232AB">
        <w:rPr>
          <w:rFonts w:ascii="Times New Roman" w:eastAsia="Calibri" w:hAnsi="Times New Roman" w:cs="Times New Roman"/>
          <w:b/>
          <w:sz w:val="28"/>
          <w:szCs w:val="20"/>
          <w:lang w:eastAsia="ru-RU"/>
        </w:rPr>
        <w:t>городской округ город Ханты-Мансийск</w:t>
      </w:r>
    </w:p>
    <w:p w:rsidR="009232AB" w:rsidRPr="009232AB" w:rsidRDefault="009232AB" w:rsidP="009232AB">
      <w:pPr>
        <w:spacing w:after="0" w:line="240" w:lineRule="auto"/>
        <w:jc w:val="center"/>
        <w:rPr>
          <w:rFonts w:ascii="Times New Roman" w:eastAsia="Calibri" w:hAnsi="Times New Roman" w:cs="Times New Roman"/>
          <w:b/>
          <w:sz w:val="28"/>
          <w:szCs w:val="20"/>
          <w:lang w:eastAsia="ru-RU"/>
        </w:rPr>
      </w:pPr>
    </w:p>
    <w:p w:rsidR="009232AB" w:rsidRPr="009232AB" w:rsidRDefault="009232AB" w:rsidP="009232AB">
      <w:pPr>
        <w:spacing w:after="0" w:line="240" w:lineRule="auto"/>
        <w:jc w:val="center"/>
        <w:rPr>
          <w:rFonts w:ascii="Times New Roman" w:eastAsia="Calibri" w:hAnsi="Times New Roman" w:cs="Times New Roman"/>
          <w:b/>
          <w:sz w:val="28"/>
          <w:szCs w:val="20"/>
          <w:lang w:eastAsia="ru-RU"/>
        </w:rPr>
      </w:pPr>
      <w:r w:rsidRPr="009232AB">
        <w:rPr>
          <w:rFonts w:ascii="Times New Roman" w:eastAsia="Calibri" w:hAnsi="Times New Roman" w:cs="Times New Roman"/>
          <w:b/>
          <w:sz w:val="28"/>
          <w:szCs w:val="20"/>
          <w:lang w:eastAsia="ru-RU"/>
        </w:rPr>
        <w:t>ДУМА ГОРОДА ХАНТЫ-МАНСИЙСКА</w:t>
      </w:r>
    </w:p>
    <w:p w:rsidR="009232AB" w:rsidRPr="009232AB" w:rsidRDefault="009232AB" w:rsidP="009232AB">
      <w:pPr>
        <w:spacing w:after="0" w:line="240" w:lineRule="auto"/>
        <w:jc w:val="center"/>
        <w:rPr>
          <w:rFonts w:ascii="Times New Roman" w:eastAsia="Calibri" w:hAnsi="Times New Roman" w:cs="Times New Roman"/>
          <w:b/>
          <w:sz w:val="28"/>
          <w:szCs w:val="20"/>
          <w:lang w:eastAsia="ru-RU"/>
        </w:rPr>
      </w:pPr>
    </w:p>
    <w:p w:rsidR="009232AB" w:rsidRPr="009232AB" w:rsidRDefault="009232AB" w:rsidP="009232AB">
      <w:pPr>
        <w:spacing w:after="0" w:line="240" w:lineRule="auto"/>
        <w:jc w:val="center"/>
        <w:rPr>
          <w:rFonts w:ascii="Times New Roman" w:eastAsia="Calibri" w:hAnsi="Times New Roman" w:cs="Times New Roman"/>
          <w:b/>
          <w:sz w:val="28"/>
          <w:szCs w:val="20"/>
          <w:lang w:eastAsia="ru-RU"/>
        </w:rPr>
      </w:pPr>
      <w:r w:rsidRPr="009232AB">
        <w:rPr>
          <w:rFonts w:ascii="Times New Roman" w:eastAsia="Calibri" w:hAnsi="Times New Roman" w:cs="Times New Roman"/>
          <w:b/>
          <w:sz w:val="28"/>
          <w:szCs w:val="20"/>
          <w:lang w:eastAsia="ru-RU"/>
        </w:rPr>
        <w:t>РЕШЕНИЕ</w:t>
      </w:r>
    </w:p>
    <w:p w:rsidR="009232AB" w:rsidRPr="009232AB" w:rsidRDefault="009232AB" w:rsidP="009232AB">
      <w:pPr>
        <w:spacing w:after="0" w:line="240" w:lineRule="auto"/>
        <w:jc w:val="both"/>
        <w:rPr>
          <w:rFonts w:ascii="Times New Roman" w:eastAsia="Calibri" w:hAnsi="Times New Roman" w:cs="Times New Roman"/>
          <w:b/>
          <w:bCs/>
          <w:iCs/>
          <w:sz w:val="28"/>
          <w:szCs w:val="28"/>
        </w:rPr>
      </w:pPr>
    </w:p>
    <w:p w:rsidR="009232AB" w:rsidRPr="009232AB" w:rsidRDefault="009232AB" w:rsidP="009232AB">
      <w:pPr>
        <w:spacing w:after="0" w:line="240" w:lineRule="auto"/>
        <w:jc w:val="center"/>
        <w:rPr>
          <w:rFonts w:ascii="Times New Roman" w:eastAsia="Calibri" w:hAnsi="Times New Roman" w:cs="Times New Roman"/>
          <w:bCs/>
          <w:i/>
          <w:iCs/>
          <w:sz w:val="28"/>
          <w:szCs w:val="28"/>
        </w:rPr>
      </w:pPr>
      <w:r w:rsidRPr="009232AB">
        <w:rPr>
          <w:rFonts w:ascii="Times New Roman" w:eastAsia="Calibri" w:hAnsi="Times New Roman" w:cs="Times New Roman"/>
          <w:b/>
          <w:bCs/>
          <w:iCs/>
          <w:sz w:val="28"/>
          <w:szCs w:val="28"/>
        </w:rPr>
        <w:tab/>
      </w:r>
      <w:r w:rsidRPr="009232AB">
        <w:rPr>
          <w:rFonts w:ascii="Times New Roman" w:eastAsia="Calibri" w:hAnsi="Times New Roman" w:cs="Times New Roman"/>
          <w:b/>
          <w:bCs/>
          <w:iCs/>
          <w:sz w:val="28"/>
          <w:szCs w:val="28"/>
        </w:rPr>
        <w:tab/>
      </w:r>
      <w:r w:rsidRPr="009232AB">
        <w:rPr>
          <w:rFonts w:ascii="Times New Roman" w:eastAsia="Calibri" w:hAnsi="Times New Roman" w:cs="Times New Roman"/>
          <w:b/>
          <w:bCs/>
          <w:iCs/>
          <w:sz w:val="28"/>
          <w:szCs w:val="28"/>
        </w:rPr>
        <w:tab/>
      </w:r>
      <w:r w:rsidRPr="009232AB">
        <w:rPr>
          <w:rFonts w:ascii="Times New Roman" w:eastAsia="Calibri" w:hAnsi="Times New Roman" w:cs="Times New Roman"/>
          <w:b/>
          <w:bCs/>
          <w:iCs/>
          <w:sz w:val="28"/>
          <w:szCs w:val="28"/>
        </w:rPr>
        <w:tab/>
      </w:r>
      <w:r w:rsidRPr="009232AB">
        <w:rPr>
          <w:rFonts w:ascii="Times New Roman" w:eastAsia="Calibri" w:hAnsi="Times New Roman" w:cs="Times New Roman"/>
          <w:b/>
          <w:bCs/>
          <w:iCs/>
          <w:sz w:val="28"/>
          <w:szCs w:val="28"/>
        </w:rPr>
        <w:tab/>
      </w:r>
      <w:r w:rsidRPr="009232AB">
        <w:rPr>
          <w:rFonts w:ascii="Times New Roman" w:eastAsia="Calibri" w:hAnsi="Times New Roman" w:cs="Times New Roman"/>
          <w:b/>
          <w:bCs/>
          <w:iCs/>
          <w:sz w:val="28"/>
          <w:szCs w:val="28"/>
        </w:rPr>
        <w:tab/>
      </w:r>
      <w:r w:rsidRPr="009232AB">
        <w:rPr>
          <w:rFonts w:ascii="Times New Roman" w:eastAsia="Calibri" w:hAnsi="Times New Roman" w:cs="Times New Roman"/>
          <w:b/>
          <w:bCs/>
          <w:iCs/>
          <w:sz w:val="28"/>
          <w:szCs w:val="28"/>
        </w:rPr>
        <w:tab/>
        <w:t xml:space="preserve">                                                   </w:t>
      </w:r>
      <w:r w:rsidRPr="009232AB">
        <w:rPr>
          <w:rFonts w:ascii="Times New Roman" w:eastAsia="Calibri" w:hAnsi="Times New Roman" w:cs="Times New Roman"/>
          <w:bCs/>
          <w:i/>
          <w:iCs/>
          <w:sz w:val="28"/>
          <w:szCs w:val="28"/>
        </w:rPr>
        <w:t>Принято</w:t>
      </w:r>
    </w:p>
    <w:p w:rsidR="009232AB" w:rsidRPr="009232AB" w:rsidRDefault="009232AB" w:rsidP="009232AB">
      <w:pPr>
        <w:spacing w:after="0" w:line="240" w:lineRule="auto"/>
        <w:jc w:val="center"/>
        <w:rPr>
          <w:rFonts w:ascii="Times New Roman" w:eastAsia="Calibri" w:hAnsi="Times New Roman" w:cs="Times New Roman"/>
          <w:bCs/>
          <w:i/>
          <w:iCs/>
          <w:sz w:val="28"/>
          <w:szCs w:val="28"/>
        </w:rPr>
      </w:pPr>
      <w:r w:rsidRPr="009232AB">
        <w:rPr>
          <w:rFonts w:ascii="Times New Roman" w:eastAsia="Calibri" w:hAnsi="Times New Roman" w:cs="Times New Roman"/>
          <w:bCs/>
          <w:i/>
          <w:iCs/>
          <w:sz w:val="28"/>
          <w:szCs w:val="28"/>
        </w:rPr>
        <w:tab/>
      </w:r>
      <w:r w:rsidRPr="009232AB">
        <w:rPr>
          <w:rFonts w:ascii="Times New Roman" w:eastAsia="Calibri" w:hAnsi="Times New Roman" w:cs="Times New Roman"/>
          <w:bCs/>
          <w:i/>
          <w:iCs/>
          <w:sz w:val="28"/>
          <w:szCs w:val="28"/>
        </w:rPr>
        <w:tab/>
      </w:r>
      <w:r w:rsidRPr="009232AB">
        <w:rPr>
          <w:rFonts w:ascii="Times New Roman" w:eastAsia="Calibri" w:hAnsi="Times New Roman" w:cs="Times New Roman"/>
          <w:bCs/>
          <w:i/>
          <w:iCs/>
          <w:sz w:val="28"/>
          <w:szCs w:val="28"/>
        </w:rPr>
        <w:tab/>
      </w:r>
      <w:r w:rsidRPr="009232AB">
        <w:rPr>
          <w:rFonts w:ascii="Times New Roman" w:eastAsia="Calibri" w:hAnsi="Times New Roman" w:cs="Times New Roman"/>
          <w:bCs/>
          <w:i/>
          <w:iCs/>
          <w:sz w:val="28"/>
          <w:szCs w:val="28"/>
        </w:rPr>
        <w:tab/>
      </w:r>
      <w:r w:rsidRPr="009232AB">
        <w:rPr>
          <w:rFonts w:ascii="Times New Roman" w:eastAsia="Calibri" w:hAnsi="Times New Roman" w:cs="Times New Roman"/>
          <w:bCs/>
          <w:i/>
          <w:iCs/>
          <w:sz w:val="28"/>
          <w:szCs w:val="28"/>
        </w:rPr>
        <w:tab/>
      </w:r>
      <w:r w:rsidRPr="009232AB">
        <w:rPr>
          <w:rFonts w:ascii="Times New Roman" w:eastAsia="Calibri" w:hAnsi="Times New Roman" w:cs="Times New Roman"/>
          <w:bCs/>
          <w:i/>
          <w:iCs/>
          <w:sz w:val="28"/>
          <w:szCs w:val="28"/>
        </w:rPr>
        <w:tab/>
      </w:r>
      <w:r w:rsidRPr="009232AB">
        <w:rPr>
          <w:rFonts w:ascii="Times New Roman" w:eastAsia="Calibri" w:hAnsi="Times New Roman" w:cs="Times New Roman"/>
          <w:bCs/>
          <w:i/>
          <w:iCs/>
          <w:sz w:val="28"/>
          <w:szCs w:val="28"/>
        </w:rPr>
        <w:tab/>
      </w:r>
      <w:r w:rsidRPr="009232AB">
        <w:rPr>
          <w:rFonts w:ascii="Times New Roman" w:eastAsia="Calibri" w:hAnsi="Times New Roman" w:cs="Times New Roman"/>
          <w:bCs/>
          <w:i/>
          <w:iCs/>
          <w:sz w:val="28"/>
          <w:szCs w:val="28"/>
        </w:rPr>
        <w:tab/>
      </w:r>
      <w:r w:rsidRPr="009232AB">
        <w:rPr>
          <w:rFonts w:ascii="Times New Roman" w:eastAsia="Calibri" w:hAnsi="Times New Roman" w:cs="Times New Roman"/>
          <w:bCs/>
          <w:i/>
          <w:iCs/>
          <w:sz w:val="28"/>
          <w:szCs w:val="28"/>
        </w:rPr>
        <w:tab/>
      </w:r>
      <w:r w:rsidRPr="009232AB">
        <w:rPr>
          <w:rFonts w:ascii="Times New Roman" w:eastAsia="Calibri" w:hAnsi="Times New Roman" w:cs="Times New Roman"/>
          <w:bCs/>
          <w:i/>
          <w:iCs/>
          <w:sz w:val="28"/>
          <w:szCs w:val="28"/>
        </w:rPr>
        <w:tab/>
        <w:t xml:space="preserve">     27 марта 2015 года</w:t>
      </w:r>
    </w:p>
    <w:p w:rsidR="000430D1" w:rsidRDefault="000430D1" w:rsidP="000430D1">
      <w:pPr>
        <w:spacing w:after="0"/>
        <w:rPr>
          <w:rFonts w:ascii="Times New Roman" w:eastAsia="Times New Roman" w:hAnsi="Times New Roman" w:cs="Times New Roman"/>
          <w:bCs/>
          <w:sz w:val="28"/>
          <w:szCs w:val="28"/>
          <w:lang w:eastAsia="ru-RU"/>
        </w:rPr>
      </w:pPr>
    </w:p>
    <w:p w:rsidR="000430D1" w:rsidRPr="00813782" w:rsidRDefault="000430D1" w:rsidP="000430D1">
      <w:pPr>
        <w:spacing w:after="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Об одобрении</w:t>
      </w:r>
      <w:r w:rsidRPr="00813782">
        <w:rPr>
          <w:rFonts w:ascii="Times New Roman" w:eastAsia="Times New Roman" w:hAnsi="Times New Roman" w:cs="Times New Roman"/>
          <w:bCs/>
          <w:sz w:val="28"/>
          <w:szCs w:val="28"/>
          <w:lang w:eastAsia="ru-RU"/>
        </w:rPr>
        <w:t xml:space="preserve"> изменений </w:t>
      </w:r>
    </w:p>
    <w:p w:rsidR="000430D1" w:rsidRPr="00813782" w:rsidRDefault="000430D1" w:rsidP="000430D1">
      <w:pPr>
        <w:spacing w:after="0"/>
        <w:rPr>
          <w:rFonts w:ascii="Times New Roman" w:eastAsia="Times New Roman" w:hAnsi="Times New Roman" w:cs="Times New Roman"/>
          <w:bCs/>
          <w:sz w:val="28"/>
          <w:szCs w:val="28"/>
          <w:lang w:eastAsia="ru-RU"/>
        </w:rPr>
      </w:pPr>
      <w:r w:rsidRPr="00813782">
        <w:rPr>
          <w:rFonts w:ascii="Times New Roman" w:eastAsia="Times New Roman" w:hAnsi="Times New Roman" w:cs="Times New Roman"/>
          <w:bCs/>
          <w:sz w:val="28"/>
          <w:szCs w:val="28"/>
          <w:lang w:eastAsia="ru-RU"/>
        </w:rPr>
        <w:t xml:space="preserve">в </w:t>
      </w:r>
      <w:r>
        <w:rPr>
          <w:rFonts w:ascii="Times New Roman" w:eastAsia="Times New Roman" w:hAnsi="Times New Roman" w:cs="Times New Roman"/>
          <w:bCs/>
          <w:sz w:val="28"/>
          <w:szCs w:val="28"/>
          <w:lang w:eastAsia="ru-RU"/>
        </w:rPr>
        <w:t>Стратегию</w:t>
      </w:r>
      <w:r w:rsidRPr="00813782">
        <w:rPr>
          <w:rFonts w:ascii="Times New Roman" w:eastAsia="Times New Roman" w:hAnsi="Times New Roman" w:cs="Times New Roman"/>
          <w:bCs/>
          <w:sz w:val="28"/>
          <w:szCs w:val="28"/>
          <w:lang w:eastAsia="ru-RU"/>
        </w:rPr>
        <w:t xml:space="preserve"> </w:t>
      </w:r>
      <w:proofErr w:type="gramStart"/>
      <w:r w:rsidRPr="00813782">
        <w:rPr>
          <w:rFonts w:ascii="Times New Roman" w:eastAsia="Times New Roman" w:hAnsi="Times New Roman" w:cs="Times New Roman"/>
          <w:bCs/>
          <w:sz w:val="28"/>
          <w:szCs w:val="28"/>
          <w:lang w:eastAsia="ru-RU"/>
        </w:rPr>
        <w:t>социально-экономического</w:t>
      </w:r>
      <w:proofErr w:type="gramEnd"/>
      <w:r w:rsidRPr="00813782">
        <w:rPr>
          <w:rFonts w:ascii="Times New Roman" w:eastAsia="Times New Roman" w:hAnsi="Times New Roman" w:cs="Times New Roman"/>
          <w:bCs/>
          <w:sz w:val="28"/>
          <w:szCs w:val="28"/>
          <w:lang w:eastAsia="ru-RU"/>
        </w:rPr>
        <w:t xml:space="preserve"> </w:t>
      </w:r>
    </w:p>
    <w:p w:rsidR="000430D1" w:rsidRDefault="000430D1" w:rsidP="000430D1">
      <w:pPr>
        <w:spacing w:after="0"/>
        <w:rPr>
          <w:rFonts w:ascii="Times New Roman" w:eastAsia="Times New Roman" w:hAnsi="Times New Roman" w:cs="Times New Roman"/>
          <w:bCs/>
          <w:sz w:val="28"/>
          <w:szCs w:val="28"/>
          <w:lang w:eastAsia="ru-RU"/>
        </w:rPr>
      </w:pPr>
      <w:r w:rsidRPr="00813782">
        <w:rPr>
          <w:rFonts w:ascii="Times New Roman" w:eastAsia="Times New Roman" w:hAnsi="Times New Roman" w:cs="Times New Roman"/>
          <w:bCs/>
          <w:sz w:val="28"/>
          <w:szCs w:val="28"/>
          <w:lang w:eastAsia="ru-RU"/>
        </w:rPr>
        <w:t xml:space="preserve">развития города </w:t>
      </w:r>
      <w:r>
        <w:rPr>
          <w:rFonts w:ascii="Times New Roman" w:eastAsia="Times New Roman" w:hAnsi="Times New Roman" w:cs="Times New Roman"/>
          <w:bCs/>
          <w:sz w:val="28"/>
          <w:szCs w:val="28"/>
          <w:lang w:eastAsia="ru-RU"/>
        </w:rPr>
        <w:t xml:space="preserve">Ханты-Мансийска </w:t>
      </w:r>
    </w:p>
    <w:p w:rsidR="000430D1" w:rsidRDefault="000430D1" w:rsidP="000430D1">
      <w:pPr>
        <w:spacing w:after="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до 2020 года</w:t>
      </w:r>
    </w:p>
    <w:p w:rsidR="000430D1" w:rsidRPr="002E7B94" w:rsidRDefault="000430D1" w:rsidP="000430D1">
      <w:pPr>
        <w:spacing w:after="0"/>
        <w:rPr>
          <w:rFonts w:ascii="Times New Roman" w:eastAsia="Times New Roman" w:hAnsi="Times New Roman" w:cs="Times New Roman"/>
          <w:bCs/>
          <w:sz w:val="28"/>
          <w:szCs w:val="28"/>
          <w:lang w:eastAsia="ru-RU"/>
        </w:rPr>
      </w:pPr>
    </w:p>
    <w:p w:rsidR="000430D1" w:rsidRPr="002E7B94" w:rsidRDefault="000430D1" w:rsidP="000430D1">
      <w:pPr>
        <w:spacing w:after="0"/>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napToGrid w:val="0"/>
          <w:sz w:val="28"/>
          <w:szCs w:val="28"/>
          <w:lang w:val="x-none" w:eastAsia="x-none"/>
        </w:rPr>
        <w:t>Рассмотрев проект изменений в</w:t>
      </w:r>
      <w:r>
        <w:rPr>
          <w:rFonts w:ascii="Times New Roman" w:eastAsia="Times New Roman" w:hAnsi="Times New Roman" w:cs="Times New Roman"/>
          <w:bCs/>
          <w:snapToGrid w:val="0"/>
          <w:sz w:val="28"/>
          <w:szCs w:val="28"/>
          <w:lang w:eastAsia="x-none"/>
        </w:rPr>
        <w:t xml:space="preserve"> </w:t>
      </w:r>
      <w:r>
        <w:rPr>
          <w:rFonts w:ascii="Times New Roman" w:eastAsia="Times New Roman" w:hAnsi="Times New Roman" w:cs="Times New Roman"/>
          <w:bCs/>
          <w:snapToGrid w:val="0"/>
          <w:sz w:val="28"/>
          <w:szCs w:val="28"/>
          <w:lang w:val="x-none" w:eastAsia="x-none"/>
        </w:rPr>
        <w:t>Стратеги</w:t>
      </w:r>
      <w:r>
        <w:rPr>
          <w:rFonts w:ascii="Times New Roman" w:eastAsia="Times New Roman" w:hAnsi="Times New Roman" w:cs="Times New Roman"/>
          <w:bCs/>
          <w:snapToGrid w:val="0"/>
          <w:sz w:val="28"/>
          <w:szCs w:val="28"/>
          <w:lang w:eastAsia="x-none"/>
        </w:rPr>
        <w:t>ю</w:t>
      </w:r>
      <w:r w:rsidRPr="00813782">
        <w:rPr>
          <w:rFonts w:ascii="Times New Roman" w:eastAsia="Times New Roman" w:hAnsi="Times New Roman" w:cs="Times New Roman"/>
          <w:bCs/>
          <w:snapToGrid w:val="0"/>
          <w:sz w:val="28"/>
          <w:szCs w:val="28"/>
          <w:lang w:val="x-none" w:eastAsia="x-none"/>
        </w:rPr>
        <w:t xml:space="preserve"> социально-экономического развития горо</w:t>
      </w:r>
      <w:r>
        <w:rPr>
          <w:rFonts w:ascii="Times New Roman" w:eastAsia="Times New Roman" w:hAnsi="Times New Roman" w:cs="Times New Roman"/>
          <w:bCs/>
          <w:snapToGrid w:val="0"/>
          <w:sz w:val="28"/>
          <w:szCs w:val="28"/>
          <w:lang w:val="x-none" w:eastAsia="x-none"/>
        </w:rPr>
        <w:t>да Ханты-Мансийска до 2020 года</w:t>
      </w:r>
      <w:r>
        <w:rPr>
          <w:rFonts w:ascii="Times New Roman" w:eastAsia="Times New Roman" w:hAnsi="Times New Roman" w:cs="Times New Roman"/>
          <w:bCs/>
          <w:snapToGrid w:val="0"/>
          <w:sz w:val="28"/>
          <w:szCs w:val="28"/>
          <w:lang w:eastAsia="x-none"/>
        </w:rPr>
        <w:t>, утвержденную Решением Думы города Ханты-Мансийска от 16 декабря 2011 года № 141</w:t>
      </w:r>
      <w:r w:rsidRPr="00813782">
        <w:rPr>
          <w:rFonts w:ascii="Times New Roman" w:eastAsia="Times New Roman" w:hAnsi="Times New Roman" w:cs="Times New Roman"/>
          <w:bCs/>
          <w:snapToGrid w:val="0"/>
          <w:sz w:val="28"/>
          <w:szCs w:val="28"/>
          <w:lang w:val="x-none" w:eastAsia="x-none"/>
        </w:rPr>
        <w:t>, руководствуясь</w:t>
      </w:r>
      <w:r w:rsidR="009232AB">
        <w:rPr>
          <w:rFonts w:ascii="Times New Roman" w:eastAsia="Times New Roman" w:hAnsi="Times New Roman" w:cs="Times New Roman"/>
          <w:bCs/>
          <w:snapToGrid w:val="0"/>
          <w:sz w:val="28"/>
          <w:szCs w:val="28"/>
          <w:lang w:eastAsia="x-none"/>
        </w:rPr>
        <w:t xml:space="preserve">                 </w:t>
      </w:r>
      <w:r w:rsidRPr="00813782">
        <w:rPr>
          <w:rFonts w:ascii="Times New Roman" w:eastAsia="Times New Roman" w:hAnsi="Times New Roman" w:cs="Times New Roman"/>
          <w:bCs/>
          <w:snapToGrid w:val="0"/>
          <w:sz w:val="28"/>
          <w:szCs w:val="28"/>
          <w:lang w:val="x-none" w:eastAsia="x-none"/>
        </w:rPr>
        <w:t>частью 1 статьи 69 Устава города Ханты-Мансийска,</w:t>
      </w:r>
    </w:p>
    <w:p w:rsidR="000430D1" w:rsidRPr="002E7B94" w:rsidRDefault="000430D1" w:rsidP="000430D1">
      <w:pPr>
        <w:spacing w:after="0"/>
        <w:jc w:val="both"/>
        <w:rPr>
          <w:rFonts w:ascii="Times New Roman" w:eastAsia="Times New Roman" w:hAnsi="Times New Roman" w:cs="Times New Roman"/>
          <w:sz w:val="28"/>
          <w:szCs w:val="28"/>
          <w:lang w:eastAsia="ru-RU"/>
        </w:rPr>
      </w:pPr>
    </w:p>
    <w:p w:rsidR="000430D1" w:rsidRPr="002E7B94" w:rsidRDefault="000430D1" w:rsidP="000430D1">
      <w:pPr>
        <w:spacing w:after="0"/>
        <w:jc w:val="center"/>
        <w:rPr>
          <w:rFonts w:ascii="Times New Roman" w:eastAsia="Times New Roman" w:hAnsi="Times New Roman" w:cs="Times New Roman"/>
          <w:sz w:val="28"/>
          <w:szCs w:val="28"/>
          <w:lang w:eastAsia="ru-RU"/>
        </w:rPr>
      </w:pPr>
      <w:r w:rsidRPr="002E7B94">
        <w:rPr>
          <w:rFonts w:ascii="Times New Roman" w:eastAsia="Times New Roman" w:hAnsi="Times New Roman" w:cs="Times New Roman"/>
          <w:sz w:val="28"/>
          <w:szCs w:val="28"/>
          <w:lang w:eastAsia="ru-RU"/>
        </w:rPr>
        <w:t>Дума города Ханты-Мансийска РЕШИЛА:</w:t>
      </w:r>
    </w:p>
    <w:p w:rsidR="000430D1" w:rsidRPr="002E7B94" w:rsidRDefault="000430D1" w:rsidP="000430D1">
      <w:pPr>
        <w:spacing w:after="0"/>
        <w:jc w:val="center"/>
        <w:rPr>
          <w:rFonts w:ascii="Times New Roman" w:eastAsia="Times New Roman" w:hAnsi="Times New Roman" w:cs="Times New Roman"/>
          <w:sz w:val="28"/>
          <w:szCs w:val="28"/>
          <w:lang w:eastAsia="ru-RU"/>
        </w:rPr>
      </w:pPr>
    </w:p>
    <w:p w:rsidR="000430D1" w:rsidRPr="002E7B94" w:rsidRDefault="000430D1" w:rsidP="000430D1">
      <w:pPr>
        <w:spacing w:after="0"/>
        <w:ind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Одобрить</w:t>
      </w:r>
      <w:r w:rsidRPr="00813782">
        <w:rPr>
          <w:rFonts w:ascii="Times New Roman" w:eastAsia="Times New Roman" w:hAnsi="Times New Roman" w:cs="Times New Roman"/>
          <w:sz w:val="28"/>
          <w:szCs w:val="28"/>
          <w:lang w:eastAsia="ru-RU"/>
        </w:rPr>
        <w:t xml:space="preserve"> изменения в </w:t>
      </w:r>
      <w:r>
        <w:rPr>
          <w:rFonts w:ascii="Times New Roman" w:eastAsia="Times New Roman" w:hAnsi="Times New Roman" w:cs="Times New Roman"/>
          <w:sz w:val="28"/>
          <w:szCs w:val="28"/>
          <w:lang w:eastAsia="ru-RU"/>
        </w:rPr>
        <w:t>Стратегию</w:t>
      </w:r>
      <w:r w:rsidRPr="00813782">
        <w:rPr>
          <w:rFonts w:ascii="Times New Roman" w:eastAsia="Times New Roman" w:hAnsi="Times New Roman" w:cs="Times New Roman"/>
          <w:sz w:val="28"/>
          <w:szCs w:val="28"/>
          <w:lang w:eastAsia="ru-RU"/>
        </w:rPr>
        <w:t xml:space="preserve"> социально-экономического развития горо</w:t>
      </w:r>
      <w:r>
        <w:rPr>
          <w:rFonts w:ascii="Times New Roman" w:eastAsia="Times New Roman" w:hAnsi="Times New Roman" w:cs="Times New Roman"/>
          <w:sz w:val="28"/>
          <w:szCs w:val="28"/>
          <w:lang w:eastAsia="ru-RU"/>
        </w:rPr>
        <w:t>да Ханты-Мансийска до 2020 года</w:t>
      </w:r>
      <w:r w:rsidRPr="00813782">
        <w:rPr>
          <w:rFonts w:ascii="Times New Roman" w:eastAsia="Times New Roman" w:hAnsi="Times New Roman" w:cs="Times New Roman"/>
          <w:sz w:val="28"/>
          <w:szCs w:val="28"/>
          <w:lang w:eastAsia="ru-RU"/>
        </w:rPr>
        <w:t xml:space="preserve"> согласно приложению к настоящему Решению</w:t>
      </w:r>
      <w:r w:rsidRPr="002E7B94">
        <w:rPr>
          <w:rFonts w:ascii="Times New Roman" w:eastAsia="Times New Roman" w:hAnsi="Times New Roman" w:cs="Times New Roman"/>
          <w:sz w:val="28"/>
          <w:szCs w:val="28"/>
          <w:lang w:eastAsia="ru-RU"/>
        </w:rPr>
        <w:t>.</w:t>
      </w:r>
    </w:p>
    <w:p w:rsidR="000430D1" w:rsidRDefault="000430D1" w:rsidP="000430D1">
      <w:pPr>
        <w:spacing w:after="0" w:line="240" w:lineRule="auto"/>
        <w:jc w:val="both"/>
        <w:rPr>
          <w:rFonts w:ascii="Times New Roman" w:eastAsia="Times New Roman" w:hAnsi="Times New Roman" w:cs="Times New Roman"/>
          <w:sz w:val="28"/>
          <w:szCs w:val="28"/>
          <w:lang w:eastAsia="ru-RU"/>
        </w:rPr>
      </w:pPr>
    </w:p>
    <w:p w:rsidR="009232AB" w:rsidRDefault="009232AB" w:rsidP="000430D1">
      <w:pPr>
        <w:spacing w:after="0" w:line="240" w:lineRule="auto"/>
        <w:jc w:val="both"/>
        <w:rPr>
          <w:rFonts w:ascii="Times New Roman" w:eastAsia="Times New Roman" w:hAnsi="Times New Roman" w:cs="Times New Roman"/>
          <w:sz w:val="28"/>
          <w:szCs w:val="28"/>
          <w:lang w:eastAsia="ru-RU"/>
        </w:rPr>
      </w:pPr>
    </w:p>
    <w:p w:rsidR="009232AB" w:rsidRPr="009232AB" w:rsidRDefault="009232AB" w:rsidP="000430D1">
      <w:pPr>
        <w:spacing w:after="0" w:line="240" w:lineRule="auto"/>
        <w:jc w:val="both"/>
        <w:rPr>
          <w:rFonts w:ascii="Times New Roman" w:eastAsia="Times New Roman" w:hAnsi="Times New Roman" w:cs="Times New Roman"/>
          <w:b/>
          <w:sz w:val="28"/>
          <w:szCs w:val="28"/>
          <w:lang w:eastAsia="ru-RU"/>
        </w:rPr>
      </w:pPr>
      <w:proofErr w:type="gramStart"/>
      <w:r w:rsidRPr="009232AB">
        <w:rPr>
          <w:rFonts w:ascii="Times New Roman" w:eastAsia="Times New Roman" w:hAnsi="Times New Roman" w:cs="Times New Roman"/>
          <w:b/>
          <w:sz w:val="28"/>
          <w:szCs w:val="28"/>
          <w:lang w:eastAsia="ru-RU"/>
        </w:rPr>
        <w:t>Исполняющий</w:t>
      </w:r>
      <w:proofErr w:type="gramEnd"/>
      <w:r w:rsidRPr="009232AB">
        <w:rPr>
          <w:rFonts w:ascii="Times New Roman" w:eastAsia="Times New Roman" w:hAnsi="Times New Roman" w:cs="Times New Roman"/>
          <w:b/>
          <w:sz w:val="28"/>
          <w:szCs w:val="28"/>
          <w:lang w:eastAsia="ru-RU"/>
        </w:rPr>
        <w:t xml:space="preserve"> полномочия</w:t>
      </w:r>
    </w:p>
    <w:p w:rsidR="000430D1" w:rsidRPr="00992F0A" w:rsidRDefault="009232AB" w:rsidP="000430D1">
      <w:pPr>
        <w:spacing w:after="0" w:line="240" w:lineRule="auto"/>
        <w:jc w:val="both"/>
        <w:rPr>
          <w:rFonts w:ascii="Times New Roman" w:eastAsia="Times New Roman" w:hAnsi="Times New Roman" w:cs="Times New Roman"/>
          <w:b/>
          <w:bCs/>
          <w:snapToGrid w:val="0"/>
          <w:sz w:val="28"/>
          <w:szCs w:val="20"/>
          <w:lang w:eastAsia="ru-RU"/>
        </w:rPr>
      </w:pPr>
      <w:r>
        <w:rPr>
          <w:rFonts w:ascii="Times New Roman" w:eastAsia="Times New Roman" w:hAnsi="Times New Roman" w:cs="Times New Roman"/>
          <w:b/>
          <w:bCs/>
          <w:snapToGrid w:val="0"/>
          <w:sz w:val="28"/>
          <w:szCs w:val="20"/>
          <w:lang w:eastAsia="ru-RU"/>
        </w:rPr>
        <w:t>Главы</w:t>
      </w:r>
      <w:r w:rsidR="000430D1" w:rsidRPr="00992F0A">
        <w:rPr>
          <w:rFonts w:ascii="Times New Roman" w:eastAsia="Times New Roman" w:hAnsi="Times New Roman" w:cs="Times New Roman"/>
          <w:b/>
          <w:bCs/>
          <w:snapToGrid w:val="0"/>
          <w:sz w:val="28"/>
          <w:szCs w:val="20"/>
          <w:lang w:eastAsia="ru-RU"/>
        </w:rPr>
        <w:t xml:space="preserve"> города Ханты-Мансийска                                    </w:t>
      </w:r>
      <w:r>
        <w:rPr>
          <w:rFonts w:ascii="Times New Roman" w:eastAsia="Times New Roman" w:hAnsi="Times New Roman" w:cs="Times New Roman"/>
          <w:b/>
          <w:bCs/>
          <w:snapToGrid w:val="0"/>
          <w:sz w:val="28"/>
          <w:szCs w:val="20"/>
          <w:lang w:eastAsia="ru-RU"/>
        </w:rPr>
        <w:t xml:space="preserve">           Т.А. </w:t>
      </w:r>
      <w:proofErr w:type="spellStart"/>
      <w:r>
        <w:rPr>
          <w:rFonts w:ascii="Times New Roman" w:eastAsia="Times New Roman" w:hAnsi="Times New Roman" w:cs="Times New Roman"/>
          <w:b/>
          <w:bCs/>
          <w:snapToGrid w:val="0"/>
          <w:sz w:val="28"/>
          <w:szCs w:val="20"/>
          <w:lang w:eastAsia="ru-RU"/>
        </w:rPr>
        <w:t>Волгунова</w:t>
      </w:r>
      <w:proofErr w:type="spellEnd"/>
    </w:p>
    <w:p w:rsidR="000430D1" w:rsidRDefault="000430D1" w:rsidP="000430D1">
      <w:pPr>
        <w:spacing w:after="0" w:line="240" w:lineRule="auto"/>
        <w:jc w:val="both"/>
        <w:rPr>
          <w:rFonts w:ascii="Times New Roman" w:eastAsia="Times New Roman" w:hAnsi="Times New Roman" w:cs="Times New Roman"/>
          <w:b/>
          <w:bCs/>
          <w:snapToGrid w:val="0"/>
          <w:lang w:eastAsia="ru-RU"/>
        </w:rPr>
      </w:pPr>
    </w:p>
    <w:p w:rsidR="009232AB" w:rsidRDefault="009232AB" w:rsidP="000430D1">
      <w:pPr>
        <w:spacing w:after="0" w:line="240" w:lineRule="auto"/>
        <w:jc w:val="both"/>
        <w:rPr>
          <w:rFonts w:ascii="Times New Roman" w:eastAsia="Times New Roman" w:hAnsi="Times New Roman" w:cs="Times New Roman"/>
          <w:b/>
          <w:bCs/>
          <w:snapToGrid w:val="0"/>
          <w:lang w:eastAsia="ru-RU"/>
        </w:rPr>
      </w:pPr>
    </w:p>
    <w:p w:rsidR="000430D1" w:rsidRPr="0075357A" w:rsidRDefault="000430D1" w:rsidP="000430D1">
      <w:pPr>
        <w:spacing w:after="0" w:line="240" w:lineRule="auto"/>
        <w:jc w:val="both"/>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ab/>
      </w:r>
      <w:r>
        <w:rPr>
          <w:rFonts w:ascii="Times New Roman" w:eastAsia="Times New Roman" w:hAnsi="Times New Roman" w:cs="Times New Roman"/>
          <w:bCs/>
          <w:i/>
          <w:iCs/>
          <w:sz w:val="28"/>
          <w:szCs w:val="28"/>
          <w:lang w:eastAsia="ru-RU"/>
        </w:rPr>
        <w:tab/>
      </w:r>
      <w:r>
        <w:rPr>
          <w:rFonts w:ascii="Times New Roman" w:eastAsia="Times New Roman" w:hAnsi="Times New Roman" w:cs="Times New Roman"/>
          <w:bCs/>
          <w:i/>
          <w:iCs/>
          <w:sz w:val="28"/>
          <w:szCs w:val="28"/>
          <w:lang w:eastAsia="ru-RU"/>
        </w:rPr>
        <w:tab/>
      </w:r>
      <w:r>
        <w:rPr>
          <w:rFonts w:ascii="Times New Roman" w:eastAsia="Times New Roman" w:hAnsi="Times New Roman" w:cs="Times New Roman"/>
          <w:bCs/>
          <w:i/>
          <w:iCs/>
          <w:sz w:val="28"/>
          <w:szCs w:val="28"/>
          <w:lang w:eastAsia="ru-RU"/>
        </w:rPr>
        <w:tab/>
      </w:r>
      <w:r>
        <w:rPr>
          <w:rFonts w:ascii="Times New Roman" w:eastAsia="Times New Roman" w:hAnsi="Times New Roman" w:cs="Times New Roman"/>
          <w:bCs/>
          <w:i/>
          <w:iCs/>
          <w:sz w:val="28"/>
          <w:szCs w:val="28"/>
          <w:lang w:eastAsia="ru-RU"/>
        </w:rPr>
        <w:tab/>
        <w:t xml:space="preserve">                                                                   </w:t>
      </w:r>
      <w:r w:rsidRPr="0075357A">
        <w:rPr>
          <w:rFonts w:ascii="Times New Roman" w:eastAsia="Times New Roman" w:hAnsi="Times New Roman" w:cs="Times New Roman"/>
          <w:bCs/>
          <w:i/>
          <w:iCs/>
          <w:sz w:val="28"/>
          <w:szCs w:val="28"/>
          <w:lang w:eastAsia="ru-RU"/>
        </w:rPr>
        <w:t>Подписано</w:t>
      </w:r>
    </w:p>
    <w:p w:rsidR="000430D1" w:rsidRPr="0075357A" w:rsidRDefault="000430D1" w:rsidP="000430D1">
      <w:pPr>
        <w:spacing w:after="0" w:line="240" w:lineRule="auto"/>
        <w:jc w:val="both"/>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ab/>
      </w:r>
      <w:r>
        <w:rPr>
          <w:rFonts w:ascii="Times New Roman" w:eastAsia="Times New Roman" w:hAnsi="Times New Roman" w:cs="Times New Roman"/>
          <w:bCs/>
          <w:i/>
          <w:iCs/>
          <w:sz w:val="28"/>
          <w:szCs w:val="28"/>
          <w:lang w:eastAsia="ru-RU"/>
        </w:rPr>
        <w:tab/>
      </w:r>
      <w:r>
        <w:rPr>
          <w:rFonts w:ascii="Times New Roman" w:eastAsia="Times New Roman" w:hAnsi="Times New Roman" w:cs="Times New Roman"/>
          <w:bCs/>
          <w:i/>
          <w:iCs/>
          <w:sz w:val="28"/>
          <w:szCs w:val="28"/>
          <w:lang w:eastAsia="ru-RU"/>
        </w:rPr>
        <w:tab/>
      </w:r>
      <w:r>
        <w:rPr>
          <w:rFonts w:ascii="Times New Roman" w:eastAsia="Times New Roman" w:hAnsi="Times New Roman" w:cs="Times New Roman"/>
          <w:bCs/>
          <w:i/>
          <w:iCs/>
          <w:sz w:val="28"/>
          <w:szCs w:val="28"/>
          <w:lang w:eastAsia="ru-RU"/>
        </w:rPr>
        <w:tab/>
      </w:r>
      <w:r>
        <w:rPr>
          <w:rFonts w:ascii="Times New Roman" w:eastAsia="Times New Roman" w:hAnsi="Times New Roman" w:cs="Times New Roman"/>
          <w:bCs/>
          <w:i/>
          <w:iCs/>
          <w:sz w:val="28"/>
          <w:szCs w:val="28"/>
          <w:lang w:eastAsia="ru-RU"/>
        </w:rPr>
        <w:tab/>
      </w:r>
      <w:r>
        <w:rPr>
          <w:rFonts w:ascii="Times New Roman" w:eastAsia="Times New Roman" w:hAnsi="Times New Roman" w:cs="Times New Roman"/>
          <w:bCs/>
          <w:i/>
          <w:iCs/>
          <w:sz w:val="28"/>
          <w:szCs w:val="28"/>
          <w:lang w:eastAsia="ru-RU"/>
        </w:rPr>
        <w:tab/>
        <w:t xml:space="preserve">                              </w:t>
      </w:r>
      <w:r w:rsidR="001A7314">
        <w:rPr>
          <w:rFonts w:ascii="Times New Roman" w:eastAsia="Times New Roman" w:hAnsi="Times New Roman" w:cs="Times New Roman"/>
          <w:bCs/>
          <w:i/>
          <w:iCs/>
          <w:sz w:val="28"/>
          <w:szCs w:val="28"/>
          <w:lang w:eastAsia="ru-RU"/>
        </w:rPr>
        <w:t xml:space="preserve">                 30 марта 2015 года</w:t>
      </w:r>
    </w:p>
    <w:p w:rsidR="000430D1" w:rsidRDefault="000430D1" w:rsidP="000430D1">
      <w:pPr>
        <w:spacing w:after="0" w:line="240" w:lineRule="auto"/>
        <w:rPr>
          <w:rFonts w:ascii="Times New Roman" w:hAnsi="Times New Roman" w:cs="Times New Roman"/>
          <w:sz w:val="28"/>
          <w:szCs w:val="28"/>
        </w:rPr>
      </w:pPr>
    </w:p>
    <w:p w:rsidR="000430D1" w:rsidRPr="004F5306" w:rsidRDefault="000430D1" w:rsidP="000430D1">
      <w:pPr>
        <w:spacing w:after="0" w:line="240" w:lineRule="auto"/>
        <w:rPr>
          <w:rFonts w:ascii="Times New Roman" w:hAnsi="Times New Roman" w:cs="Times New Roman"/>
          <w:sz w:val="28"/>
          <w:szCs w:val="28"/>
        </w:rPr>
      </w:pPr>
      <w:r w:rsidRPr="004F5306">
        <w:rPr>
          <w:rFonts w:ascii="Times New Roman" w:hAnsi="Times New Roman" w:cs="Times New Roman"/>
          <w:sz w:val="28"/>
          <w:szCs w:val="28"/>
        </w:rPr>
        <w:t>Ханты-Мансийск</w:t>
      </w:r>
    </w:p>
    <w:p w:rsidR="000430D1" w:rsidRPr="004F5306" w:rsidRDefault="001A7314" w:rsidP="000430D1">
      <w:pPr>
        <w:spacing w:after="0" w:line="240" w:lineRule="auto"/>
        <w:rPr>
          <w:rFonts w:ascii="Times New Roman" w:hAnsi="Times New Roman" w:cs="Times New Roman"/>
          <w:sz w:val="28"/>
          <w:szCs w:val="28"/>
        </w:rPr>
      </w:pPr>
      <w:r>
        <w:rPr>
          <w:rFonts w:ascii="Times New Roman" w:hAnsi="Times New Roman" w:cs="Times New Roman"/>
          <w:sz w:val="28"/>
          <w:szCs w:val="28"/>
        </w:rPr>
        <w:t>30 марта 2015 года</w:t>
      </w:r>
    </w:p>
    <w:p w:rsidR="000430D1" w:rsidRDefault="001A7314" w:rsidP="000430D1">
      <w:pPr>
        <w:spacing w:after="0"/>
        <w:rPr>
          <w:rFonts w:ascii="Times New Roman" w:hAnsi="Times New Roman" w:cs="Times New Roman"/>
          <w:sz w:val="28"/>
          <w:szCs w:val="28"/>
        </w:rPr>
      </w:pPr>
      <w:r>
        <w:rPr>
          <w:rFonts w:ascii="Times New Roman" w:hAnsi="Times New Roman" w:cs="Times New Roman"/>
          <w:sz w:val="28"/>
          <w:szCs w:val="28"/>
        </w:rPr>
        <w:t xml:space="preserve">№ 633 </w:t>
      </w:r>
      <w:r w:rsidR="000430D1" w:rsidRPr="004F5306">
        <w:rPr>
          <w:rFonts w:ascii="Times New Roman" w:hAnsi="Times New Roman" w:cs="Times New Roman"/>
          <w:sz w:val="28"/>
          <w:szCs w:val="28"/>
        </w:rPr>
        <w:t xml:space="preserve">- </w:t>
      </w:r>
      <w:r w:rsidR="000430D1" w:rsidRPr="004F5306">
        <w:rPr>
          <w:rFonts w:ascii="Times New Roman" w:hAnsi="Times New Roman" w:cs="Times New Roman"/>
          <w:sz w:val="28"/>
          <w:szCs w:val="28"/>
          <w:lang w:val="en-US"/>
        </w:rPr>
        <w:t>V</w:t>
      </w:r>
      <w:r w:rsidR="000430D1" w:rsidRPr="004F5306">
        <w:rPr>
          <w:rFonts w:ascii="Times New Roman" w:hAnsi="Times New Roman" w:cs="Times New Roman"/>
          <w:sz w:val="28"/>
          <w:szCs w:val="28"/>
        </w:rPr>
        <w:t xml:space="preserve"> РД</w:t>
      </w:r>
    </w:p>
    <w:p w:rsidR="00A33CBA" w:rsidRDefault="00A33CBA"/>
    <w:p w:rsidR="005B0D7D" w:rsidRPr="005B0D7D" w:rsidRDefault="005B0D7D" w:rsidP="005B0D7D">
      <w:pPr>
        <w:spacing w:after="0" w:line="240" w:lineRule="auto"/>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Приложение</w:t>
      </w:r>
    </w:p>
    <w:p w:rsidR="005B0D7D" w:rsidRPr="005B0D7D" w:rsidRDefault="005B0D7D" w:rsidP="005B0D7D">
      <w:pPr>
        <w:spacing w:after="0" w:line="240" w:lineRule="auto"/>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 Решению Думы города Ханты-Мансийска</w:t>
      </w:r>
    </w:p>
    <w:p w:rsidR="001A7314" w:rsidRDefault="001A7314" w:rsidP="001A7314">
      <w:pPr>
        <w:spacing w:after="0"/>
        <w:jc w:val="right"/>
        <w:rPr>
          <w:rFonts w:ascii="Times New Roman" w:hAnsi="Times New Roman" w:cs="Times New Roman"/>
          <w:sz w:val="28"/>
          <w:szCs w:val="28"/>
        </w:rPr>
      </w:pPr>
      <w:r>
        <w:rPr>
          <w:rFonts w:ascii="Times New Roman" w:eastAsia="Batang" w:hAnsi="Times New Roman" w:cs="Times New Roman"/>
          <w:sz w:val="28"/>
          <w:szCs w:val="28"/>
          <w:lang w:eastAsia="ko-KR"/>
        </w:rPr>
        <w:t xml:space="preserve">от 30 марта </w:t>
      </w:r>
      <w:r w:rsidR="005B0D7D">
        <w:rPr>
          <w:rFonts w:ascii="Times New Roman" w:eastAsia="Batang" w:hAnsi="Times New Roman" w:cs="Times New Roman"/>
          <w:sz w:val="28"/>
          <w:szCs w:val="28"/>
          <w:lang w:eastAsia="ko-KR"/>
        </w:rPr>
        <w:t xml:space="preserve"> 2015</w:t>
      </w:r>
      <w:r>
        <w:rPr>
          <w:rFonts w:ascii="Times New Roman" w:eastAsia="Batang" w:hAnsi="Times New Roman" w:cs="Times New Roman"/>
          <w:sz w:val="28"/>
          <w:szCs w:val="28"/>
          <w:lang w:eastAsia="ko-KR"/>
        </w:rPr>
        <w:t xml:space="preserve"> года № </w:t>
      </w:r>
      <w:r>
        <w:rPr>
          <w:rFonts w:ascii="Times New Roman" w:hAnsi="Times New Roman" w:cs="Times New Roman"/>
          <w:sz w:val="28"/>
          <w:szCs w:val="28"/>
        </w:rPr>
        <w:t xml:space="preserve">633 </w:t>
      </w:r>
      <w:r w:rsidRPr="004F5306">
        <w:rPr>
          <w:rFonts w:ascii="Times New Roman" w:hAnsi="Times New Roman" w:cs="Times New Roman"/>
          <w:sz w:val="28"/>
          <w:szCs w:val="28"/>
        </w:rPr>
        <w:t xml:space="preserve">- </w:t>
      </w:r>
      <w:r w:rsidRPr="004F5306">
        <w:rPr>
          <w:rFonts w:ascii="Times New Roman" w:hAnsi="Times New Roman" w:cs="Times New Roman"/>
          <w:sz w:val="28"/>
          <w:szCs w:val="28"/>
          <w:lang w:val="en-US"/>
        </w:rPr>
        <w:t>V</w:t>
      </w:r>
      <w:r w:rsidRPr="004F5306">
        <w:rPr>
          <w:rFonts w:ascii="Times New Roman" w:hAnsi="Times New Roman" w:cs="Times New Roman"/>
          <w:sz w:val="28"/>
          <w:szCs w:val="28"/>
        </w:rPr>
        <w:t xml:space="preserve"> РД</w:t>
      </w:r>
    </w:p>
    <w:p w:rsidR="005B0D7D" w:rsidRPr="005B0D7D" w:rsidRDefault="005B0D7D" w:rsidP="005B0D7D">
      <w:pPr>
        <w:spacing w:after="0" w:line="240" w:lineRule="auto"/>
        <w:jc w:val="right"/>
        <w:rPr>
          <w:rFonts w:ascii="Times New Roman" w:eastAsia="Batang" w:hAnsi="Times New Roman" w:cs="Times New Roman"/>
          <w:sz w:val="28"/>
          <w:szCs w:val="28"/>
          <w:lang w:eastAsia="ko-KR"/>
        </w:rPr>
      </w:pPr>
    </w:p>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p>
    <w:p w:rsidR="005B0D7D" w:rsidRPr="005B0D7D" w:rsidRDefault="005B0D7D" w:rsidP="005B0D7D">
      <w:pPr>
        <w:spacing w:after="0" w:line="240" w:lineRule="auto"/>
        <w:jc w:val="center"/>
        <w:rPr>
          <w:rFonts w:ascii="Times New Roman" w:eastAsia="Batang" w:hAnsi="Times New Roman" w:cs="Times New Roman"/>
          <w:sz w:val="56"/>
          <w:szCs w:val="56"/>
          <w:lang w:eastAsia="ko-KR"/>
        </w:rPr>
      </w:pPr>
      <w:r w:rsidRPr="005B0D7D">
        <w:rPr>
          <w:rFonts w:ascii="Times New Roman" w:eastAsia="Batang" w:hAnsi="Times New Roman" w:cs="Times New Roman"/>
          <w:sz w:val="56"/>
          <w:szCs w:val="56"/>
          <w:lang w:eastAsia="ko-KR"/>
        </w:rPr>
        <w:t>СТРАТЕГИЯ</w:t>
      </w: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36"/>
          <w:szCs w:val="36"/>
          <w:lang w:eastAsia="ko-KR"/>
        </w:rPr>
      </w:pPr>
      <w:r w:rsidRPr="005B0D7D">
        <w:rPr>
          <w:rFonts w:ascii="Times New Roman" w:eastAsia="Batang" w:hAnsi="Times New Roman" w:cs="Times New Roman"/>
          <w:sz w:val="36"/>
          <w:szCs w:val="36"/>
          <w:lang w:eastAsia="ko-KR"/>
        </w:rPr>
        <w:t xml:space="preserve">социально-экономического развития </w:t>
      </w:r>
    </w:p>
    <w:p w:rsidR="005B0D7D" w:rsidRPr="005B0D7D" w:rsidRDefault="005B0D7D" w:rsidP="005B0D7D">
      <w:pPr>
        <w:spacing w:after="0" w:line="240" w:lineRule="auto"/>
        <w:jc w:val="center"/>
        <w:rPr>
          <w:rFonts w:ascii="Times New Roman" w:eastAsia="Batang" w:hAnsi="Times New Roman" w:cs="Times New Roman"/>
          <w:sz w:val="36"/>
          <w:szCs w:val="36"/>
          <w:lang w:eastAsia="ko-KR"/>
        </w:rPr>
      </w:pPr>
      <w:r w:rsidRPr="005B0D7D">
        <w:rPr>
          <w:rFonts w:ascii="Times New Roman" w:eastAsia="Batang" w:hAnsi="Times New Roman" w:cs="Times New Roman"/>
          <w:sz w:val="36"/>
          <w:szCs w:val="36"/>
          <w:lang w:eastAsia="ko-KR"/>
        </w:rPr>
        <w:t xml:space="preserve">города Ханты-Мансийска до 2020 года </w:t>
      </w:r>
    </w:p>
    <w:p w:rsidR="005B0D7D" w:rsidRPr="005B0D7D" w:rsidRDefault="005B0D7D" w:rsidP="005B0D7D">
      <w:pPr>
        <w:spacing w:after="0" w:line="240" w:lineRule="auto"/>
        <w:jc w:val="center"/>
        <w:rPr>
          <w:rFonts w:ascii="Times New Roman" w:eastAsia="Batang" w:hAnsi="Times New Roman" w:cs="Times New Roman"/>
          <w:sz w:val="36"/>
          <w:szCs w:val="36"/>
          <w:lang w:eastAsia="ko-KR"/>
        </w:rPr>
      </w:pPr>
      <w:r w:rsidRPr="005B0D7D">
        <w:rPr>
          <w:rFonts w:ascii="Times New Roman" w:eastAsia="Batang" w:hAnsi="Times New Roman" w:cs="Times New Roman"/>
          <w:sz w:val="36"/>
          <w:szCs w:val="36"/>
          <w:lang w:eastAsia="ko-KR"/>
        </w:rPr>
        <w:t xml:space="preserve">и на период до 2030 года </w:t>
      </w: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p>
    <w:p w:rsidR="005B0D7D" w:rsidRPr="005B0D7D" w:rsidRDefault="005B0D7D" w:rsidP="005B0D7D">
      <w:pPr>
        <w:spacing w:after="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Ханты-Мансийск – 2015</w:t>
      </w:r>
      <w:r w:rsidRPr="005B0D7D">
        <w:rPr>
          <w:rFonts w:ascii="Times New Roman" w:eastAsia="Batang" w:hAnsi="Times New Roman" w:cs="Times New Roman"/>
          <w:sz w:val="28"/>
          <w:szCs w:val="28"/>
          <w:lang w:eastAsia="ko-KR"/>
        </w:rPr>
        <w:br w:type="page"/>
      </w:r>
      <w:bookmarkStart w:id="1" w:name="_Toc404211510"/>
      <w:bookmarkStart w:id="2" w:name="_Toc404218144"/>
      <w:bookmarkStart w:id="3" w:name="_Toc392143740"/>
      <w:bookmarkStart w:id="4" w:name="_Toc392622921"/>
      <w:bookmarkStart w:id="5" w:name="_Toc395506356"/>
    </w:p>
    <w:p w:rsidR="005B0D7D" w:rsidRPr="005B0D7D" w:rsidRDefault="005B0D7D" w:rsidP="005B0D7D">
      <w:pPr>
        <w:keepNext/>
        <w:spacing w:before="240" w:after="60" w:line="240" w:lineRule="auto"/>
        <w:jc w:val="center"/>
        <w:outlineLvl w:val="0"/>
        <w:rPr>
          <w:rFonts w:ascii="Times New Roman" w:eastAsia="Batang" w:hAnsi="Times New Roman" w:cs="Times New Roman"/>
          <w:b/>
          <w:bCs/>
          <w:kern w:val="32"/>
          <w:sz w:val="28"/>
          <w:szCs w:val="32"/>
          <w:lang w:eastAsia="ko-KR"/>
        </w:rPr>
      </w:pPr>
      <w:bookmarkStart w:id="6" w:name="_Toc410639445"/>
      <w:r w:rsidRPr="005B0D7D">
        <w:rPr>
          <w:rFonts w:ascii="Times New Roman" w:eastAsia="Batang" w:hAnsi="Times New Roman" w:cs="Times New Roman"/>
          <w:b/>
          <w:bCs/>
          <w:kern w:val="32"/>
          <w:sz w:val="28"/>
          <w:szCs w:val="32"/>
          <w:lang w:eastAsia="ko-KR"/>
        </w:rPr>
        <w:lastRenderedPageBreak/>
        <w:t>1. ВВЕДЕНИЕ</w:t>
      </w:r>
      <w:bookmarkEnd w:id="1"/>
      <w:bookmarkEnd w:id="2"/>
      <w:bookmarkEnd w:id="6"/>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Стратегия социально-экономического развития города Ханты-Мансийска до 2020 года и на период до 2030 года (далее – Стратегия) определяет систему долгосрочных целей, важнейшие направления деятельности, приоритеты социально-экономического развития и механизмы достижения намеченных целей.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Основываясь на выявленных ресурсах развития и конкурентных преимуществах города, Стратегия будет способствовать повышению инвестиционной привлекательности территории, даст старт новому витку развития сфер образования, культуры, туризма, позволит обеспечить более комфортные условия жизнедеятельности.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Город Ханты-Мансийск является административным центром стратегически важного региона России – Ханты-Мансийского автономного округа – Югры, который, располагая крупнейшими в России разведанными запасами нефти, обеспечивает энергетическую безопасность страны. Во многих рейтингах Ханты-Мансийск занимает ведущие места среди других городов России. По итогам конкурса «Город России. Национальный выбор – 2013» столица Югры занимает 8 место. В VII Всероссийском конкурсе «Лучшее муниципальное образование России в сфере управления общественными финансами» (2014 год) Ханты-Мансийск вошел в число победителей в номинациях «За открытость и прозрачность управления финансами» и «За лучшую практику управления общественными финансами».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roofErr w:type="gramStart"/>
      <w:r w:rsidRPr="005B0D7D">
        <w:rPr>
          <w:rFonts w:ascii="Times New Roman" w:eastAsia="Batang" w:hAnsi="Times New Roman" w:cs="Times New Roman"/>
          <w:sz w:val="28"/>
          <w:szCs w:val="28"/>
          <w:lang w:eastAsia="ko-KR"/>
        </w:rPr>
        <w:t>Настоящая Стратегия основывается на максимальном задействовании природно-ресурсного, трудового, экономического, градостроительного, социального и инновационного потенциала города Ханты-Мансийска при условии рационального использования имеющихся ресурсов.</w:t>
      </w:r>
      <w:proofErr w:type="gramEnd"/>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качестве движущей силы опережающего развития города рассматриваются поддержка малого и среднего предпринимательства; реализация инвестиционных проектов, в том числе на условиях государственно-частного партнерства; развитие жилищно-коммунального хозяйства и транспортной инфраструктуры. Успешная реализация серии социально-значимых инвестиционных проектов будет определяться как инфраструктурной подготовленностью городской среды, так и человеческим капиталом территории, который в свою очередь зависит от условий жизнедеятельности населения, а также от развитости систем образования, культуры, спорта, здравоохранения.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Главным посылом настоящей Стратегии является обоснование условий инновационного развития города. При этом </w:t>
      </w:r>
      <w:proofErr w:type="spellStart"/>
      <w:r w:rsidRPr="005B0D7D">
        <w:rPr>
          <w:rFonts w:ascii="Times New Roman" w:eastAsia="Batang" w:hAnsi="Times New Roman" w:cs="Times New Roman"/>
          <w:sz w:val="28"/>
          <w:szCs w:val="28"/>
          <w:lang w:eastAsia="ko-KR"/>
        </w:rPr>
        <w:t>инновационность</w:t>
      </w:r>
      <w:proofErr w:type="spellEnd"/>
      <w:r w:rsidRPr="005B0D7D">
        <w:rPr>
          <w:rFonts w:ascii="Times New Roman" w:eastAsia="Batang" w:hAnsi="Times New Roman" w:cs="Times New Roman"/>
          <w:sz w:val="28"/>
          <w:szCs w:val="28"/>
          <w:lang w:eastAsia="ko-KR"/>
        </w:rPr>
        <w:t xml:space="preserve"> трактуется в широком смысле: не столько как коммерциализация проектов и разработок, столько как объективная социально-экономическая и духовно-гуманитарная необходимость на современном этапе развития общества. Именно в заданном ключе должна работать и городская экономика, и система образования. Особой поддержкой должны пользоваться субъекты малого и среднего предпринимательства, внедряющие технологические инновации либо производящие, внедряющие и реализующие инновационную продукцию.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Необходимо широкое ознакомление, в том числе с использованием СМИ и </w:t>
      </w:r>
      <w:proofErr w:type="gramStart"/>
      <w:r w:rsidRPr="005B0D7D">
        <w:rPr>
          <w:rFonts w:ascii="Times New Roman" w:eastAsia="Batang" w:hAnsi="Times New Roman" w:cs="Times New Roman"/>
          <w:sz w:val="28"/>
          <w:szCs w:val="28"/>
          <w:lang w:eastAsia="ko-KR"/>
        </w:rPr>
        <w:t>Интернет-порталов</w:t>
      </w:r>
      <w:proofErr w:type="gramEnd"/>
      <w:r w:rsidRPr="005B0D7D">
        <w:rPr>
          <w:rFonts w:ascii="Times New Roman" w:eastAsia="Batang" w:hAnsi="Times New Roman" w:cs="Times New Roman"/>
          <w:sz w:val="28"/>
          <w:szCs w:val="28"/>
          <w:lang w:eastAsia="ko-KR"/>
        </w:rPr>
        <w:t xml:space="preserve">, с существующей специальной комплексной системой льгот </w:t>
      </w:r>
      <w:r w:rsidRPr="005B0D7D">
        <w:rPr>
          <w:rFonts w:ascii="Times New Roman" w:eastAsia="Batang" w:hAnsi="Times New Roman" w:cs="Times New Roman"/>
          <w:sz w:val="28"/>
          <w:szCs w:val="28"/>
          <w:lang w:eastAsia="ko-KR"/>
        </w:rPr>
        <w:lastRenderedPageBreak/>
        <w:t xml:space="preserve">для инвесторов и предпринимателей, готовых вкладывать средства в создание инновационных предприятий.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Городская система образования в рамках согласованных программ общего, профессионального и дополнительного образования должна знакомить учащихся с элементами инновационного процесса, формировать навыки создания и реализации инновационных проектов.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Важным направлением в сфере обеспечения взаимодействия муниципалитета с населением является дальнейшее внедрение IT-технологий, упрощение порядка и повышение качества получения муниципальных услуг за счет использования и совершенствования современных информационных систем.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keepNext/>
        <w:spacing w:before="240" w:after="120" w:line="240" w:lineRule="auto"/>
        <w:jc w:val="center"/>
        <w:outlineLvl w:val="0"/>
        <w:rPr>
          <w:rFonts w:ascii="Times New Roman" w:eastAsia="Batang" w:hAnsi="Times New Roman" w:cs="Times New Roman"/>
          <w:b/>
          <w:bCs/>
          <w:kern w:val="32"/>
          <w:sz w:val="28"/>
          <w:szCs w:val="32"/>
          <w:lang w:eastAsia="ko-KR"/>
        </w:rPr>
      </w:pPr>
      <w:bookmarkStart w:id="7" w:name="_Toc410639446"/>
      <w:r w:rsidRPr="005B0D7D">
        <w:rPr>
          <w:rFonts w:ascii="Times New Roman" w:eastAsia="Batang" w:hAnsi="Times New Roman" w:cs="Times New Roman"/>
          <w:b/>
          <w:bCs/>
          <w:kern w:val="32"/>
          <w:sz w:val="28"/>
          <w:szCs w:val="32"/>
          <w:lang w:eastAsia="ko-KR"/>
        </w:rPr>
        <w:t xml:space="preserve">2. КОНЦЕПТУАЛЬНЫЕ ОСНОВЫ РАЗРАБОТКИ И ОБЕСПЕЧЕНИЯ </w:t>
      </w:r>
      <w:proofErr w:type="gramStart"/>
      <w:r w:rsidRPr="005B0D7D">
        <w:rPr>
          <w:rFonts w:ascii="Times New Roman" w:eastAsia="Batang" w:hAnsi="Times New Roman" w:cs="Times New Roman"/>
          <w:b/>
          <w:bCs/>
          <w:kern w:val="32"/>
          <w:sz w:val="28"/>
          <w:szCs w:val="32"/>
          <w:lang w:eastAsia="ko-KR"/>
        </w:rPr>
        <w:t>РЕАЛИЗАЦИИ СТРАТЕГИИ СОЦИАЛЬНО-ЭКОНОМИЧЕСКОГО РАЗВИТИЯ ГОРОДА ХАНТЫ-МАНСИЙСКА</w:t>
      </w:r>
      <w:proofErr w:type="gramEnd"/>
      <w:r w:rsidRPr="005B0D7D">
        <w:rPr>
          <w:rFonts w:ascii="Times New Roman" w:eastAsia="Batang" w:hAnsi="Times New Roman" w:cs="Times New Roman"/>
          <w:b/>
          <w:bCs/>
          <w:kern w:val="32"/>
          <w:sz w:val="28"/>
          <w:szCs w:val="32"/>
          <w:lang w:eastAsia="ko-KR"/>
        </w:rPr>
        <w:t xml:space="preserve"> ДО 2020 ГОДА И НА ПЕРИОД ДО 2030 ГОДА</w:t>
      </w:r>
      <w:bookmarkEnd w:id="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Стратегия социально-экономического развития города Ханты-Мансийка </w:t>
      </w:r>
      <w:r w:rsidRPr="005B0D7D">
        <w:rPr>
          <w:rFonts w:ascii="Times New Roman" w:eastAsia="Batang" w:hAnsi="Times New Roman" w:cs="Times New Roman"/>
          <w:sz w:val="28"/>
          <w:szCs w:val="24"/>
          <w:lang w:eastAsia="ko-KR"/>
        </w:rPr>
        <w:t xml:space="preserve">до 2020 года и на период </w:t>
      </w:r>
      <w:r w:rsidRPr="005B0D7D">
        <w:rPr>
          <w:rFonts w:ascii="Times New Roman" w:eastAsia="Batang" w:hAnsi="Times New Roman" w:cs="Times New Roman"/>
          <w:sz w:val="28"/>
          <w:szCs w:val="28"/>
          <w:lang w:eastAsia="ko-KR"/>
        </w:rPr>
        <w:t>до 2030 года разработана в соответствии с Федеральным законом «О стратегическом планировании в Российской Федерации» от 28 июня 2014 года №172-ФЗ.</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roofErr w:type="gramStart"/>
      <w:r w:rsidRPr="005B0D7D">
        <w:rPr>
          <w:rFonts w:ascii="Times New Roman" w:eastAsia="Batang" w:hAnsi="Times New Roman" w:cs="Times New Roman"/>
          <w:sz w:val="28"/>
          <w:szCs w:val="28"/>
          <w:lang w:eastAsia="ko-KR"/>
        </w:rPr>
        <w:t>В Стратегии учтены ориентиры, заданные ежегодными посланиями Президента Российской Федерации, Основными направлениями деятельности Правительства Российской Федерации на период до 2018 года, Стратегией социально-экономического развития Уральского федерального округа на период до 2020 года, Стратегией социально-экономического развития Ханты-Мансийского автономного округа – Югры до 2020 года и на период до 2030 года, государственными программами Российской Федерации и Ханты-Мансийского автономного округа – Югры, Генеральным планом городского</w:t>
      </w:r>
      <w:proofErr w:type="gramEnd"/>
      <w:r w:rsidRPr="005B0D7D">
        <w:rPr>
          <w:rFonts w:ascii="Times New Roman" w:eastAsia="Batang" w:hAnsi="Times New Roman" w:cs="Times New Roman"/>
          <w:sz w:val="28"/>
          <w:szCs w:val="28"/>
          <w:lang w:eastAsia="ko-KR"/>
        </w:rPr>
        <w:t xml:space="preserve"> округа «город Ханты-Мансийск».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Назначение настоящей Стратегии состоит в том, чтобы с учетом сложившихся тенденций и выявленного потенциала различных сфер жизнедеятельности обеспечить реализацию заданного вектора инновационного развития города Ханты-Мансийска на длительную перспективу, а также создать механизм достижения целевых показателей и решения стратегических задач.</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рамках настоящей Стратегии на основе анализа социально-экономического положения города Ханты-Мансийска проводится оценка имеющегося потенциала, формулируются сильные и слабые стороны конкурентоспособности экономики города, а также возможности и угрозы. Реализация </w:t>
      </w:r>
      <w:r w:rsidRPr="005B0D7D">
        <w:rPr>
          <w:rFonts w:ascii="Times New Roman" w:eastAsia="Batang" w:hAnsi="Times New Roman" w:cs="Times New Roman"/>
          <w:sz w:val="28"/>
          <w:szCs w:val="28"/>
          <w:lang w:val="en-US" w:eastAsia="ko-KR"/>
        </w:rPr>
        <w:t>SWOT</w:t>
      </w:r>
      <w:r w:rsidRPr="005B0D7D">
        <w:rPr>
          <w:rFonts w:ascii="Times New Roman" w:eastAsia="Batang" w:hAnsi="Times New Roman" w:cs="Times New Roman"/>
          <w:sz w:val="28"/>
          <w:szCs w:val="28"/>
          <w:lang w:eastAsia="ko-KR"/>
        </w:rPr>
        <w:t xml:space="preserve">-анализа обеспечивает понимание проблем и перспектив развития основных сфер жизнедеятельности. Оценка внутреннего потенциала города Ханты-Мансийска в увязке с внешними условиями дает возможность определить три возможных сценария развития города. Выбор наиболее вероятного сценария позволяет сформулировать миссию города, а также систему стратегических целей и задач.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 xml:space="preserve">В рамках каждой задачи представлены концептуальные направления развития соответствующей </w:t>
      </w:r>
      <w:proofErr w:type="gramStart"/>
      <w:r w:rsidRPr="005B0D7D">
        <w:rPr>
          <w:rFonts w:ascii="Times New Roman" w:eastAsia="Batang" w:hAnsi="Times New Roman" w:cs="Times New Roman"/>
          <w:sz w:val="28"/>
          <w:szCs w:val="28"/>
          <w:lang w:eastAsia="ko-KR"/>
        </w:rPr>
        <w:t>сферы</w:t>
      </w:r>
      <w:proofErr w:type="gramEnd"/>
      <w:r w:rsidRPr="005B0D7D">
        <w:rPr>
          <w:rFonts w:ascii="Times New Roman" w:eastAsia="Batang" w:hAnsi="Times New Roman" w:cs="Times New Roman"/>
          <w:sz w:val="28"/>
          <w:szCs w:val="28"/>
          <w:lang w:eastAsia="ko-KR"/>
        </w:rPr>
        <w:t xml:space="preserve"> жизнедеятельности, описаны контуры приоритетных проектов, предполагаемых к внедрению. Обоснование задач и способов их решения позволяет сформировать ожидаемые результаты и, в частности, перечень стратегических показателей, плановые значения которых являются реперными точками для исполнителей Стратегии.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Обеспечить действенность Стратегии как важнейшего документа стратегического планирования города призваны механизмы реализации Стратегии. Предполагается создание целостной системы стратегического управления городом Ханты-Мансийском, в которую будут вовлечены органы Администрации города, учреждения, </w:t>
      </w:r>
      <w:proofErr w:type="gramStart"/>
      <w:r w:rsidRPr="005B0D7D">
        <w:rPr>
          <w:rFonts w:ascii="Times New Roman" w:eastAsia="Batang" w:hAnsi="Times New Roman" w:cs="Times New Roman"/>
          <w:sz w:val="28"/>
          <w:szCs w:val="28"/>
          <w:lang w:eastAsia="ko-KR"/>
        </w:rPr>
        <w:t>бизнес-структуры</w:t>
      </w:r>
      <w:proofErr w:type="gramEnd"/>
      <w:r w:rsidRPr="005B0D7D">
        <w:rPr>
          <w:rFonts w:ascii="Times New Roman" w:eastAsia="Batang" w:hAnsi="Times New Roman" w:cs="Times New Roman"/>
          <w:sz w:val="28"/>
          <w:szCs w:val="28"/>
          <w:lang w:eastAsia="ko-KR"/>
        </w:rPr>
        <w:t xml:space="preserve"> и общественность.</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Стратегия социально-экономического развития города Ханты-Мансийска до 2020 года и на период до 2030 года разработана на основе девяти принципов, сформулированных в процессе работы над предшествующим стратегическим документом – Стратегией социально-экономического развития города Ханты-Мансийска до 2020 года.  Трактовка исходных принципов уточнялась с учетом развития методологии стратегического планирования и наработанного практического опыта.</w:t>
      </w:r>
    </w:p>
    <w:p w:rsidR="005B0D7D" w:rsidRPr="005B0D7D" w:rsidRDefault="005B0D7D" w:rsidP="005B0D7D">
      <w:pPr>
        <w:numPr>
          <w:ilvl w:val="0"/>
          <w:numId w:val="21"/>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взаимосвязи документов стратегического планирования. Стратегия находится в тесной взаимосвязи с документами территориального планирования и градостроительного проектирования – Генеральным планом городского округа «город Ханты-Мансийск», Правилами землепользования и застройки. Положения Стратегии находят отражение в Программе социально-экономического развития города Ханты-Мансийска и в части отдельных сфер жизнедеятельности – в муниципальных программах.</w:t>
      </w:r>
    </w:p>
    <w:p w:rsidR="005B0D7D" w:rsidRPr="005B0D7D" w:rsidRDefault="005B0D7D" w:rsidP="005B0D7D">
      <w:pPr>
        <w:numPr>
          <w:ilvl w:val="0"/>
          <w:numId w:val="21"/>
        </w:numPr>
        <w:tabs>
          <w:tab w:val="left" w:pos="0"/>
          <w:tab w:val="left" w:pos="142"/>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преемственности. Актуализированные варианты Стратегии должны находиться в определенной взаимосвязи с изначально утвержденным ее вариантом. Стратегия рассчитана на долгосрочную перспективу и не должна пересматриваться исключительно по причинам политического характера, изменения структуры органов местного самоуправления, т.е. без глубокого анализа внешних и внутренних факторов развития муниципального образования.</w:t>
      </w:r>
    </w:p>
    <w:p w:rsidR="005B0D7D" w:rsidRPr="005B0D7D" w:rsidRDefault="005B0D7D" w:rsidP="00902789">
      <w:pPr>
        <w:numPr>
          <w:ilvl w:val="0"/>
          <w:numId w:val="21"/>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наращивания усилий. В процессе реализации Стратегии необходимо обеспечивать воспроизводство ресурсов, что позволит на каждом следующем этапе задействовать ресурсы, образовавшиеся на предыдущих этапах.</w:t>
      </w:r>
    </w:p>
    <w:p w:rsidR="005B0D7D" w:rsidRPr="005B0D7D" w:rsidRDefault="005B0D7D" w:rsidP="00902789">
      <w:pPr>
        <w:numPr>
          <w:ilvl w:val="0"/>
          <w:numId w:val="21"/>
        </w:numPr>
        <w:tabs>
          <w:tab w:val="left" w:pos="0"/>
          <w:tab w:val="left" w:pos="142"/>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косвенного воздействия. Стратегия большей частью направлена не на прямое устранение проблем, а на создание условий, при которых решение одних проблем будет создавать условия для решения других.</w:t>
      </w:r>
    </w:p>
    <w:p w:rsidR="005B0D7D" w:rsidRPr="005B0D7D" w:rsidRDefault="005B0D7D" w:rsidP="00902789">
      <w:pPr>
        <w:numPr>
          <w:ilvl w:val="0"/>
          <w:numId w:val="21"/>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инфраструктурного обеспечения. Эффективность Стратегии определяется положительными изменениями в обеспечении города объектами коммунальной, транспортной, социальной и иной инфраструктуры.</w:t>
      </w:r>
    </w:p>
    <w:p w:rsidR="005B0D7D" w:rsidRPr="005B0D7D" w:rsidRDefault="005B0D7D" w:rsidP="00902789">
      <w:pPr>
        <w:numPr>
          <w:ilvl w:val="0"/>
          <w:numId w:val="21"/>
        </w:numPr>
        <w:tabs>
          <w:tab w:val="left" w:pos="-284"/>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актуальности. На определенных этапах развития города Стратегия должна корректироваться с учетом изменившихся условий внешней и внутренней среды. При этом корректировка Стратегии должна проводиться в порядке, установленном локальными актами.</w:t>
      </w:r>
    </w:p>
    <w:p w:rsidR="005B0D7D" w:rsidRPr="005B0D7D" w:rsidRDefault="005B0D7D" w:rsidP="00902789">
      <w:pPr>
        <w:numPr>
          <w:ilvl w:val="0"/>
          <w:numId w:val="21"/>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lastRenderedPageBreak/>
        <w:t>Принцип информационной открытости. Данный принцип основывается на необходимости предоставления информации о реализации Стратегии всем заинтересованным субъектам.</w:t>
      </w:r>
    </w:p>
    <w:p w:rsidR="005B0D7D" w:rsidRPr="005B0D7D" w:rsidRDefault="005B0D7D" w:rsidP="00902789">
      <w:pPr>
        <w:numPr>
          <w:ilvl w:val="0"/>
          <w:numId w:val="21"/>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социального партнерства. Подходы к реализации многих стратегических направлений основываются на выстраивании партнерских взаимоотношений между различными социальными группами в рамках местного сообщества.</w:t>
      </w:r>
    </w:p>
    <w:p w:rsidR="005B0D7D" w:rsidRPr="005B0D7D" w:rsidRDefault="005B0D7D" w:rsidP="00902789">
      <w:pPr>
        <w:numPr>
          <w:ilvl w:val="0"/>
          <w:numId w:val="21"/>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закрепления ответственности. Предполагается, что будет выстроена система закрепления ответственности органов Администрации города Ханты-Мансийска за реализацию задач Стратегии.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Концепции развития отдельных сфер жизнедеятельности, изложенные в рамках описания каждой стратегической задачи, должны стать ориентиром и руководством в процессе переработки перечня муниципальных программ и содержания каждой отдельной программы.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keepNext/>
        <w:spacing w:before="240" w:after="60" w:line="240" w:lineRule="auto"/>
        <w:jc w:val="center"/>
        <w:outlineLvl w:val="0"/>
        <w:rPr>
          <w:rFonts w:ascii="Times New Roman" w:eastAsia="Batang" w:hAnsi="Times New Roman" w:cs="Times New Roman"/>
          <w:b/>
          <w:bCs/>
          <w:kern w:val="32"/>
          <w:sz w:val="28"/>
          <w:szCs w:val="32"/>
          <w:lang w:eastAsia="ko-KR"/>
        </w:rPr>
      </w:pPr>
      <w:bookmarkStart w:id="8" w:name="_Toc410639447"/>
      <w:r w:rsidRPr="005B0D7D">
        <w:rPr>
          <w:rFonts w:ascii="Times New Roman" w:eastAsia="Batang" w:hAnsi="Times New Roman" w:cs="Times New Roman"/>
          <w:b/>
          <w:bCs/>
          <w:kern w:val="32"/>
          <w:sz w:val="28"/>
          <w:szCs w:val="32"/>
          <w:lang w:eastAsia="ko-KR"/>
        </w:rPr>
        <w:t>3. ОЦЕНКА СУЩЕСТВУЮЩЕГО СОСТОЯНИЯ ЭКОНОМИКИ ГОРОДА ХАНТЫ-МАНСИЙСКА</w:t>
      </w:r>
      <w:bookmarkEnd w:id="8"/>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Оценка существующего состояния экономики города Ханты-Мансийска была проведена на основе информации о социально-экономическом положении города, в том числе правовой информации, регулирующей процесс развития города, статистической информации Федеральной службы государственной статистки Российской Федерации, информации, предоставленной органами Администрации города Ханты-Мансийска, и данных информационно-правовой системы «Консультант плюс: Сводное региональное законодательство», а также информации свободного доступа в сети Интернет.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Оценка проведена с применением метода SWOT-анализа, с помощью которого были выделены сильные и слабые стороны, а также потенциальные перспективы и угрозы развития города в целом и отдельных сфер жизнедеятельности. Сравнительный метод был применен для выявления конкурентных преимуществ города в сравнении с другими муниципальными образованиями Ханты-Мансийского автономного округа – Югры, а также определения экономической роли города в регионе. С помощью метода ретроспективного анализа были определены тенденции развития города: по отдельным показателям анализ проведен с 2010 года, для большинства показателей, тенденция изменения которых может быть определена в более короткие периоды времени, ретроспектива в процессе исследования была ограничена 2012-2013 годами. Базовым годом для данного исследования определен 2013 год.</w:t>
      </w:r>
    </w:p>
    <w:p w:rsidR="005B0D7D" w:rsidRPr="005B0D7D" w:rsidRDefault="005B0D7D" w:rsidP="005B0D7D">
      <w:pPr>
        <w:keepNext/>
        <w:spacing w:before="240" w:after="60" w:line="240" w:lineRule="auto"/>
        <w:jc w:val="center"/>
        <w:outlineLvl w:val="0"/>
        <w:rPr>
          <w:rFonts w:ascii="Times New Roman" w:eastAsia="Batang" w:hAnsi="Times New Roman" w:cs="Times New Roman"/>
          <w:b/>
          <w:bCs/>
          <w:kern w:val="32"/>
          <w:sz w:val="28"/>
          <w:szCs w:val="32"/>
          <w:lang w:eastAsia="ko-KR"/>
        </w:rPr>
      </w:pPr>
      <w:bookmarkStart w:id="9" w:name="_Toc410639448"/>
      <w:r w:rsidRPr="005B0D7D">
        <w:rPr>
          <w:rFonts w:ascii="Times New Roman" w:eastAsia="Batang" w:hAnsi="Times New Roman" w:cs="Times New Roman"/>
          <w:b/>
          <w:bCs/>
          <w:kern w:val="32"/>
          <w:sz w:val="28"/>
          <w:szCs w:val="32"/>
          <w:lang w:eastAsia="ko-KR"/>
        </w:rPr>
        <w:t>3.1. ОЦЕНКА КЛЮЧЕВЫХ ВНЕШНИХ ФАКТОРОВ</w:t>
      </w:r>
      <w:bookmarkEnd w:id="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Основными факторами регионального, общероссийского и мирового характера, влияющими на развитие города Ханты-Мансийска, являются </w:t>
      </w:r>
      <w:proofErr w:type="gramStart"/>
      <w:r w:rsidRPr="005B0D7D">
        <w:rPr>
          <w:rFonts w:ascii="Times New Roman" w:eastAsia="Batang" w:hAnsi="Times New Roman" w:cs="Times New Roman"/>
          <w:sz w:val="28"/>
          <w:szCs w:val="28"/>
          <w:lang w:eastAsia="ko-KR"/>
        </w:rPr>
        <w:t>следующие</w:t>
      </w:r>
      <w:proofErr w:type="gramEnd"/>
      <w:r w:rsidRPr="005B0D7D">
        <w:rPr>
          <w:rFonts w:ascii="Times New Roman" w:eastAsia="Batang" w:hAnsi="Times New Roman" w:cs="Times New Roman"/>
          <w:sz w:val="28"/>
          <w:szCs w:val="28"/>
          <w:lang w:eastAsia="ko-KR"/>
        </w:rPr>
        <w:t>.</w:t>
      </w:r>
    </w:p>
    <w:p w:rsidR="005B0D7D" w:rsidRPr="005B0D7D" w:rsidRDefault="005B0D7D" w:rsidP="00902789">
      <w:pPr>
        <w:numPr>
          <w:ilvl w:val="0"/>
          <w:numId w:val="16"/>
        </w:numPr>
        <w:tabs>
          <w:tab w:val="left" w:pos="-142"/>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lastRenderedPageBreak/>
        <w:t xml:space="preserve">Глобальные </w:t>
      </w:r>
      <w:proofErr w:type="gramStart"/>
      <w:r w:rsidRPr="005B0D7D">
        <w:rPr>
          <w:rFonts w:ascii="Times New Roman" w:eastAsia="Batang" w:hAnsi="Times New Roman" w:cs="Times New Roman"/>
          <w:sz w:val="28"/>
          <w:szCs w:val="28"/>
          <w:lang w:eastAsia="ru-RU"/>
        </w:rPr>
        <w:t>экономические процессы</w:t>
      </w:r>
      <w:proofErr w:type="gramEnd"/>
      <w:r w:rsidRPr="005B0D7D">
        <w:rPr>
          <w:rFonts w:ascii="Times New Roman" w:eastAsia="Batang" w:hAnsi="Times New Roman" w:cs="Times New Roman"/>
          <w:sz w:val="28"/>
          <w:szCs w:val="28"/>
          <w:lang w:eastAsia="ru-RU"/>
        </w:rPr>
        <w:t>, которые влияют на устойчивость российской экономики и, опосредованно, на состояние экономики муниципальных образований.</w:t>
      </w:r>
    </w:p>
    <w:p w:rsidR="005B0D7D" w:rsidRPr="005B0D7D" w:rsidRDefault="005B0D7D" w:rsidP="00902789">
      <w:pPr>
        <w:numPr>
          <w:ilvl w:val="0"/>
          <w:numId w:val="16"/>
        </w:numPr>
        <w:tabs>
          <w:tab w:val="left" w:pos="142"/>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Внешнеполитическая ситуация в Российской Федерации, которая определяет частоту и направленность международных контактов, возможности межмуниципального сотрудничества с городами зарубежных стран, туристические предпочтения граждан других государств в отношении России.</w:t>
      </w:r>
    </w:p>
    <w:p w:rsidR="005B0D7D" w:rsidRPr="005B0D7D" w:rsidRDefault="005B0D7D" w:rsidP="00902789">
      <w:pPr>
        <w:numPr>
          <w:ilvl w:val="0"/>
          <w:numId w:val="16"/>
        </w:numPr>
        <w:tabs>
          <w:tab w:val="left" w:pos="0"/>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Внутриполитическая и макроэкономическая ситуация в Российской Федерации, от которой зависит реализация федеральных законов и государственных программ, уровень бюджетных возможностей региона и города, объемы инвестиций в основной капитал, прибыльность предприятий и организаций, платежеспособность и уровень занятости населения.</w:t>
      </w:r>
    </w:p>
    <w:p w:rsidR="005B0D7D" w:rsidRPr="005B0D7D" w:rsidRDefault="005B0D7D" w:rsidP="00902789">
      <w:pPr>
        <w:numPr>
          <w:ilvl w:val="0"/>
          <w:numId w:val="16"/>
        </w:numPr>
        <w:tabs>
          <w:tab w:val="left" w:pos="0"/>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Высокая зависимость экономики Ханты-Мансийского автономного округа – Югры от нефтегазового сектора, характеризующегося подверженностью сильному влиянию </w:t>
      </w:r>
      <w:r w:rsidRPr="005B0D7D">
        <w:rPr>
          <w:rFonts w:ascii="Times New Roman" w:eastAsia="Batang" w:hAnsi="Times New Roman" w:cs="Times New Roman"/>
          <w:sz w:val="28"/>
          <w:szCs w:val="20"/>
          <w:lang w:eastAsia="ru-RU"/>
        </w:rPr>
        <w:t>колебаний мировых цен на энергоносители, низкой глубиной переработки углеводородного сырья, извлечением выгоды в виде природной ренты при низком уровне внедрения инновационных технологий, что особенно характерно для независимых от вертикально-интегрированных компаний нефтегазодобывающих предприятий.</w:t>
      </w:r>
    </w:p>
    <w:p w:rsidR="005B0D7D" w:rsidRPr="005B0D7D" w:rsidRDefault="005B0D7D" w:rsidP="00902789">
      <w:pPr>
        <w:numPr>
          <w:ilvl w:val="0"/>
          <w:numId w:val="16"/>
        </w:numPr>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Уровень интереса к городу Ханты-Мансийску со стороны крупных инвесторов, готовых реализовывать на данной территории свои проекты, а также намерения крупных компаний регистрировать в городе свои офисы, что создает возможность </w:t>
      </w:r>
      <w:proofErr w:type="spellStart"/>
      <w:r w:rsidRPr="005B0D7D">
        <w:rPr>
          <w:rFonts w:ascii="Times New Roman" w:eastAsia="Batang" w:hAnsi="Times New Roman" w:cs="Times New Roman"/>
          <w:sz w:val="28"/>
          <w:szCs w:val="28"/>
          <w:lang w:eastAsia="ru-RU"/>
        </w:rPr>
        <w:t>софинансирования</w:t>
      </w:r>
      <w:proofErr w:type="spellEnd"/>
      <w:r w:rsidRPr="005B0D7D">
        <w:rPr>
          <w:rFonts w:ascii="Times New Roman" w:eastAsia="Batang" w:hAnsi="Times New Roman" w:cs="Times New Roman"/>
          <w:sz w:val="28"/>
          <w:szCs w:val="28"/>
          <w:lang w:eastAsia="ru-RU"/>
        </w:rPr>
        <w:t xml:space="preserve"> строительства важных для города объектов, в том числе на условиях государственно-частного партнерства, улучшения городской инфраструктуры, а также реализации научно-исследовательских проектов. </w:t>
      </w:r>
    </w:p>
    <w:p w:rsidR="005B0D7D" w:rsidRPr="005B0D7D" w:rsidRDefault="005B0D7D" w:rsidP="005B0D7D">
      <w:pPr>
        <w:keepNext/>
        <w:spacing w:before="240" w:after="60" w:line="240" w:lineRule="auto"/>
        <w:jc w:val="center"/>
        <w:outlineLvl w:val="0"/>
        <w:rPr>
          <w:rFonts w:ascii="Times New Roman" w:eastAsia="Batang" w:hAnsi="Times New Roman" w:cs="Times New Roman"/>
          <w:b/>
          <w:bCs/>
          <w:kern w:val="32"/>
          <w:sz w:val="28"/>
          <w:szCs w:val="32"/>
          <w:lang w:eastAsia="ko-KR"/>
        </w:rPr>
      </w:pPr>
      <w:bookmarkStart w:id="10" w:name="_Toc410639449"/>
      <w:r w:rsidRPr="005B0D7D">
        <w:rPr>
          <w:rFonts w:ascii="Times New Roman" w:eastAsia="Batang" w:hAnsi="Times New Roman" w:cs="Times New Roman"/>
          <w:b/>
          <w:bCs/>
          <w:kern w:val="32"/>
          <w:sz w:val="28"/>
          <w:szCs w:val="32"/>
          <w:lang w:eastAsia="ko-KR"/>
        </w:rPr>
        <w:t>3.2. ОЦЕНКА ВНУТРЕННИХ ФАКТОРОВ</w:t>
      </w:r>
      <w:bookmarkEnd w:id="10"/>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Основными внутренними факторами, влияющими на экономическое развитие города Ханты-Мансийска, являются: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ресурсы города, в том числе природные, кадровые, финансовые (в том числе бюджет);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климатические условия территории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экономическая база города, в том числе наличие предприятий реального сектора экономики, объем инвестиций в основной капитал, уровень продовольственной безопасности;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развитость рынка потребительских и бюджетных услуг на территории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условия развития малого и среднего предпринимательства.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уровень жизни населения, его покупательная способность;</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уровень развития социальной сферы;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состояние городской среды, в том числе транспорта, жилищно-коммунального хозяйства, инженерных сетей, логистической инфраструктуры города, экологической обстановки;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 уровень квалификации и трудовой мотивации муниципальных служащих, их способность организовать проце</w:t>
      </w:r>
      <w:proofErr w:type="gramStart"/>
      <w:r w:rsidRPr="005B0D7D">
        <w:rPr>
          <w:rFonts w:ascii="Times New Roman" w:eastAsia="Batang" w:hAnsi="Times New Roman" w:cs="Times New Roman"/>
          <w:sz w:val="28"/>
          <w:szCs w:val="28"/>
          <w:lang w:eastAsia="ko-KR"/>
        </w:rPr>
        <w:t>сс стр</w:t>
      </w:r>
      <w:proofErr w:type="gramEnd"/>
      <w:r w:rsidRPr="005B0D7D">
        <w:rPr>
          <w:rFonts w:ascii="Times New Roman" w:eastAsia="Batang" w:hAnsi="Times New Roman" w:cs="Times New Roman"/>
          <w:sz w:val="28"/>
          <w:szCs w:val="28"/>
          <w:lang w:eastAsia="ko-KR"/>
        </w:rPr>
        <w:t>атегического управления городом.</w:t>
      </w:r>
    </w:p>
    <w:bookmarkEnd w:id="3"/>
    <w:bookmarkEnd w:id="4"/>
    <w:bookmarkEnd w:id="5"/>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Город Ханты-Мансийск расположен в живописном месте Западно-Сибирской низменности у подножья крутых склонов правого берега р. Иртыш, в </w:t>
      </w:r>
      <w:smartTag w:uri="urn:schemas-microsoft-com:office:smarttags" w:element="metricconverter">
        <w:smartTagPr>
          <w:attr w:name="ProductID" w:val="20 км"/>
        </w:smartTagPr>
        <w:r w:rsidRPr="005B0D7D">
          <w:rPr>
            <w:rFonts w:ascii="Times New Roman" w:eastAsia="Batang" w:hAnsi="Times New Roman" w:cs="Times New Roman"/>
            <w:sz w:val="28"/>
            <w:szCs w:val="28"/>
            <w:lang w:eastAsia="ko-KR"/>
          </w:rPr>
          <w:t>20 км</w:t>
        </w:r>
      </w:smartTag>
      <w:r w:rsidRPr="005B0D7D">
        <w:rPr>
          <w:rFonts w:ascii="Times New Roman" w:eastAsia="Batang" w:hAnsi="Times New Roman" w:cs="Times New Roman"/>
          <w:sz w:val="28"/>
          <w:szCs w:val="28"/>
          <w:lang w:eastAsia="ko-KR"/>
        </w:rPr>
        <w:t xml:space="preserve"> от места слияния рек Иртыша и Оби.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Площадь территории муниципального образования составляет </w:t>
      </w:r>
      <w:smartTag w:uri="urn:schemas-microsoft-com:office:smarttags" w:element="metricconverter">
        <w:smartTagPr>
          <w:attr w:name="ProductID" w:val="33 776 га"/>
        </w:smartTagPr>
        <w:r w:rsidRPr="005B0D7D">
          <w:rPr>
            <w:rFonts w:ascii="Times New Roman" w:eastAsia="Batang" w:hAnsi="Times New Roman" w:cs="Times New Roman"/>
            <w:sz w:val="28"/>
            <w:szCs w:val="28"/>
            <w:lang w:eastAsia="ko-KR"/>
          </w:rPr>
          <w:t>33 776 га</w:t>
        </w:r>
      </w:smartTag>
      <w:r w:rsidRPr="005B0D7D">
        <w:rPr>
          <w:rFonts w:ascii="Times New Roman" w:eastAsia="Batang" w:hAnsi="Times New Roman" w:cs="Times New Roman"/>
          <w:sz w:val="28"/>
          <w:szCs w:val="28"/>
          <w:lang w:eastAsia="ko-KR"/>
        </w:rPr>
        <w:t>. Часть территории городского округа занимают пойменные территории, затапливаемые паводком реки Иртыш. Река Иртыш огибает город и является его естественной границей с юго-востока, юга и запада.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Численность населения города на начало 2014 года составила 93 493 человек. По численности населения Ханты-Мансийск находится на пятом месте среди муниципальных образований Ханты-Мансийского автономного округа – Югры. Плотность населения города составила 277 человек на 1 км</w:t>
      </w:r>
      <w:proofErr w:type="gramStart"/>
      <w:r w:rsidRPr="005B0D7D">
        <w:rPr>
          <w:rFonts w:ascii="Times New Roman" w:eastAsia="Batang" w:hAnsi="Times New Roman" w:cs="Times New Roman"/>
          <w:sz w:val="28"/>
          <w:szCs w:val="28"/>
          <w:vertAlign w:val="superscript"/>
          <w:lang w:eastAsia="ko-KR"/>
        </w:rPr>
        <w:t>2</w:t>
      </w:r>
      <w:proofErr w:type="gramEnd"/>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Климатическая зона, в которой расположен </w:t>
      </w:r>
      <w:proofErr w:type="gramStart"/>
      <w:r w:rsidRPr="005B0D7D">
        <w:rPr>
          <w:rFonts w:ascii="Times New Roman" w:eastAsia="Batang" w:hAnsi="Times New Roman" w:cs="Times New Roman"/>
          <w:sz w:val="28"/>
          <w:szCs w:val="28"/>
          <w:lang w:eastAsia="ko-KR"/>
        </w:rPr>
        <w:t>город</w:t>
      </w:r>
      <w:proofErr w:type="gramEnd"/>
      <w:r w:rsidRPr="005B0D7D">
        <w:rPr>
          <w:rFonts w:ascii="Times New Roman" w:eastAsia="Batang" w:hAnsi="Times New Roman" w:cs="Times New Roman"/>
          <w:sz w:val="28"/>
          <w:szCs w:val="28"/>
          <w:lang w:eastAsia="ko-KR"/>
        </w:rPr>
        <w:t xml:space="preserve"> Ханты-Мансийск, характеризуется ярко выраженным умеренным континентальным климатом с продолжительной суровой зимой с ветрами и коротким, жарким летом. Территория городского округа приравнена к районам Крайнего Севера.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Поселение на территории современного Ханты-Мансийска впервые упоминается в 1583 году. Новейшая история города связана с созданием в 1930-е годы Остяко-Вогульского национального округа (ныне Ханты-Мансийский автономный округ – Югра). Конституция Российской Федерации 1993 года закрепила статус округа в качестве самостоятельного субъекта Российской Федерации, что послужило импульсом к бурному развитию экономики и социальной сферы города Ханты-Мансийска как регионального центра. Город приобрел собственный неповторимый архитектурный облик, сформировался как административный, общественно-деловой, культурный и спортивный центр Ханты-Мансийского округа – Югры, известный далеко за пределами региона.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Ханты-Мансийск имеет сформированную транспортную систему, развивается как точка пересечения путей автомобильного, воздушного и речного транспорта.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Основные показатели развития города Ханты-Мансийска за 2013 год представлены в таблице 1.</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bookmarkStart w:id="11" w:name="_Toc392143741"/>
      <w:bookmarkStart w:id="12" w:name="_Toc392622922"/>
      <w:r w:rsidRPr="005B0D7D">
        <w:rPr>
          <w:rFonts w:ascii="Times New Roman" w:eastAsia="Batang" w:hAnsi="Times New Roman" w:cs="Times New Roman"/>
          <w:sz w:val="28"/>
          <w:szCs w:val="28"/>
          <w:lang w:eastAsia="ko-KR"/>
        </w:rPr>
        <w:t>Таблица 1</w:t>
      </w:r>
    </w:p>
    <w:p w:rsidR="005B0D7D" w:rsidRPr="005B0D7D" w:rsidRDefault="005B0D7D" w:rsidP="005B0D7D">
      <w:pPr>
        <w:spacing w:before="120" w:after="120" w:line="240" w:lineRule="auto"/>
        <w:ind w:firstLine="720"/>
        <w:jc w:val="center"/>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Основные показатели развития города Ханты-Мансийска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8"/>
        <w:gridCol w:w="1418"/>
      </w:tblGrid>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Территория, тыс. га</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33,776</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Численность постоянного населения на 1 января 2014 года, чел.</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93 493</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производства промышленной продукции по крупным и средним предприятиям, млн. руб.</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9 700,9</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производства продукции сельского хозяйства, млн. руб.</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5,82</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инвестиций в основной капитал, млн. руб.</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23 571,8</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Ввод в действие жилых домов, тыс. кв. м</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106,8</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Оборот розничной торговли, млн. руб.</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15 989,9</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платных услуг населению, млн. руб.</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5 177,56</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Уровень зарегистрированной безработицы, %</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0,13</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Среднедушевые денежные доходы населения в месяц, руб.</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45 098,00</w:t>
            </w:r>
          </w:p>
        </w:tc>
      </w:tr>
      <w:tr w:rsidR="005B0D7D" w:rsidRPr="005B0D7D" w:rsidTr="005B0D7D">
        <w:trPr>
          <w:cantSplit/>
        </w:trPr>
        <w:tc>
          <w:tcPr>
            <w:tcW w:w="793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lastRenderedPageBreak/>
              <w:t>Коэффициент естественного прироста населения, чел. на 1 тыс. жителей</w:t>
            </w:r>
          </w:p>
        </w:tc>
        <w:tc>
          <w:tcPr>
            <w:tcW w:w="1418"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13,8</w:t>
            </w:r>
          </w:p>
        </w:tc>
      </w:tr>
    </w:tbl>
    <w:p w:rsidR="005B0D7D" w:rsidRPr="005B0D7D" w:rsidRDefault="005B0D7D" w:rsidP="005B0D7D">
      <w:pPr>
        <w:spacing w:after="0" w:line="240" w:lineRule="auto"/>
        <w:ind w:firstLine="720"/>
        <w:rPr>
          <w:rFonts w:ascii="Times New Roman" w:eastAsia="Batang" w:hAnsi="Times New Roman" w:cs="Times New Roman"/>
          <w:sz w:val="28"/>
          <w:szCs w:val="28"/>
          <w:lang w:eastAsia="ko-KR"/>
        </w:rPr>
      </w:pP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13" w:name="_Toc410639450"/>
      <w:bookmarkStart w:id="14" w:name="_Toc392143742"/>
      <w:bookmarkStart w:id="15" w:name="_Toc392622923"/>
      <w:bookmarkStart w:id="16" w:name="_Toc395506365"/>
      <w:bookmarkStart w:id="17" w:name="_Toc404211516"/>
      <w:bookmarkStart w:id="18" w:name="_Toc404218150"/>
      <w:bookmarkEnd w:id="11"/>
      <w:bookmarkEnd w:id="12"/>
      <w:r w:rsidRPr="005B0D7D">
        <w:rPr>
          <w:rFonts w:ascii="Times New Roman" w:eastAsia="Batang" w:hAnsi="Times New Roman" w:cs="Times New Roman"/>
          <w:b/>
          <w:bCs/>
          <w:sz w:val="28"/>
          <w:szCs w:val="28"/>
          <w:lang w:eastAsia="ko-KR"/>
        </w:rPr>
        <w:t>3.2.1. Население и трудовые ресурсы</w:t>
      </w:r>
      <w:bookmarkEnd w:id="13"/>
      <w:r w:rsidRPr="005B0D7D">
        <w:rPr>
          <w:rFonts w:ascii="Times New Roman" w:eastAsia="Batang" w:hAnsi="Times New Roman" w:cs="Times New Roman"/>
          <w:b/>
          <w:bCs/>
          <w:sz w:val="28"/>
          <w:szCs w:val="28"/>
          <w:lang w:eastAsia="ko-KR"/>
        </w:rPr>
        <w:t xml:space="preserve"> </w:t>
      </w:r>
      <w:bookmarkEnd w:id="14"/>
      <w:bookmarkEnd w:id="15"/>
      <w:bookmarkEnd w:id="16"/>
      <w:bookmarkEnd w:id="17"/>
      <w:bookmarkEnd w:id="18"/>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9" w:name="_Toc392143756"/>
      <w:bookmarkStart w:id="20" w:name="_Toc392622935"/>
      <w:bookmarkStart w:id="21" w:name="_Toc395506378"/>
      <w:bookmarkStart w:id="22" w:name="_Toc410639451"/>
      <w:bookmarkStart w:id="23" w:name="_Toc395506366"/>
      <w:r w:rsidRPr="005B0D7D">
        <w:rPr>
          <w:rFonts w:ascii="Times New Roman" w:eastAsia="Batang" w:hAnsi="Times New Roman" w:cs="Times New Roman"/>
          <w:b/>
          <w:bCs/>
          <w:sz w:val="28"/>
          <w:szCs w:val="28"/>
          <w:lang w:eastAsia="ko-KR"/>
        </w:rPr>
        <w:t>3.2.1.1. Демографическая ситуация</w:t>
      </w:r>
      <w:bookmarkEnd w:id="19"/>
      <w:bookmarkEnd w:id="20"/>
      <w:bookmarkEnd w:id="21"/>
      <w:bookmarkEnd w:id="22"/>
    </w:p>
    <w:p w:rsidR="005B0D7D" w:rsidRPr="005B0D7D" w:rsidRDefault="005B0D7D" w:rsidP="005B0D7D">
      <w:pPr>
        <w:spacing w:after="12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Численность постоянного населения города Ханты-Мансийска на 1 января 2014 года составила 93 493 человека, увеличившись за последние четыре года на 12 944 человека, или на 16,1% (на 1 января 2010 года – 80 549 человек). В среднем ежегодно численность постоянного населения увеличивается на 3 236 человек, или на 4,0 %. По итогам 9 месяцев 2014 года численность постоянного населения города Ханты-Мансийска возросла на 3,5 % и составляет 96 745 человек, что свидетельствует о тенденции уверенного роста населения (Рис.1.).</w:t>
      </w:r>
    </w:p>
    <w:p w:rsidR="005B0D7D" w:rsidRPr="005B0D7D" w:rsidRDefault="005B0D7D" w:rsidP="005B0D7D">
      <w:pPr>
        <w:spacing w:after="0" w:line="240" w:lineRule="auto"/>
        <w:ind w:firstLine="709"/>
        <w:jc w:val="center"/>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5019675" cy="1676400"/>
            <wp:effectExtent l="0" t="0" r="0" b="0"/>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B0D7D" w:rsidRPr="005B0D7D" w:rsidRDefault="005B0D7D" w:rsidP="005B0D7D">
      <w:pPr>
        <w:spacing w:before="120" w:after="120" w:line="240" w:lineRule="auto"/>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t xml:space="preserve">Рис.1. Динамика численности населения </w:t>
      </w:r>
      <w:r w:rsidRPr="005B0D7D">
        <w:rPr>
          <w:rFonts w:ascii="Times New Roman" w:eastAsia="Batang" w:hAnsi="Times New Roman" w:cs="Times New Roman"/>
          <w:b/>
          <w:sz w:val="24"/>
          <w:szCs w:val="24"/>
          <w:lang w:eastAsia="ko-KR"/>
        </w:rPr>
        <w:br/>
        <w:t>города Ханты-Мансийска, на 1 января следующего года, чел.</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Численность населения города Ханты-Мансийска составляет 5,9% от численности населения Ханты-Мансийского автономного округа – Югры.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 половозрастному признаку население характеризуется следующими пропорциями: доля женского населения составляет 51,9 %, доля мужского населения – 48,1 %. </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u w:val="single"/>
          <w:lang w:eastAsia="ko-KR"/>
        </w:rPr>
      </w:pPr>
      <w:r w:rsidRPr="005B0D7D">
        <w:rPr>
          <w:rFonts w:ascii="Times New Roman" w:eastAsia="Batang" w:hAnsi="Times New Roman" w:cs="Times New Roman"/>
          <w:sz w:val="28"/>
          <w:szCs w:val="28"/>
          <w:u w:val="single"/>
          <w:lang w:eastAsia="ko-KR"/>
        </w:rPr>
        <w:t>Естественное движение населения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2013 году в Ханты-Мансийске родилось 1 848 детей (в 2010 году – 1 636 детей, в 2011 году – 1627 детей, в 2012 году – 1 796 детей). Общий коэффициент рождаемости составил 20,0 промилле (рис. 2). По удельному показателю рождаемости город Ханты-Мансийск превосходит среднее значение по Ханты-Мансийскому автономному округу – Югре (17,5 промилле). </w:t>
      </w:r>
    </w:p>
    <w:tbl>
      <w:tblPr>
        <w:tblW w:w="0" w:type="auto"/>
        <w:tblLook w:val="00A0" w:firstRow="1" w:lastRow="0" w:firstColumn="1" w:lastColumn="0" w:noHBand="0" w:noVBand="0"/>
      </w:tblPr>
      <w:tblGrid>
        <w:gridCol w:w="9464"/>
      </w:tblGrid>
      <w:tr w:rsidR="005B0D7D" w:rsidRPr="005B0D7D" w:rsidTr="005B0D7D">
        <w:trPr>
          <w:cantSplit/>
        </w:trPr>
        <w:tc>
          <w:tcPr>
            <w:tcW w:w="9464"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3467100" cy="1647825"/>
                  <wp:effectExtent l="0" t="0" r="0"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5B0D7D" w:rsidRPr="005B0D7D" w:rsidTr="005B0D7D">
        <w:trPr>
          <w:cantSplit/>
        </w:trPr>
        <w:tc>
          <w:tcPr>
            <w:tcW w:w="9464"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 xml:space="preserve">Рис. 2. Число родившихся, человек </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 xml:space="preserve">Доля женщин детородного возраста составляет 31,9% от общей численности населения. Это достаточно высокий показатель (5-е место </w:t>
      </w:r>
      <w:proofErr w:type="gramStart"/>
      <w:r w:rsidRPr="005B0D7D">
        <w:rPr>
          <w:rFonts w:ascii="Times New Roman" w:eastAsia="Batang" w:hAnsi="Times New Roman" w:cs="Times New Roman"/>
          <w:sz w:val="28"/>
          <w:szCs w:val="28"/>
          <w:lang w:eastAsia="ko-KR"/>
        </w:rPr>
        <w:t>в</w:t>
      </w:r>
      <w:proofErr w:type="gramEnd"/>
      <w:r w:rsidRPr="005B0D7D">
        <w:rPr>
          <w:rFonts w:ascii="Times New Roman" w:eastAsia="Batang" w:hAnsi="Times New Roman" w:cs="Times New Roman"/>
          <w:sz w:val="28"/>
          <w:szCs w:val="28"/>
          <w:lang w:eastAsia="ko-KR"/>
        </w:rPr>
        <w:t xml:space="preserve"> </w:t>
      </w:r>
      <w:proofErr w:type="gramStart"/>
      <w:r w:rsidRPr="005B0D7D">
        <w:rPr>
          <w:rFonts w:ascii="Times New Roman" w:eastAsia="Batang" w:hAnsi="Times New Roman" w:cs="Times New Roman"/>
          <w:sz w:val="28"/>
          <w:szCs w:val="28"/>
          <w:lang w:eastAsia="ko-KR"/>
        </w:rPr>
        <w:t>Ханты-Мансийском</w:t>
      </w:r>
      <w:proofErr w:type="gramEnd"/>
      <w:r w:rsidRPr="005B0D7D">
        <w:rPr>
          <w:rFonts w:ascii="Times New Roman" w:eastAsia="Batang" w:hAnsi="Times New Roman" w:cs="Times New Roman"/>
          <w:sz w:val="28"/>
          <w:szCs w:val="28"/>
          <w:lang w:eastAsia="ko-KR"/>
        </w:rPr>
        <w:t xml:space="preserve"> автономном округе – Югре), учитывая </w:t>
      </w:r>
      <w:proofErr w:type="spellStart"/>
      <w:r w:rsidRPr="005B0D7D">
        <w:rPr>
          <w:rFonts w:ascii="Times New Roman" w:eastAsia="Batang" w:hAnsi="Times New Roman" w:cs="Times New Roman"/>
          <w:sz w:val="28"/>
          <w:szCs w:val="28"/>
          <w:lang w:eastAsia="ko-KR"/>
        </w:rPr>
        <w:t>среднеокружное</w:t>
      </w:r>
      <w:proofErr w:type="spellEnd"/>
      <w:r w:rsidRPr="005B0D7D">
        <w:rPr>
          <w:rFonts w:ascii="Times New Roman" w:eastAsia="Batang" w:hAnsi="Times New Roman" w:cs="Times New Roman"/>
          <w:sz w:val="28"/>
          <w:szCs w:val="28"/>
          <w:lang w:eastAsia="ko-KR"/>
        </w:rPr>
        <w:t xml:space="preserve"> значение 29,6%.</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Количество семей с детьми за три года выросло на 23,3%: в 2013 году насчитывалось 11 228 таких семей. В 2013 году в Ханты-Мансийске проживало 1 143 многодетных семьи (в 2011 году – 755 семей, в 2012 году – 917 семей).</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2010-2013 годы наблюдается тенденция снижения коэффициента смертности населения, который в 2010 году составлял 6,5 промилле, в 2011 году – 6,3 промилле, а в 2012 и 2013 годах – 6,2 промилле (рис. 3). </w:t>
      </w:r>
    </w:p>
    <w:tbl>
      <w:tblPr>
        <w:tblW w:w="0" w:type="auto"/>
        <w:tblLook w:val="00A0" w:firstRow="1" w:lastRow="0" w:firstColumn="1" w:lastColumn="0" w:noHBand="0" w:noVBand="0"/>
      </w:tblPr>
      <w:tblGrid>
        <w:gridCol w:w="9322"/>
      </w:tblGrid>
      <w:tr w:rsidR="005B0D7D" w:rsidRPr="005B0D7D" w:rsidTr="005B0D7D">
        <w:trPr>
          <w:cantSplit/>
        </w:trPr>
        <w:tc>
          <w:tcPr>
            <w:tcW w:w="9322"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4229100" cy="1647825"/>
                  <wp:effectExtent l="0" t="0" r="0" b="0"/>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5B0D7D" w:rsidRPr="005B0D7D" w:rsidTr="005B0D7D">
        <w:trPr>
          <w:cantSplit/>
        </w:trPr>
        <w:tc>
          <w:tcPr>
            <w:tcW w:w="9322"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Рис.3. Смертность, человек на 1 тыс. жителей</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показатели рождаемости населения города Ханты-Мансийска в 3,2 раза превышают показатели смертности (соответствующий период 2012 года – 3,3 раза).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Естественный прирост населения на протяжении последних четырех лет имеет положительное значение и в 2013 году составил 1 269 человек. Коэффициент естественного прироста достиг 13,8 промилле.</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Миграционное движение населения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bookmarkStart w:id="24" w:name="_Toc392143751"/>
      <w:bookmarkStart w:id="25" w:name="_Toc392622930"/>
      <w:bookmarkStart w:id="26" w:name="_Toc395506372"/>
      <w:r w:rsidRPr="005B0D7D">
        <w:rPr>
          <w:rFonts w:ascii="Times New Roman" w:eastAsia="Batang" w:hAnsi="Times New Roman" w:cs="Times New Roman"/>
          <w:sz w:val="28"/>
          <w:szCs w:val="28"/>
          <w:lang w:eastAsia="ko-KR"/>
        </w:rPr>
        <w:t>Миграция оказывает огромное влияние на развитие демографической ситуации в городе, обеспечивая не только механический прирост, но и  омоложение населения, а также позволяет удовлетворить потребность работодателей в рабочей силе в различных отраслях экономики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 2010-2013 годы наблюдается:</w:t>
      </w:r>
    </w:p>
    <w:p w:rsidR="005B0D7D" w:rsidRPr="005B0D7D" w:rsidRDefault="005B0D7D" w:rsidP="00902789">
      <w:pPr>
        <w:numPr>
          <w:ilvl w:val="0"/>
          <w:numId w:val="25"/>
        </w:numPr>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Увеличение численности населения трудоспособного возраста (женщины 16-55 лет, мужчины 16-60 лет) на 24,2 %, с 54 220 человек в 2010 году до 67 329 человек в 2013 году (70,2 % от общей численности населения).</w:t>
      </w:r>
    </w:p>
    <w:p w:rsidR="005B0D7D" w:rsidRPr="005B0D7D" w:rsidRDefault="005B0D7D" w:rsidP="00902789">
      <w:pPr>
        <w:numPr>
          <w:ilvl w:val="0"/>
          <w:numId w:val="25"/>
        </w:numPr>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Увеличение численности населения моложе трудоспособного возраста на 10,6 %, с 16 471 человека в 2010 году до 18 223 человека в 2013 году (19,5 % от общей численности населения).</w:t>
      </w:r>
    </w:p>
    <w:p w:rsidR="005B0D7D" w:rsidRPr="005B0D7D" w:rsidRDefault="005B0D7D" w:rsidP="00902789">
      <w:pPr>
        <w:numPr>
          <w:ilvl w:val="0"/>
          <w:numId w:val="25"/>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Увеличение численности населения старше трудоспособного возраста на 27,6 %, с 8 117 человек в 2010 году до 10 358 человек в 2013 году (10,3 % от общей численности населения).  </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Средний возраст населения города Ханты-Мансийска в 2013 году составил 32,3 года, 2012 году – 32,2 года, в 2011 году – 33,9 года. За последние три года населения города помолодело на 1,6 года. Данный факт отчасти объясняется </w:t>
      </w:r>
      <w:r w:rsidRPr="005B0D7D">
        <w:rPr>
          <w:rFonts w:ascii="Times New Roman" w:eastAsia="Batang" w:hAnsi="Times New Roman" w:cs="Times New Roman"/>
          <w:sz w:val="28"/>
          <w:szCs w:val="28"/>
          <w:lang w:eastAsia="ko-KR"/>
        </w:rPr>
        <w:lastRenderedPageBreak/>
        <w:t xml:space="preserve">отсутствием проблемы оттока молодежи в другие регионы. Из всего количества учащихся общеобразовательных организаций только 17,7%, или 202 человека выезжают на учебу за пределы города, тогда как 82,3%, или 942 чел. остаются жить и учиться на территории города. Из числа уехавших 60,0%, или 121 человек возвращаются обратно. Миграция населения в возрасте 16-29 лет не превышает 1,0% - 1,5% в год.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Миграционный процесс в городе Ханты-Мансийске характеризуется  интенсивностью миграционных потоков в обе стороны. Основными причинами миграционного оттока в городе Ханты-Мансийске являются: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желание жить в регионах с более благоприятными климатическими условиями;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перемена места жительства в связи с отъездом на учебу;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усиление ответственности работодателей за нарушение миграционного законодательства.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Главной причиной миграционного притока является благоприятное социально-экономическое положение как города, так и округа в целом.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Миграционный прирост населения по итогам 2013 года составил 1 263  человека. Необходимо отметить, что в последние годы наблюдается положительное миграционное сальдо, по уровню которого Ханты-Мансийск занимает ведущее место среди муниципальных образований  Ханты-Мансийского автономного округа – Югры.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 масштабах трудовой миграции говорит численность лиц, временно осуществляющих трудовую деятельность на территории города, которая в 2012 году составляла 3 757 чел., 2013 году – 4 683 чел., а за 9 месяцев 2014 года – 5 557 чел.</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27" w:name="_Toc410639452"/>
      <w:r w:rsidRPr="005B0D7D">
        <w:rPr>
          <w:rFonts w:ascii="Times New Roman" w:eastAsia="Batang" w:hAnsi="Times New Roman" w:cs="Times New Roman"/>
          <w:b/>
          <w:bCs/>
          <w:sz w:val="28"/>
          <w:szCs w:val="28"/>
          <w:lang w:eastAsia="ko-KR"/>
        </w:rPr>
        <w:t>3.2.1.2. Рынок труда</w:t>
      </w:r>
      <w:bookmarkEnd w:id="24"/>
      <w:bookmarkEnd w:id="25"/>
      <w:bookmarkEnd w:id="26"/>
      <w:bookmarkEnd w:id="2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Численность экономически активного населения в 2013 году составила 54 996 чел., или 57,3% от общей численности населения города Ханты-Мансийска (в 2012 году – 53 991 чел.).</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Среднесписочная численность работников, не относящихся к субъектам малого предпринимательства, на 1 декабря 2013 года составила 40 377 человек, или 101,4 % к соответствующему периоду 2012 года.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Наибольшее увеличение среднесписочной численности работников зафиксировано по следующим видам экономической деятельности: сельское хозяйство охота и лесное хозяйство (126,5%), рыболовство, рыбоводство (115,2%), гостиницы и рестораны (116,2%), финансовая деятельность (105,6%), операции с недвижимым имуществом, аренда и предоставление услуг (109,4%), государственное управление и обеспечение военной безопасности (104,0%). </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Подавляющее большинство жителей города Ханты-Мансийска работают в сфере услуг. Работники образования, здравоохранения и государственного управления составляют треть от общего числа работников.</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Соотношение представителей рабочих профессий и служащих составляет 51,2% и 48,8%, соответственно. Среди рабочих профессий наиболее востребованы квалифицированные специалисты: операторы и машинисты различных </w:t>
      </w:r>
      <w:r w:rsidRPr="005B0D7D">
        <w:rPr>
          <w:rFonts w:ascii="Times New Roman" w:eastAsia="Batang" w:hAnsi="Times New Roman" w:cs="Times New Roman"/>
          <w:sz w:val="28"/>
          <w:szCs w:val="28"/>
          <w:lang w:eastAsia="ko-KR"/>
        </w:rPr>
        <w:lastRenderedPageBreak/>
        <w:t>квалификаций, слесари, водители, представители строительных специальностей. Среди служащих наибольшая потребность наблюдается в инженерно-технических работниках, а также в работниках здравоохранения всех категорий. Диапазон заработных плат представителей рабочих специальностей составляет от 13 000 руб. до 42 500 руб., служащих – от 21 000 руб. до 70 000 руб.</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28" w:name="_Toc410639453"/>
      <w:r w:rsidRPr="005B0D7D">
        <w:rPr>
          <w:rFonts w:ascii="Times New Roman" w:eastAsia="Batang" w:hAnsi="Times New Roman" w:cs="Times New Roman"/>
          <w:b/>
          <w:bCs/>
          <w:sz w:val="28"/>
          <w:szCs w:val="28"/>
          <w:lang w:eastAsia="ko-KR"/>
        </w:rPr>
        <w:t>3.2.1.3. Занятость населения</w:t>
      </w:r>
      <w:bookmarkEnd w:id="28"/>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2011-2013 годы наблюдается положительная динамика по целому ряду показателей, характеризующих ситуацию на регистрируемом рынке труда. За четыре года в 1,35 раза снизилась численность граждан, обратившихся за содействием в поиске подходящей работы в органы службы занятости; в 4,53 раза уменьшилась численность зарегистрированных безработных, на 0,52 пункта сократился уровень безработицы (рис.4 а, </w:t>
      </w:r>
      <w:proofErr w:type="gramStart"/>
      <w:r w:rsidRPr="005B0D7D">
        <w:rPr>
          <w:rFonts w:ascii="Times New Roman" w:eastAsia="Batang" w:hAnsi="Times New Roman" w:cs="Times New Roman"/>
          <w:sz w:val="28"/>
          <w:szCs w:val="28"/>
          <w:lang w:eastAsia="ko-KR"/>
        </w:rPr>
        <w:t>б</w:t>
      </w:r>
      <w:proofErr w:type="gramEnd"/>
      <w:r w:rsidRPr="005B0D7D">
        <w:rPr>
          <w:rFonts w:ascii="Times New Roman" w:eastAsia="Batang" w:hAnsi="Times New Roman" w:cs="Times New Roman"/>
          <w:sz w:val="28"/>
          <w:szCs w:val="28"/>
          <w:lang w:eastAsia="ko-KR"/>
        </w:rPr>
        <w:t>, в).</w:t>
      </w:r>
    </w:p>
    <w:tbl>
      <w:tblPr>
        <w:tblW w:w="0" w:type="auto"/>
        <w:tblBorders>
          <w:top w:val="single" w:sz="4" w:space="0" w:color="FFFFFF"/>
          <w:left w:val="single" w:sz="4" w:space="0" w:color="FFFFFF"/>
          <w:right w:val="single" w:sz="4" w:space="0" w:color="auto"/>
          <w:insideH w:val="single" w:sz="4" w:space="0" w:color="FFFFFF"/>
          <w:insideV w:val="single" w:sz="4" w:space="0" w:color="FFFFFF"/>
        </w:tblBorders>
        <w:tblLook w:val="00A0" w:firstRow="1" w:lastRow="0" w:firstColumn="1" w:lastColumn="0" w:noHBand="0" w:noVBand="0"/>
      </w:tblPr>
      <w:tblGrid>
        <w:gridCol w:w="3336"/>
        <w:gridCol w:w="3336"/>
        <w:gridCol w:w="3336"/>
      </w:tblGrid>
      <w:tr w:rsidR="005B0D7D" w:rsidRPr="005B0D7D" w:rsidTr="005B0D7D">
        <w:tc>
          <w:tcPr>
            <w:tcW w:w="3190" w:type="dxa"/>
          </w:tcPr>
          <w:p w:rsidR="005B0D7D" w:rsidRPr="005B0D7D" w:rsidRDefault="005B0D7D" w:rsidP="005B0D7D">
            <w:pPr>
              <w:spacing w:after="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1981200" cy="1371600"/>
                  <wp:effectExtent l="0" t="0" r="0" b="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3190" w:type="dxa"/>
          </w:tcPr>
          <w:p w:rsidR="005B0D7D" w:rsidRPr="005B0D7D" w:rsidRDefault="005B0D7D" w:rsidP="005B0D7D">
            <w:pPr>
              <w:spacing w:after="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1981200" cy="1371600"/>
                  <wp:effectExtent l="0" t="0" r="0" b="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3191" w:type="dxa"/>
            <w:tcBorders>
              <w:right w:val="single" w:sz="4" w:space="0" w:color="FFFFFF"/>
            </w:tcBorders>
          </w:tcPr>
          <w:p w:rsidR="005B0D7D" w:rsidRPr="005B0D7D" w:rsidRDefault="005B0D7D" w:rsidP="005B0D7D">
            <w:pPr>
              <w:spacing w:after="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1981200" cy="1371600"/>
                  <wp:effectExtent l="0" t="0" r="0" b="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5B0D7D" w:rsidRPr="005B0D7D" w:rsidTr="005B0D7D">
        <w:tc>
          <w:tcPr>
            <w:tcW w:w="3190" w:type="dxa"/>
          </w:tcPr>
          <w:p w:rsidR="005B0D7D" w:rsidRPr="005B0D7D" w:rsidRDefault="005B0D7D" w:rsidP="005B0D7D">
            <w:pPr>
              <w:spacing w:after="0" w:line="240" w:lineRule="auto"/>
              <w:jc w:val="center"/>
              <w:rPr>
                <w:rFonts w:ascii="Times New Roman" w:eastAsia="Batang" w:hAnsi="Times New Roman" w:cs="Times New Roman"/>
                <w:b/>
                <w:sz w:val="20"/>
                <w:lang w:eastAsia="ko-KR"/>
              </w:rPr>
            </w:pPr>
            <w:r w:rsidRPr="005B0D7D">
              <w:rPr>
                <w:rFonts w:ascii="Times New Roman" w:eastAsia="Batang" w:hAnsi="Times New Roman" w:cs="Times New Roman"/>
                <w:b/>
                <w:sz w:val="20"/>
                <w:lang w:eastAsia="ko-KR"/>
              </w:rPr>
              <w:t>Рис.4а. Численность граждан, обратившихся за содействием в поиске подходящей работы в органы службы занятости, на начало года, чел.</w:t>
            </w:r>
          </w:p>
        </w:tc>
        <w:tc>
          <w:tcPr>
            <w:tcW w:w="3190" w:type="dxa"/>
          </w:tcPr>
          <w:p w:rsidR="005B0D7D" w:rsidRPr="005B0D7D" w:rsidRDefault="005B0D7D" w:rsidP="005B0D7D">
            <w:pPr>
              <w:spacing w:after="0" w:line="240" w:lineRule="auto"/>
              <w:jc w:val="center"/>
              <w:rPr>
                <w:rFonts w:ascii="Times New Roman" w:eastAsia="Batang" w:hAnsi="Times New Roman" w:cs="Times New Roman"/>
                <w:b/>
                <w:sz w:val="20"/>
                <w:lang w:eastAsia="ko-KR"/>
              </w:rPr>
            </w:pPr>
            <w:r w:rsidRPr="005B0D7D">
              <w:rPr>
                <w:rFonts w:ascii="Times New Roman" w:eastAsia="Batang" w:hAnsi="Times New Roman" w:cs="Times New Roman"/>
                <w:b/>
                <w:sz w:val="20"/>
                <w:lang w:eastAsia="ko-KR"/>
              </w:rPr>
              <w:t>Рис.4б. Численность зарегистрированных безработных, чел.</w:t>
            </w:r>
          </w:p>
        </w:tc>
        <w:tc>
          <w:tcPr>
            <w:tcW w:w="3191" w:type="dxa"/>
            <w:tcBorders>
              <w:right w:val="single" w:sz="4" w:space="0" w:color="FFFFFF"/>
            </w:tcBorders>
          </w:tcPr>
          <w:p w:rsidR="005B0D7D" w:rsidRPr="005B0D7D" w:rsidRDefault="005B0D7D" w:rsidP="005B0D7D">
            <w:pPr>
              <w:spacing w:after="0" w:line="240" w:lineRule="auto"/>
              <w:jc w:val="center"/>
              <w:rPr>
                <w:rFonts w:ascii="Times New Roman" w:eastAsia="Batang" w:hAnsi="Times New Roman" w:cs="Times New Roman"/>
                <w:b/>
                <w:sz w:val="20"/>
                <w:lang w:eastAsia="ko-KR"/>
              </w:rPr>
            </w:pPr>
            <w:r w:rsidRPr="005B0D7D">
              <w:rPr>
                <w:rFonts w:ascii="Times New Roman" w:eastAsia="Batang" w:hAnsi="Times New Roman" w:cs="Times New Roman"/>
                <w:b/>
                <w:sz w:val="20"/>
                <w:lang w:eastAsia="ko-KR"/>
              </w:rPr>
              <w:t>Рис.4в. Уровень регистрируемой безработицы, % от экономически активного населения</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уровень регистрируемой безработицы в городе Ханты-Мансийске являлся самым низким в автономном округе.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Заявленная работодателями в службу занятости населения потребность в работниках по состоянию на начало 2014 года составила 533 вакансии, из них для замещения иностранных работников 73 единицы, или 13,7% от общего количества вакансий. Коэффициент напряженности – 0,13 чел. на одно свободное рабочее место.</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 видам экономической деятельности наибольшее число вакансий заявлено в сферах: строительство (16,5% в общем числе вакансий), здравоохранение и предоставление услуг (24,8%), операции с недвижимым имуществом, аренда и предоставление услуг (13,4%), обрабатывающие производства (5,6%), образование (5,4), гостиницы и рестораны (5,1%), государственное управление и обеспечение военной области (8,0%), транспорт и связь (10,3%). </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29" w:name="_Toc410639454"/>
      <w:r w:rsidRPr="005B0D7D">
        <w:rPr>
          <w:rFonts w:ascii="Times New Roman" w:eastAsia="Batang" w:hAnsi="Times New Roman" w:cs="Times New Roman"/>
          <w:b/>
          <w:bCs/>
          <w:sz w:val="28"/>
          <w:szCs w:val="28"/>
          <w:lang w:eastAsia="ko-KR"/>
        </w:rPr>
        <w:t>3.2.2. Уровень жизни населения и социальная сфера</w:t>
      </w:r>
      <w:bookmarkEnd w:id="29"/>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30" w:name="_Toc395506373"/>
      <w:bookmarkStart w:id="31" w:name="_Toc410639455"/>
      <w:r w:rsidRPr="005B0D7D">
        <w:rPr>
          <w:rFonts w:ascii="Times New Roman" w:eastAsia="Batang" w:hAnsi="Times New Roman" w:cs="Times New Roman"/>
          <w:b/>
          <w:bCs/>
          <w:sz w:val="28"/>
          <w:szCs w:val="28"/>
          <w:lang w:eastAsia="ko-KR"/>
        </w:rPr>
        <w:t>3.2.2.1. Доходы населения</w:t>
      </w:r>
      <w:bookmarkEnd w:id="30"/>
      <w:bookmarkEnd w:id="31"/>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 итогам 2013 года среднедушевые денежные доходы населения составили 45 098,0 руб., или 105,4% к 2012 году (42 778,0 руб.). Достигнутый уровень </w:t>
      </w:r>
      <w:r w:rsidRPr="005B0D7D">
        <w:rPr>
          <w:rFonts w:ascii="Times New Roman" w:eastAsia="Batang" w:hAnsi="Times New Roman" w:cs="Times New Roman"/>
          <w:sz w:val="28"/>
          <w:szCs w:val="28"/>
          <w:lang w:eastAsia="ko-KR"/>
        </w:rPr>
        <w:lastRenderedPageBreak/>
        <w:t>денежных доходов населения позволяет обеспечивать более четырех бюджетов прожиточного минимума (10 818,0 руб.).</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Основным источником доходов населения Ханты-Мансийска является заработная плата. Вторыми по величине в доходах населения являются социальные трансферты (пенсии, пособия).</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последние четыре года наблюдается опережающий рост среднемесячной номинальной начисленной заработной платы, которая за это время увеличилась почти в полтора раза (рис.5).</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Pr>
          <w:rFonts w:ascii="Times New Roman" w:eastAsia="Batang" w:hAnsi="Times New Roman" w:cs="Times New Roman"/>
          <w:noProof/>
          <w:sz w:val="28"/>
          <w:szCs w:val="28"/>
          <w:lang w:eastAsia="ru-RU"/>
        </w:rPr>
        <w:drawing>
          <wp:inline distT="0" distB="0" distL="0" distR="0">
            <wp:extent cx="5019675" cy="1971675"/>
            <wp:effectExtent l="0" t="0" r="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0D7D" w:rsidRPr="005B0D7D" w:rsidRDefault="005B0D7D" w:rsidP="005B0D7D">
      <w:pPr>
        <w:spacing w:before="120" w:after="120" w:line="240" w:lineRule="auto"/>
        <w:ind w:firstLine="720"/>
        <w:jc w:val="center"/>
        <w:rPr>
          <w:rFonts w:ascii="Times New Roman" w:eastAsia="Batang" w:hAnsi="Times New Roman" w:cs="Times New Roman"/>
          <w:b/>
          <w:bCs/>
          <w:sz w:val="24"/>
          <w:szCs w:val="24"/>
          <w:lang w:eastAsia="ko-KR"/>
        </w:rPr>
      </w:pPr>
      <w:r w:rsidRPr="005B0D7D">
        <w:rPr>
          <w:rFonts w:ascii="Times New Roman" w:eastAsia="Batang" w:hAnsi="Times New Roman" w:cs="Times New Roman"/>
          <w:b/>
          <w:bCs/>
          <w:sz w:val="24"/>
          <w:szCs w:val="24"/>
          <w:lang w:eastAsia="ko-KR"/>
        </w:rPr>
        <w:t xml:space="preserve">Рис.5. </w:t>
      </w:r>
      <w:r w:rsidRPr="005B0D7D">
        <w:rPr>
          <w:rFonts w:ascii="Times New Roman" w:eastAsia="Batang" w:hAnsi="Times New Roman" w:cs="Times New Roman"/>
          <w:b/>
          <w:sz w:val="24"/>
          <w:szCs w:val="24"/>
          <w:lang w:eastAsia="ko-KR"/>
        </w:rPr>
        <w:t>Среднемесячная номинальная начисленная заработная плата одного работающего в организациях города Ханты-Мансийска</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xml:space="preserve">По уровню заработной платы Ханты-Мансийск находится на 4 месте (2012 год – 5 место) среди муниципальных образований автономного округа, уступая Сургуту, </w:t>
      </w:r>
      <w:proofErr w:type="spellStart"/>
      <w:r w:rsidRPr="005B0D7D">
        <w:rPr>
          <w:rFonts w:ascii="Times New Roman" w:eastAsia="Batang" w:hAnsi="Times New Roman" w:cs="Times New Roman"/>
          <w:bCs/>
          <w:sz w:val="28"/>
          <w:szCs w:val="28"/>
          <w:lang w:eastAsia="ko-KR"/>
        </w:rPr>
        <w:t>Югорску</w:t>
      </w:r>
      <w:proofErr w:type="spellEnd"/>
      <w:r w:rsidRPr="005B0D7D">
        <w:rPr>
          <w:rFonts w:ascii="Times New Roman" w:eastAsia="Batang" w:hAnsi="Times New Roman" w:cs="Times New Roman"/>
          <w:bCs/>
          <w:sz w:val="28"/>
          <w:szCs w:val="28"/>
          <w:lang w:eastAsia="ko-KR"/>
        </w:rPr>
        <w:t xml:space="preserve"> и </w:t>
      </w:r>
      <w:proofErr w:type="spellStart"/>
      <w:r w:rsidRPr="005B0D7D">
        <w:rPr>
          <w:rFonts w:ascii="Times New Roman" w:eastAsia="Batang" w:hAnsi="Times New Roman" w:cs="Times New Roman"/>
          <w:bCs/>
          <w:sz w:val="28"/>
          <w:szCs w:val="28"/>
          <w:lang w:eastAsia="ko-KR"/>
        </w:rPr>
        <w:t>Сургутскому</w:t>
      </w:r>
      <w:proofErr w:type="spellEnd"/>
      <w:r w:rsidRPr="005B0D7D">
        <w:rPr>
          <w:rFonts w:ascii="Times New Roman" w:eastAsia="Batang" w:hAnsi="Times New Roman" w:cs="Times New Roman"/>
          <w:bCs/>
          <w:sz w:val="28"/>
          <w:szCs w:val="28"/>
          <w:lang w:eastAsia="ko-KR"/>
        </w:rPr>
        <w:t xml:space="preserve"> району.</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Увеличение фонда оплаты труда работников более чем на 10% наблюдается в сферах:</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рыболовство, рыбоводство – 26,9 %;</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гостиницы и рестораны – 23,9 %;</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сельское хозяйство, охота и лесное хозяйство – 22,3 %;</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финансовая деятельность – 18,2 %;</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производство и распределение газа и воды – 15,6 %;</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xml:space="preserve">- оптовая и розничная торговля, ремонт автотранспортных средств – 15,5 %; </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здравоохранение и предоставление социальных услуг – 26,8 %;</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образование – 12,3 %;</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Среднемесячный размер пенсии одного пенсионера, по данным Управления Пенсионного фонда Российской Федерации, в городе Ханты-Мансийске в 2013 году составил 16 372,8 руб., или 109,9% к 2012 году (14 894,7 руб.), без учета доплат из окружного бюджета. Доплаты неработающим пенсионерам производятся Негосударственным пенсионным фондом Ханты-Мансийского автономного округа – Югры, размер доплаты зависит от стажа работы пенсионера на территории округа. За 2013 год дополнительные выплаты получили 6 565 чел. (за 2012 год – 6 048 чел.), в среднем по 1 201,1 руб. (за 2012 год – по 1 051,96 руб.).</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32" w:name="_Toc404211522"/>
      <w:bookmarkStart w:id="33" w:name="_Toc404218156"/>
      <w:bookmarkStart w:id="34" w:name="_Toc410639456"/>
      <w:r w:rsidRPr="005B0D7D">
        <w:rPr>
          <w:rFonts w:ascii="Times New Roman" w:eastAsia="Batang" w:hAnsi="Times New Roman" w:cs="Times New Roman"/>
          <w:b/>
          <w:bCs/>
          <w:sz w:val="28"/>
          <w:szCs w:val="28"/>
          <w:lang w:eastAsia="ko-KR"/>
        </w:rPr>
        <w:lastRenderedPageBreak/>
        <w:t xml:space="preserve">3.2.2.2. </w:t>
      </w:r>
      <w:bookmarkEnd w:id="32"/>
      <w:bookmarkEnd w:id="33"/>
      <w:r w:rsidRPr="005B0D7D">
        <w:rPr>
          <w:rFonts w:ascii="Times New Roman" w:eastAsia="Batang" w:hAnsi="Times New Roman" w:cs="Times New Roman"/>
          <w:b/>
          <w:bCs/>
          <w:sz w:val="28"/>
          <w:szCs w:val="28"/>
          <w:lang w:eastAsia="ko-KR"/>
        </w:rPr>
        <w:t>Жилищная сфера</w:t>
      </w:r>
      <w:bookmarkEnd w:id="34"/>
    </w:p>
    <w:p w:rsidR="005B0D7D" w:rsidRPr="005B0D7D" w:rsidRDefault="005B0D7D" w:rsidP="005B0D7D">
      <w:pPr>
        <w:spacing w:after="0" w:line="240" w:lineRule="auto"/>
        <w:ind w:firstLine="770"/>
        <w:jc w:val="both"/>
        <w:rPr>
          <w:rFonts w:ascii="Times New Roman" w:eastAsia="Batang" w:hAnsi="Times New Roman" w:cs="Times New Roman"/>
          <w:snapToGrid w:val="0"/>
          <w:sz w:val="28"/>
          <w:szCs w:val="28"/>
          <w:lang w:eastAsia="ru-RU"/>
        </w:rPr>
      </w:pPr>
      <w:r w:rsidRPr="005B0D7D">
        <w:rPr>
          <w:rFonts w:ascii="Times New Roman" w:eastAsia="Batang" w:hAnsi="Times New Roman" w:cs="Times New Roman"/>
          <w:sz w:val="28"/>
          <w:szCs w:val="28"/>
          <w:lang w:eastAsia="ko-KR"/>
        </w:rPr>
        <w:t>По данным за 2013 год, жилищный фонд города Ханты-Мансийска насчитывает 3 791 жилой дом общей площадью 1 906,3 тыс. кв. м. Государственный жилищный фонд составляет 85,0 тыс. кв. м, муниципальный – 167,5 тыс. кв. м.</w:t>
      </w:r>
    </w:p>
    <w:p w:rsidR="005B0D7D" w:rsidRPr="005B0D7D" w:rsidRDefault="005B0D7D" w:rsidP="005B0D7D">
      <w:pPr>
        <w:spacing w:after="0" w:line="240" w:lineRule="auto"/>
        <w:ind w:firstLine="77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На начало 2014 года доля общей площади жилищного фонда в капитальном исполнении составляет 67,5%, оставшаяся доля представлена деревянными, смешанными и прочими строениями.</w:t>
      </w:r>
    </w:p>
    <w:p w:rsidR="005B0D7D" w:rsidRPr="005B0D7D" w:rsidRDefault="005B0D7D" w:rsidP="005B0D7D">
      <w:pPr>
        <w:spacing w:after="0" w:line="240" w:lineRule="auto"/>
        <w:ind w:firstLine="770"/>
        <w:jc w:val="both"/>
        <w:rPr>
          <w:rFonts w:ascii="Times New Roman" w:eastAsia="Batang" w:hAnsi="Times New Roman" w:cs="Times New Roman"/>
          <w:snapToGrid w:val="0"/>
          <w:sz w:val="28"/>
          <w:szCs w:val="28"/>
          <w:lang w:eastAsia="ru-RU"/>
        </w:rPr>
      </w:pPr>
      <w:r w:rsidRPr="005B0D7D">
        <w:rPr>
          <w:rFonts w:ascii="Times New Roman" w:eastAsia="Batang" w:hAnsi="Times New Roman" w:cs="Times New Roman"/>
          <w:snapToGrid w:val="0"/>
          <w:sz w:val="28"/>
          <w:szCs w:val="28"/>
          <w:lang w:eastAsia="ru-RU"/>
        </w:rPr>
        <w:t xml:space="preserve">Общая площадь жилых домов, признанных аварийными и подлежащими сносу, составляет </w:t>
      </w:r>
      <w:smartTag w:uri="urn:schemas-microsoft-com:office:smarttags" w:element="metricconverter">
        <w:smartTagPr>
          <w:attr w:name="ProductID" w:val="24 059 кв. м"/>
        </w:smartTagPr>
        <w:r w:rsidRPr="005B0D7D">
          <w:rPr>
            <w:rFonts w:ascii="Times New Roman" w:eastAsia="Batang" w:hAnsi="Times New Roman" w:cs="Times New Roman"/>
            <w:snapToGrid w:val="0"/>
            <w:sz w:val="28"/>
            <w:szCs w:val="28"/>
            <w:lang w:eastAsia="ru-RU"/>
          </w:rPr>
          <w:t>24 059 кв. м</w:t>
        </w:r>
      </w:smartTag>
      <w:r w:rsidRPr="005B0D7D">
        <w:rPr>
          <w:rFonts w:ascii="Times New Roman" w:eastAsia="Batang" w:hAnsi="Times New Roman" w:cs="Times New Roman"/>
          <w:snapToGrid w:val="0"/>
          <w:sz w:val="28"/>
          <w:szCs w:val="28"/>
          <w:lang w:eastAsia="ru-RU"/>
        </w:rPr>
        <w:t xml:space="preserve">, весь аварийный жилищный фонд составляют 72 многоквартирных дома, в которых проживает 623 семьи. </w:t>
      </w:r>
    </w:p>
    <w:p w:rsidR="005B0D7D" w:rsidRPr="005B0D7D" w:rsidRDefault="005B0D7D" w:rsidP="005B0D7D">
      <w:pPr>
        <w:spacing w:after="0" w:line="240" w:lineRule="auto"/>
        <w:ind w:firstLine="770"/>
        <w:jc w:val="both"/>
        <w:rPr>
          <w:rFonts w:ascii="Times New Roman" w:eastAsia="Batang" w:hAnsi="Times New Roman" w:cs="Times New Roman"/>
          <w:snapToGrid w:val="0"/>
          <w:sz w:val="28"/>
          <w:szCs w:val="28"/>
          <w:lang w:eastAsia="ru-RU"/>
        </w:rPr>
      </w:pPr>
      <w:proofErr w:type="gramStart"/>
      <w:r w:rsidRPr="005B0D7D">
        <w:rPr>
          <w:rFonts w:ascii="Times New Roman" w:eastAsia="Batang" w:hAnsi="Times New Roman" w:cs="Times New Roman"/>
          <w:snapToGrid w:val="0"/>
          <w:sz w:val="28"/>
          <w:szCs w:val="28"/>
          <w:lang w:eastAsia="ru-RU"/>
        </w:rPr>
        <w:t>В целях обеспечения жилищных прав граждан за 2013 год приобретено 421 жилое помещение (в 2012 году – 325 помещений), из них 173 жилых помещения для переселения граждан из жилых помещений, непригодных для проживания; 103 – для обеспечения жильем граждан, состоящих на учете в качестве нуждающихся, 86 – для детей-сирот, 55 – для работников муниципальных предприятий и учреждений.</w:t>
      </w:r>
      <w:proofErr w:type="gramEnd"/>
      <w:r w:rsidRPr="005B0D7D">
        <w:rPr>
          <w:rFonts w:ascii="Times New Roman" w:eastAsia="Batang" w:hAnsi="Times New Roman" w:cs="Times New Roman"/>
          <w:snapToGrid w:val="0"/>
          <w:sz w:val="28"/>
          <w:szCs w:val="28"/>
          <w:lang w:eastAsia="ru-RU"/>
        </w:rPr>
        <w:t xml:space="preserve"> В 2013 году жилищные условия улучшила 291 семья, что на 47,1% выше уровня 2012 года.</w:t>
      </w:r>
    </w:p>
    <w:p w:rsidR="005B0D7D" w:rsidRPr="005B0D7D" w:rsidRDefault="005B0D7D" w:rsidP="005B0D7D">
      <w:pPr>
        <w:spacing w:after="0" w:line="240" w:lineRule="auto"/>
        <w:ind w:firstLine="770"/>
        <w:jc w:val="both"/>
        <w:rPr>
          <w:rFonts w:ascii="Times New Roman" w:eastAsia="Batang" w:hAnsi="Times New Roman" w:cs="Times New Roman"/>
          <w:snapToGrid w:val="0"/>
          <w:sz w:val="28"/>
          <w:szCs w:val="28"/>
          <w:lang w:eastAsia="ru-RU"/>
        </w:rPr>
      </w:pPr>
      <w:r w:rsidRPr="005B0D7D">
        <w:rPr>
          <w:rFonts w:ascii="Times New Roman" w:eastAsia="Batang" w:hAnsi="Times New Roman" w:cs="Times New Roman"/>
          <w:snapToGrid w:val="0"/>
          <w:sz w:val="28"/>
          <w:szCs w:val="28"/>
          <w:lang w:eastAsia="ru-RU"/>
        </w:rPr>
        <w:t>Категории семей, которым предоставлено жилье в 2013 году, представлены в таблице 2.</w:t>
      </w:r>
    </w:p>
    <w:p w:rsidR="005B0D7D" w:rsidRPr="005B0D7D" w:rsidRDefault="005B0D7D" w:rsidP="005B0D7D">
      <w:pPr>
        <w:spacing w:after="0" w:line="240" w:lineRule="auto"/>
        <w:ind w:firstLine="770"/>
        <w:jc w:val="right"/>
        <w:rPr>
          <w:rFonts w:ascii="Times New Roman" w:eastAsia="Batang" w:hAnsi="Times New Roman" w:cs="Times New Roman"/>
          <w:snapToGrid w:val="0"/>
          <w:sz w:val="28"/>
          <w:szCs w:val="28"/>
          <w:lang w:eastAsia="ru-RU"/>
        </w:rPr>
      </w:pPr>
      <w:r w:rsidRPr="005B0D7D">
        <w:rPr>
          <w:rFonts w:ascii="Times New Roman" w:eastAsia="Batang" w:hAnsi="Times New Roman" w:cs="Times New Roman"/>
          <w:snapToGrid w:val="0"/>
          <w:sz w:val="28"/>
          <w:szCs w:val="28"/>
          <w:lang w:eastAsia="ru-RU"/>
        </w:rPr>
        <w:t>Таблица 2</w:t>
      </w:r>
    </w:p>
    <w:p w:rsidR="005B0D7D" w:rsidRPr="005B0D7D" w:rsidRDefault="005B0D7D" w:rsidP="005B0D7D">
      <w:pPr>
        <w:spacing w:before="120" w:after="120" w:line="240" w:lineRule="auto"/>
        <w:jc w:val="center"/>
        <w:rPr>
          <w:rFonts w:ascii="Times New Roman" w:eastAsia="Batang" w:hAnsi="Times New Roman" w:cs="Times New Roman"/>
          <w:b/>
          <w:snapToGrid w:val="0"/>
          <w:sz w:val="24"/>
          <w:szCs w:val="24"/>
          <w:lang w:eastAsia="ru-RU"/>
        </w:rPr>
      </w:pPr>
      <w:r w:rsidRPr="005B0D7D">
        <w:rPr>
          <w:rFonts w:ascii="Times New Roman" w:eastAsia="Batang" w:hAnsi="Times New Roman" w:cs="Times New Roman"/>
          <w:b/>
          <w:snapToGrid w:val="0"/>
          <w:sz w:val="24"/>
          <w:szCs w:val="24"/>
          <w:lang w:eastAsia="ru-RU"/>
        </w:rPr>
        <w:t xml:space="preserve">Категории семей, получивших жилье </w:t>
      </w:r>
      <w:r w:rsidRPr="005B0D7D">
        <w:rPr>
          <w:rFonts w:ascii="Times New Roman" w:eastAsia="Batang" w:hAnsi="Times New Roman" w:cs="Times New Roman"/>
          <w:b/>
          <w:snapToGrid w:val="0"/>
          <w:sz w:val="24"/>
          <w:szCs w:val="24"/>
          <w:lang w:eastAsia="ru-RU"/>
        </w:rPr>
        <w:br/>
        <w:t>в рамках жилищных программ в 2013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7798"/>
        <w:gridCol w:w="1181"/>
      </w:tblGrid>
      <w:tr w:rsidR="005B0D7D" w:rsidRPr="005B0D7D" w:rsidTr="005B0D7D">
        <w:tc>
          <w:tcPr>
            <w:tcW w:w="484"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w:t>
            </w: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Категория семей, причина предоставления жилья</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Число семей</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в связи с расселением жилых домов, признанных аварийными и подлежащими сносу</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103</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граждане, состоящие на учете в качестве нуждающихся в жилых помещениях, предоставляемых по договорам социального найма и имеющих право на внеочередное предоставление жилых помещений</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57</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дети-сироты</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39</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работники муниципальных предприятий и учреждений</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73</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ветераны Великой Отечественной войны</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4</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многодетные семьи, имеющие пять и более детей</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3</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семьи, имеющие в своем составе ветеранов боевых действий, инвалидов; семьи, имеющие детей-инвалидов</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3</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молодые семьи</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1</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молодые учителя</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4</w:t>
            </w:r>
          </w:p>
        </w:tc>
      </w:tr>
      <w:tr w:rsidR="005B0D7D" w:rsidRPr="005B0D7D" w:rsidTr="005B0D7D">
        <w:tc>
          <w:tcPr>
            <w:tcW w:w="484" w:type="dxa"/>
          </w:tcPr>
          <w:p w:rsidR="005B0D7D" w:rsidRPr="005B0D7D" w:rsidRDefault="005B0D7D" w:rsidP="005B0D7D">
            <w:pPr>
              <w:numPr>
                <w:ilvl w:val="0"/>
                <w:numId w:val="7"/>
              </w:numPr>
              <w:spacing w:after="0" w:line="240" w:lineRule="auto"/>
              <w:jc w:val="both"/>
              <w:rPr>
                <w:rFonts w:ascii="Times New Roman" w:eastAsia="Batang" w:hAnsi="Times New Roman" w:cs="Times New Roman"/>
                <w:snapToGrid w:val="0"/>
                <w:sz w:val="24"/>
                <w:szCs w:val="24"/>
                <w:lang w:eastAsia="ru-RU"/>
              </w:rPr>
            </w:pPr>
          </w:p>
        </w:tc>
        <w:tc>
          <w:tcPr>
            <w:tcW w:w="7798" w:type="dxa"/>
          </w:tcPr>
          <w:p w:rsidR="005B0D7D" w:rsidRPr="005B0D7D" w:rsidRDefault="005B0D7D" w:rsidP="005B0D7D">
            <w:pPr>
              <w:spacing w:after="0" w:line="240" w:lineRule="auto"/>
              <w:jc w:val="both"/>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 xml:space="preserve">иные категории граждан </w:t>
            </w:r>
          </w:p>
        </w:tc>
        <w:tc>
          <w:tcPr>
            <w:tcW w:w="1181" w:type="dxa"/>
          </w:tcPr>
          <w:p w:rsidR="005B0D7D" w:rsidRPr="005B0D7D" w:rsidRDefault="005B0D7D" w:rsidP="005B0D7D">
            <w:pPr>
              <w:spacing w:after="0" w:line="240" w:lineRule="auto"/>
              <w:jc w:val="center"/>
              <w:rPr>
                <w:rFonts w:ascii="Times New Roman" w:eastAsia="Batang" w:hAnsi="Times New Roman" w:cs="Times New Roman"/>
                <w:snapToGrid w:val="0"/>
                <w:sz w:val="24"/>
                <w:szCs w:val="24"/>
                <w:lang w:eastAsia="ru-RU"/>
              </w:rPr>
            </w:pPr>
            <w:r w:rsidRPr="005B0D7D">
              <w:rPr>
                <w:rFonts w:ascii="Times New Roman" w:eastAsia="Batang" w:hAnsi="Times New Roman" w:cs="Times New Roman"/>
                <w:snapToGrid w:val="0"/>
                <w:sz w:val="24"/>
                <w:szCs w:val="24"/>
                <w:lang w:eastAsia="ru-RU"/>
              </w:rPr>
              <w:t>4</w:t>
            </w:r>
          </w:p>
        </w:tc>
      </w:tr>
    </w:tbl>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35" w:name="_Toc392143759"/>
      <w:bookmarkStart w:id="36" w:name="_Toc392622938"/>
      <w:bookmarkStart w:id="37" w:name="_Toc395506381"/>
      <w:bookmarkStart w:id="38" w:name="_Toc404211524"/>
      <w:bookmarkStart w:id="39" w:name="_Toc404218158"/>
      <w:bookmarkStart w:id="40" w:name="_Toc410639457"/>
      <w:r w:rsidRPr="005B0D7D">
        <w:rPr>
          <w:rFonts w:ascii="Times New Roman" w:eastAsia="Batang" w:hAnsi="Times New Roman" w:cs="Times New Roman"/>
          <w:b/>
          <w:bCs/>
          <w:sz w:val="28"/>
          <w:szCs w:val="28"/>
          <w:lang w:eastAsia="ko-KR"/>
        </w:rPr>
        <w:t>3.2.2.3. Образование</w:t>
      </w:r>
      <w:bookmarkEnd w:id="35"/>
      <w:bookmarkEnd w:id="36"/>
      <w:bookmarkEnd w:id="37"/>
      <w:bookmarkEnd w:id="38"/>
      <w:bookmarkEnd w:id="39"/>
      <w:bookmarkEnd w:id="40"/>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Сфера образования города Ханты-Мансийска характеризуется реализацией следующих процессов: </w:t>
      </w:r>
    </w:p>
    <w:p w:rsidR="005B0D7D" w:rsidRPr="005B0D7D" w:rsidRDefault="005B0D7D" w:rsidP="005B0D7D">
      <w:pPr>
        <w:numPr>
          <w:ilvl w:val="0"/>
          <w:numId w:val="35"/>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ежегодным ростом бюджетных расходов на образовательные услуги и программы; </w:t>
      </w:r>
    </w:p>
    <w:p w:rsidR="005B0D7D" w:rsidRPr="005B0D7D" w:rsidRDefault="005B0D7D" w:rsidP="005B0D7D">
      <w:pPr>
        <w:numPr>
          <w:ilvl w:val="0"/>
          <w:numId w:val="35"/>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ростом численности детей; </w:t>
      </w:r>
    </w:p>
    <w:p w:rsidR="005B0D7D" w:rsidRPr="005B0D7D" w:rsidRDefault="005B0D7D" w:rsidP="005B0D7D">
      <w:pPr>
        <w:numPr>
          <w:ilvl w:val="0"/>
          <w:numId w:val="35"/>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lastRenderedPageBreak/>
        <w:t xml:space="preserve">строительством дошкольных образовательных учреждений; </w:t>
      </w:r>
    </w:p>
    <w:p w:rsidR="005B0D7D" w:rsidRPr="005B0D7D" w:rsidRDefault="005B0D7D" w:rsidP="005B0D7D">
      <w:pPr>
        <w:numPr>
          <w:ilvl w:val="0"/>
          <w:numId w:val="35"/>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ростом числа учащихся общеобразовательных учреждений.</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На начало 2014 года сеть образовательных учреждений  на территории Ханты-Мансийска насчитывает 62 образовательных учреждения различной ведомственной принадлежности, в том числе 40 муниципальных учреждений. </w:t>
      </w:r>
    </w:p>
    <w:p w:rsidR="005B0D7D" w:rsidRPr="005B0D7D" w:rsidRDefault="005B0D7D" w:rsidP="005B0D7D">
      <w:pPr>
        <w:keepNext/>
        <w:spacing w:before="120" w:after="60" w:line="240" w:lineRule="auto"/>
        <w:ind w:firstLine="709"/>
        <w:outlineLvl w:val="2"/>
        <w:rPr>
          <w:rFonts w:ascii="Times New Roman" w:eastAsia="Batang" w:hAnsi="Times New Roman" w:cs="Times New Roman"/>
          <w:bCs/>
          <w:i/>
          <w:iCs/>
          <w:sz w:val="28"/>
          <w:szCs w:val="28"/>
          <w:lang w:eastAsia="ko-KR"/>
        </w:rPr>
      </w:pPr>
      <w:bookmarkStart w:id="41" w:name="_Toc392143760"/>
      <w:bookmarkStart w:id="42" w:name="_Toc392622939"/>
      <w:bookmarkStart w:id="43" w:name="_Toc395183921"/>
      <w:bookmarkStart w:id="44" w:name="_Toc395506382"/>
      <w:bookmarkStart w:id="45" w:name="_Toc405619819"/>
      <w:bookmarkStart w:id="46" w:name="_Toc405717540"/>
      <w:bookmarkStart w:id="47" w:name="_Toc405769378"/>
      <w:bookmarkStart w:id="48" w:name="_Toc409535130"/>
      <w:bookmarkStart w:id="49" w:name="_Toc410639458"/>
      <w:r w:rsidRPr="005B0D7D">
        <w:rPr>
          <w:rFonts w:ascii="Times New Roman" w:eastAsia="Batang" w:hAnsi="Times New Roman" w:cs="Times New Roman"/>
          <w:bCs/>
          <w:i/>
          <w:iCs/>
          <w:sz w:val="28"/>
          <w:szCs w:val="28"/>
          <w:lang w:eastAsia="ko-KR"/>
        </w:rPr>
        <w:t>Дошкольное образование</w:t>
      </w:r>
      <w:bookmarkEnd w:id="41"/>
      <w:bookmarkEnd w:id="42"/>
      <w:bookmarkEnd w:id="43"/>
      <w:bookmarkEnd w:id="44"/>
      <w:bookmarkEnd w:id="45"/>
      <w:bookmarkEnd w:id="46"/>
      <w:bookmarkEnd w:id="47"/>
      <w:bookmarkEnd w:id="48"/>
      <w:bookmarkEnd w:id="4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городе Ханты-Мансийске функционирует 21 муниципальное дошкольное образовательное учреждение, подведомственное Департаменту образования Администрации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Численность детей в дошкольных учреждениях города в последнее время постоянно растет, что определяется как увеличением численности населения, так и вводом в эксплуатацию новых детских садов и дополнительных мест в действующих дошкольных образовательных организациях. В начале 2013/2014 учебного года численность детей в дошкольных учреждениях, подведомственных Департаменту образования, составила 4 255 человек (рис.6а). В начале 2014/2015 учебного года численность детей в ДОУ составила 5 115 человек.</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Рост потребности в услугах дошкольных образовательных организаций определяет наличие достаточно большой очереди в детские сады, которая по состоянию на 1 января 2014 года насчитывает 6 363 детей (рис.6б). Администрация города стремится в первоочередном порядке обеспечить местами детей от 3 до 6 лет: таковых числится в очереди намного меньше, чем детей от 0 до 3 лет. Ежегодно растет число подаваемых заявлений на постановку в реестр очередности (за 2013 год подано 2 284 заявления, тогда как за 2012 год – 1 118 заявлений). </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1990725"/>
                  <wp:effectExtent l="0" t="0" r="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667000" cy="1990725"/>
                  <wp:effectExtent l="0" t="0" r="0" b="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Рис.6а. Численность детей в муниципальных дошкольных образовательных учреждениях</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Рис.6б. Величина очереди в детские сады, человек</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Ликвидировать очереди в детские сады предполагается, прежде всего, путем строительства новых зданий дошкольных образовательных организаций. Для решения задачи по достижению к 2016 году 100% доступности дошкольного образования ведется строительство 8-и дошкольных учреждений проектной мощностью на 2 120 мест. Помимо этого, планируется дальнейшее развитие альтернативных форм устройства детей дошкольного возраста. В 2013 году 576 </w:t>
      </w:r>
      <w:r w:rsidRPr="005B0D7D">
        <w:rPr>
          <w:rFonts w:ascii="Times New Roman" w:eastAsia="Batang" w:hAnsi="Times New Roman" w:cs="Times New Roman"/>
          <w:sz w:val="28"/>
          <w:szCs w:val="28"/>
          <w:lang w:eastAsia="ko-KR"/>
        </w:rPr>
        <w:lastRenderedPageBreak/>
        <w:t xml:space="preserve">детей посещали группы </w:t>
      </w:r>
      <w:proofErr w:type="spellStart"/>
      <w:r w:rsidRPr="005B0D7D">
        <w:rPr>
          <w:rFonts w:ascii="Times New Roman" w:eastAsia="Batang" w:hAnsi="Times New Roman" w:cs="Times New Roman"/>
          <w:sz w:val="28"/>
          <w:szCs w:val="28"/>
          <w:lang w:eastAsia="ko-KR"/>
        </w:rPr>
        <w:t>предшкольного</w:t>
      </w:r>
      <w:proofErr w:type="spellEnd"/>
      <w:r w:rsidRPr="005B0D7D">
        <w:rPr>
          <w:rFonts w:ascii="Times New Roman" w:eastAsia="Batang" w:hAnsi="Times New Roman" w:cs="Times New Roman"/>
          <w:sz w:val="28"/>
          <w:szCs w:val="28"/>
          <w:lang w:eastAsia="ko-KR"/>
        </w:rPr>
        <w:t xml:space="preserve"> образования при образовательных учреждениях (в 2012 году – 628 детей; уменьшение показателя вызвано открытием новых дошкольных образовательных организаций). Для родителей, чьи дети не посещают детские сады, в детских садах созданы консультационные пункты, где можно получить квалифицированную помощь специалистов по вопросам воспитания детей. При образовательных учреждениях функционирует 24 группы кратковременного пребывания детей различной направленности с общим охватом 335 детей (2012 год – 283 ребенка). Охват детей в возрасте с 3 до 6 лет дошкольным образованием с учетом групп кратковременного пребывания и групп </w:t>
      </w:r>
      <w:proofErr w:type="spellStart"/>
      <w:r w:rsidRPr="005B0D7D">
        <w:rPr>
          <w:rFonts w:ascii="Times New Roman" w:eastAsia="Batang" w:hAnsi="Times New Roman" w:cs="Times New Roman"/>
          <w:sz w:val="28"/>
          <w:szCs w:val="28"/>
          <w:lang w:eastAsia="ko-KR"/>
        </w:rPr>
        <w:t>предшкольного</w:t>
      </w:r>
      <w:proofErr w:type="spellEnd"/>
      <w:r w:rsidRPr="005B0D7D">
        <w:rPr>
          <w:rFonts w:ascii="Times New Roman" w:eastAsia="Batang" w:hAnsi="Times New Roman" w:cs="Times New Roman"/>
          <w:sz w:val="28"/>
          <w:szCs w:val="28"/>
          <w:lang w:eastAsia="ko-KR"/>
        </w:rPr>
        <w:t xml:space="preserve"> образования составляет 89% (в 2012 году – 88%).</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Для оказания коррекционной помощи детям с ограниченными возможностями здоровья в 2014 году организована работа 11 специальных (коррекционных) групп численностью 164 ребенка (в 2013 году – 10 групп численностью 157 детей) и 2 группы оздоровительной направленности с численностью 35 человек.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Ханты-Мансийске создаются условия для развития частных предприятий малого и среднего бизнеса, предоставляющих услуги по дошкольному образованию и воспитанию. В 2013 году услуги по присмотру и уходу за детьми оказывают 24 частных предпринимателя. Данными услугами охвачено более 500 детей (в 2012 году – порядка 400 детей). Образовательную услугу предоставляют частное образовательное учреждение «Детский сад «Радость»» и индивидуальный предприниматель </w:t>
      </w:r>
      <w:proofErr w:type="spellStart"/>
      <w:r w:rsidRPr="005B0D7D">
        <w:rPr>
          <w:rFonts w:ascii="Times New Roman" w:eastAsia="Batang" w:hAnsi="Times New Roman" w:cs="Times New Roman"/>
          <w:sz w:val="28"/>
          <w:szCs w:val="28"/>
          <w:lang w:eastAsia="ko-KR"/>
        </w:rPr>
        <w:t>Журавлевский</w:t>
      </w:r>
      <w:proofErr w:type="spellEnd"/>
      <w:r w:rsidRPr="005B0D7D">
        <w:rPr>
          <w:rFonts w:ascii="Times New Roman" w:eastAsia="Batang" w:hAnsi="Times New Roman" w:cs="Times New Roman"/>
          <w:sz w:val="28"/>
          <w:szCs w:val="28"/>
          <w:lang w:eastAsia="ko-KR"/>
        </w:rPr>
        <w:t xml:space="preserve"> А.А. (детский сад «Антошка 2») на основании лицензии на </w:t>
      </w:r>
      <w:proofErr w:type="gramStart"/>
      <w:r w:rsidRPr="005B0D7D">
        <w:rPr>
          <w:rFonts w:ascii="Times New Roman" w:eastAsia="Batang" w:hAnsi="Times New Roman" w:cs="Times New Roman"/>
          <w:sz w:val="28"/>
          <w:szCs w:val="28"/>
          <w:lang w:eastAsia="ko-KR"/>
        </w:rPr>
        <w:t>право ведения</w:t>
      </w:r>
      <w:proofErr w:type="gramEnd"/>
      <w:r w:rsidRPr="005B0D7D">
        <w:rPr>
          <w:rFonts w:ascii="Times New Roman" w:eastAsia="Batang" w:hAnsi="Times New Roman" w:cs="Times New Roman"/>
          <w:sz w:val="28"/>
          <w:szCs w:val="28"/>
          <w:lang w:eastAsia="ko-KR"/>
        </w:rPr>
        <w:t xml:space="preserve"> образовательной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целях развития негосударственного сектора оказывается организационная и инфраструктурная поддержка инвестиций в развитие негосударственного сектора дошкольного образования.</w:t>
      </w:r>
    </w:p>
    <w:p w:rsidR="005B0D7D" w:rsidRPr="005B0D7D" w:rsidRDefault="005B0D7D" w:rsidP="005B0D7D">
      <w:pPr>
        <w:keepNext/>
        <w:spacing w:before="240" w:after="60" w:line="240" w:lineRule="auto"/>
        <w:ind w:firstLine="709"/>
        <w:outlineLvl w:val="2"/>
        <w:rPr>
          <w:rFonts w:ascii="Times New Roman" w:eastAsia="Batang" w:hAnsi="Times New Roman" w:cs="Times New Roman"/>
          <w:bCs/>
          <w:i/>
          <w:iCs/>
          <w:sz w:val="28"/>
          <w:szCs w:val="28"/>
          <w:lang w:eastAsia="ko-KR"/>
        </w:rPr>
      </w:pPr>
      <w:bookmarkStart w:id="50" w:name="_Toc392143761"/>
      <w:bookmarkStart w:id="51" w:name="_Toc392622940"/>
      <w:bookmarkStart w:id="52" w:name="_Toc395183922"/>
      <w:bookmarkStart w:id="53" w:name="_Toc395506383"/>
      <w:bookmarkStart w:id="54" w:name="_Toc405619820"/>
      <w:bookmarkStart w:id="55" w:name="_Toc405717541"/>
      <w:bookmarkStart w:id="56" w:name="_Toc405769379"/>
      <w:bookmarkStart w:id="57" w:name="_Toc409535131"/>
      <w:bookmarkStart w:id="58" w:name="_Toc410639459"/>
      <w:r w:rsidRPr="005B0D7D">
        <w:rPr>
          <w:rFonts w:ascii="Times New Roman" w:eastAsia="Batang" w:hAnsi="Times New Roman" w:cs="Times New Roman"/>
          <w:bCs/>
          <w:i/>
          <w:iCs/>
          <w:sz w:val="28"/>
          <w:szCs w:val="28"/>
          <w:lang w:eastAsia="ko-KR"/>
        </w:rPr>
        <w:t>Общее образование</w:t>
      </w:r>
      <w:bookmarkEnd w:id="50"/>
      <w:bookmarkEnd w:id="51"/>
      <w:bookmarkEnd w:id="52"/>
      <w:bookmarkEnd w:id="53"/>
      <w:bookmarkEnd w:id="54"/>
      <w:bookmarkEnd w:id="55"/>
      <w:bookmarkEnd w:id="56"/>
      <w:bookmarkEnd w:id="57"/>
      <w:bookmarkEnd w:id="58"/>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в городе Ханты-Мансийске насчитывалось 8 муниципальных общеобразовательных учреждений, в которых на начало 2013/2014 учебного года обучалось 9 945 детей. В 2014/2015 учебном году была открыта еще одна школа, количество учащихся составило 10 622 ребенка.</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Постоянный рост численности населения города обусловливает ежегодное значительное увеличение числа учащихся (рис.7а). В такой ситуации существующая материально-техническая база не может обеспечить комфортные условия обучения всех школьников, в результате чего почти половина из их числа обучаются во вторую смену (рис.7б). </w:t>
      </w:r>
    </w:p>
    <w:tbl>
      <w:tblPr>
        <w:tblW w:w="0" w:type="auto"/>
        <w:tblLook w:val="00A0" w:firstRow="1" w:lastRow="0" w:firstColumn="1" w:lastColumn="0" w:noHBand="0" w:noVBand="0"/>
      </w:tblPr>
      <w:tblGrid>
        <w:gridCol w:w="4896"/>
        <w:gridCol w:w="4761"/>
      </w:tblGrid>
      <w:tr w:rsidR="005B0D7D" w:rsidRPr="005B0D7D" w:rsidTr="005B0D7D">
        <w:trPr>
          <w:cantSplit/>
        </w:trPr>
        <w:tc>
          <w:tcPr>
            <w:tcW w:w="4860"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lastRenderedPageBreak/>
              <w:drawing>
                <wp:inline distT="0" distB="0" distL="0" distR="0">
                  <wp:extent cx="2971800" cy="1971675"/>
                  <wp:effectExtent l="0" t="0" r="0" b="0"/>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711"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2019300"/>
                  <wp:effectExtent l="0" t="0" r="0" b="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5B0D7D" w:rsidRPr="005B0D7D" w:rsidTr="005B0D7D">
        <w:trPr>
          <w:cantSplit/>
        </w:trPr>
        <w:tc>
          <w:tcPr>
            <w:tcW w:w="4860"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Рис.7а. Число учащихся общеобразовательных учреждений</w:t>
            </w:r>
          </w:p>
        </w:tc>
        <w:tc>
          <w:tcPr>
            <w:tcW w:w="4711"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 xml:space="preserve">Рис.7б. Доля </w:t>
            </w:r>
            <w:proofErr w:type="gramStart"/>
            <w:r w:rsidRPr="005B0D7D">
              <w:rPr>
                <w:rFonts w:ascii="Times New Roman" w:eastAsia="Batang" w:hAnsi="Times New Roman" w:cs="Times New Roman"/>
                <w:b/>
                <w:sz w:val="24"/>
                <w:szCs w:val="24"/>
                <w:lang w:eastAsia="ko-KR"/>
              </w:rPr>
              <w:t>обучающихся</w:t>
            </w:r>
            <w:proofErr w:type="gramEnd"/>
            <w:r w:rsidRPr="005B0D7D">
              <w:rPr>
                <w:rFonts w:ascii="Times New Roman" w:eastAsia="Batang" w:hAnsi="Times New Roman" w:cs="Times New Roman"/>
                <w:b/>
                <w:sz w:val="24"/>
                <w:szCs w:val="24"/>
                <w:lang w:eastAsia="ko-KR"/>
              </w:rPr>
              <w:t xml:space="preserve"> во вторую смену</w:t>
            </w:r>
          </w:p>
        </w:tc>
      </w:tr>
    </w:tbl>
    <w:p w:rsidR="005B0D7D" w:rsidRPr="005B0D7D" w:rsidRDefault="005B0D7D" w:rsidP="005B0D7D">
      <w:pPr>
        <w:spacing w:after="0" w:line="240" w:lineRule="auto"/>
        <w:ind w:firstLine="77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общая успеваемость составила 99%, качественная успеваемость – 39%.</w:t>
      </w:r>
    </w:p>
    <w:p w:rsidR="005B0D7D" w:rsidRPr="005B0D7D" w:rsidRDefault="005B0D7D" w:rsidP="005B0D7D">
      <w:pPr>
        <w:spacing w:after="0" w:line="240" w:lineRule="auto"/>
        <w:ind w:firstLine="77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последние годы наблюдается увеличение численности детей с ограниченными возможностями здоровья: в 2012 году – 285, в 2013 году – 281, в 2014 году – 321 ребёнок. Из них детей-инвалидов в 2012 году – 64, в 2013 году – 80 и в 2014 году – 68. В общеобразовательных учреждениях созданы условия для обучения различных категорий детей с отклонениями в развитии. В специальных (коррекционных) классах на базе общеобразовательных учреждений обучаются дети с нарушениями зрения, опорно-двигательного аппарата, с задержкой психического развития. Из числа детей-инвалидов 10 человек по медицинским показаниям обучаются в Центре дистанционного обучения, открытого на базе школы №2. В 2014-2015 учебном году новая школа вошла в перечень базовых общеобразовательных организаций округа, в которой созданы условия для инклюзивного образования детей-инвалидов.</w:t>
      </w:r>
    </w:p>
    <w:p w:rsidR="005B0D7D" w:rsidRPr="005B0D7D" w:rsidRDefault="005B0D7D" w:rsidP="005B0D7D">
      <w:pPr>
        <w:spacing w:after="0" w:line="240" w:lineRule="auto"/>
        <w:ind w:firstLine="77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 окончанию 2013/2014 учебного года число выпускников общеобразовательных организаций составило 390 человек. Из них 353 выпускника, или 90,5%, поступили в высшие учебные заведения, 6,4% – в средние специальные учебные заведения, остальные трудоустроились либо призваны в ряды Российской армии. Среди </w:t>
      </w:r>
      <w:proofErr w:type="gramStart"/>
      <w:r w:rsidRPr="005B0D7D">
        <w:rPr>
          <w:rFonts w:ascii="Times New Roman" w:eastAsia="Batang" w:hAnsi="Times New Roman" w:cs="Times New Roman"/>
          <w:sz w:val="28"/>
          <w:szCs w:val="28"/>
          <w:lang w:eastAsia="ko-KR"/>
        </w:rPr>
        <w:t>продолживших</w:t>
      </w:r>
      <w:proofErr w:type="gramEnd"/>
      <w:r w:rsidRPr="005B0D7D">
        <w:rPr>
          <w:rFonts w:ascii="Times New Roman" w:eastAsia="Batang" w:hAnsi="Times New Roman" w:cs="Times New Roman"/>
          <w:sz w:val="28"/>
          <w:szCs w:val="28"/>
          <w:lang w:eastAsia="ko-KR"/>
        </w:rPr>
        <w:t xml:space="preserve"> обучение 45,9% обучаются на бюджетной основе, 46,2% – на коммерческой основе и 7,9% – на основе целевого обучения.</w:t>
      </w:r>
    </w:p>
    <w:p w:rsidR="005B0D7D" w:rsidRPr="005B0D7D" w:rsidRDefault="005B0D7D" w:rsidP="005B0D7D">
      <w:pPr>
        <w:keepNext/>
        <w:spacing w:before="240" w:after="60" w:line="240" w:lineRule="auto"/>
        <w:ind w:firstLine="709"/>
        <w:outlineLvl w:val="2"/>
        <w:rPr>
          <w:rFonts w:ascii="Times New Roman" w:eastAsia="Batang" w:hAnsi="Times New Roman" w:cs="Times New Roman"/>
          <w:bCs/>
          <w:i/>
          <w:iCs/>
          <w:sz w:val="28"/>
          <w:szCs w:val="28"/>
          <w:lang w:eastAsia="ko-KR"/>
        </w:rPr>
      </w:pPr>
      <w:bookmarkStart w:id="59" w:name="_Toc392143762"/>
      <w:bookmarkStart w:id="60" w:name="_Toc392622941"/>
      <w:bookmarkStart w:id="61" w:name="_Toc395183923"/>
      <w:bookmarkStart w:id="62" w:name="_Toc395506384"/>
      <w:bookmarkStart w:id="63" w:name="_Toc405619821"/>
      <w:bookmarkStart w:id="64" w:name="_Toc405717542"/>
      <w:bookmarkStart w:id="65" w:name="_Toc405769380"/>
      <w:bookmarkStart w:id="66" w:name="_Toc409535132"/>
      <w:bookmarkStart w:id="67" w:name="_Toc410639460"/>
      <w:r w:rsidRPr="005B0D7D">
        <w:rPr>
          <w:rFonts w:ascii="Times New Roman" w:eastAsia="Batang" w:hAnsi="Times New Roman" w:cs="Times New Roman"/>
          <w:bCs/>
          <w:i/>
          <w:iCs/>
          <w:sz w:val="28"/>
          <w:szCs w:val="28"/>
          <w:lang w:eastAsia="ko-KR"/>
        </w:rPr>
        <w:t>Дополнительное образование</w:t>
      </w:r>
      <w:bookmarkEnd w:id="59"/>
      <w:bookmarkEnd w:id="60"/>
      <w:bookmarkEnd w:id="61"/>
      <w:bookmarkEnd w:id="62"/>
      <w:bookmarkEnd w:id="63"/>
      <w:bookmarkEnd w:id="64"/>
      <w:bookmarkEnd w:id="65"/>
      <w:bookmarkEnd w:id="66"/>
      <w:bookmarkEnd w:id="67"/>
    </w:p>
    <w:p w:rsidR="005B0D7D" w:rsidRPr="005B0D7D" w:rsidRDefault="005B0D7D" w:rsidP="005B0D7D">
      <w:pPr>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Система дополнительного образования представлена в городе 11 муниципальными образовательными учреждениями дополнительного образования детей: Детская школа искусств и народных ремесел, Детский </w:t>
      </w:r>
      <w:proofErr w:type="spellStart"/>
      <w:r w:rsidRPr="005B0D7D">
        <w:rPr>
          <w:rFonts w:ascii="Times New Roman" w:eastAsia="Batang" w:hAnsi="Times New Roman" w:cs="Times New Roman"/>
          <w:sz w:val="28"/>
          <w:szCs w:val="28"/>
          <w:lang w:eastAsia="ru-RU"/>
        </w:rPr>
        <w:t>этнокультурно</w:t>
      </w:r>
      <w:proofErr w:type="spellEnd"/>
      <w:r w:rsidRPr="005B0D7D">
        <w:rPr>
          <w:rFonts w:ascii="Times New Roman" w:eastAsia="Batang" w:hAnsi="Times New Roman" w:cs="Times New Roman"/>
          <w:sz w:val="28"/>
          <w:szCs w:val="28"/>
          <w:lang w:eastAsia="ru-RU"/>
        </w:rPr>
        <w:t>-образовательный центр «</w:t>
      </w:r>
      <w:proofErr w:type="spellStart"/>
      <w:r w:rsidRPr="005B0D7D">
        <w:rPr>
          <w:rFonts w:ascii="Times New Roman" w:eastAsia="Batang" w:hAnsi="Times New Roman" w:cs="Times New Roman"/>
          <w:sz w:val="28"/>
          <w:szCs w:val="28"/>
          <w:lang w:eastAsia="ru-RU"/>
        </w:rPr>
        <w:t>Лылынг</w:t>
      </w:r>
      <w:proofErr w:type="spellEnd"/>
      <w:r w:rsidRPr="005B0D7D">
        <w:rPr>
          <w:rFonts w:ascii="Times New Roman" w:eastAsia="Batang" w:hAnsi="Times New Roman" w:cs="Times New Roman"/>
          <w:sz w:val="28"/>
          <w:szCs w:val="28"/>
          <w:lang w:eastAsia="ru-RU"/>
        </w:rPr>
        <w:t xml:space="preserve"> </w:t>
      </w:r>
      <w:proofErr w:type="spellStart"/>
      <w:r w:rsidRPr="005B0D7D">
        <w:rPr>
          <w:rFonts w:ascii="Times New Roman" w:eastAsia="Batang" w:hAnsi="Times New Roman" w:cs="Times New Roman"/>
          <w:sz w:val="28"/>
          <w:szCs w:val="28"/>
          <w:lang w:eastAsia="ru-RU"/>
        </w:rPr>
        <w:t>союм</w:t>
      </w:r>
      <w:proofErr w:type="spellEnd"/>
      <w:r w:rsidRPr="005B0D7D">
        <w:rPr>
          <w:rFonts w:ascii="Times New Roman" w:eastAsia="Batang" w:hAnsi="Times New Roman" w:cs="Times New Roman"/>
          <w:sz w:val="28"/>
          <w:szCs w:val="28"/>
          <w:lang w:eastAsia="ru-RU"/>
        </w:rPr>
        <w:t xml:space="preserve">», Станция юных натуралистов, Станция юных туристов, Дом детского творчества, Центр дополнительного образования «Патриот», Станция юных техников, Межшкольный учебный комбинат, Центр диагностики и консультирования, Центр развития образования. Открываются новые учреждения дополнительного </w:t>
      </w:r>
      <w:r w:rsidRPr="005B0D7D">
        <w:rPr>
          <w:rFonts w:ascii="Times New Roman" w:eastAsia="Batang" w:hAnsi="Times New Roman" w:cs="Times New Roman"/>
          <w:sz w:val="28"/>
          <w:szCs w:val="28"/>
          <w:lang w:eastAsia="ru-RU"/>
        </w:rPr>
        <w:lastRenderedPageBreak/>
        <w:t xml:space="preserve">образования, в частности Центр развития творчества детей и юношества на 200 мест. </w:t>
      </w:r>
    </w:p>
    <w:p w:rsidR="005B0D7D" w:rsidRPr="005B0D7D" w:rsidRDefault="005B0D7D" w:rsidP="005B0D7D">
      <w:pPr>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Среди 13 реализуемых направлений дополнительного образования наиболее востребованными являются художественное образование, музыка, хореография, прикладное творчество и спорт.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в кружках и секциях учреждений образования занимаются 11 852 детей и подростков 5-18 лет. В 2014 году число занимающихся возросло до 12 226 человек. Резко увеличивается число кружков и объединений дополнительного образования детей (в 2012 году – 188 ед., в 2013 году – 237 ед., в 2014 году – 378 ед.). В общеобразовательных организациях дополнительное образование получают 55% обучающихся.</w:t>
      </w:r>
    </w:p>
    <w:p w:rsidR="005B0D7D" w:rsidRPr="005B0D7D" w:rsidRDefault="005B0D7D" w:rsidP="005B0D7D">
      <w:pPr>
        <w:keepNext/>
        <w:spacing w:before="240" w:after="60" w:line="240" w:lineRule="auto"/>
        <w:ind w:firstLine="709"/>
        <w:outlineLvl w:val="2"/>
        <w:rPr>
          <w:rFonts w:ascii="Times New Roman" w:eastAsia="Batang" w:hAnsi="Times New Roman" w:cs="Times New Roman"/>
          <w:bCs/>
          <w:i/>
          <w:iCs/>
          <w:sz w:val="28"/>
          <w:szCs w:val="28"/>
          <w:lang w:eastAsia="ko-KR"/>
        </w:rPr>
      </w:pPr>
      <w:bookmarkStart w:id="68" w:name="_Toc392622942"/>
      <w:bookmarkStart w:id="69" w:name="_Toc395183924"/>
      <w:bookmarkStart w:id="70" w:name="_Toc395506385"/>
      <w:bookmarkStart w:id="71" w:name="_Toc405619822"/>
      <w:bookmarkStart w:id="72" w:name="_Toc405717543"/>
      <w:bookmarkStart w:id="73" w:name="_Toc405769381"/>
      <w:bookmarkStart w:id="74" w:name="_Toc409535133"/>
      <w:bookmarkStart w:id="75" w:name="_Toc410639461"/>
      <w:r w:rsidRPr="005B0D7D">
        <w:rPr>
          <w:rFonts w:ascii="Times New Roman" w:eastAsia="Batang" w:hAnsi="Times New Roman" w:cs="Times New Roman"/>
          <w:bCs/>
          <w:i/>
          <w:iCs/>
          <w:sz w:val="28"/>
          <w:szCs w:val="28"/>
          <w:lang w:eastAsia="ko-KR"/>
        </w:rPr>
        <w:t>Профессиональное образование</w:t>
      </w:r>
      <w:bookmarkEnd w:id="68"/>
      <w:bookmarkEnd w:id="69"/>
      <w:bookmarkEnd w:id="70"/>
      <w:bookmarkEnd w:id="71"/>
      <w:bookmarkEnd w:id="72"/>
      <w:bookmarkEnd w:id="73"/>
      <w:bookmarkEnd w:id="74"/>
      <w:bookmarkEnd w:id="75"/>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Система профессионального образования представлена 7 высшими учебными заведениями и 3 учреждениями среднего профессионального образования; помимо этого, образовательные услуги предоставляют 8 прочих учреждений. В учреждениях начального профессионального образования в 2012 году обучалось 645 человек, впоследствии деятельность этих учреждений была приостановлена. Численность студентов учреждений среднего профессионального образования в 2012 году составила 2 852 человека, а в 2013 году – 2 833 человека. За 2012-2013 годы выпуск специалистов со средним профессиональным образованием увеличился с 394 до 654 человек.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городе наблюдается рост студентов высших учебных заведений: в 2012 году насчитывалось 3 448 студентов, а в 2013 году – 3 516 студентов. При этом выпуск специалистов с высшим образованием за последний год несколько уменьшился, составляя в 2012 году 865 человек, а в 2013 году – 621 человек. Ведущим образовательным учреждением города является Югорский государственный университет.</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76" w:name="_Toc392143755"/>
      <w:bookmarkStart w:id="77" w:name="_Toc392622934"/>
      <w:bookmarkStart w:id="78" w:name="_Toc395506377"/>
      <w:bookmarkStart w:id="79" w:name="_Toc404211521"/>
      <w:bookmarkStart w:id="80" w:name="_Toc404218155"/>
      <w:bookmarkStart w:id="81" w:name="_Toc410639462"/>
      <w:r w:rsidRPr="005B0D7D">
        <w:rPr>
          <w:rFonts w:ascii="Times New Roman" w:eastAsia="Batang" w:hAnsi="Times New Roman" w:cs="Times New Roman"/>
          <w:b/>
          <w:bCs/>
          <w:sz w:val="28"/>
          <w:szCs w:val="28"/>
          <w:lang w:eastAsia="ko-KR"/>
        </w:rPr>
        <w:t xml:space="preserve">3.2.2.4. </w:t>
      </w:r>
      <w:bookmarkStart w:id="82" w:name="_Toc392143754"/>
      <w:bookmarkStart w:id="83" w:name="_Toc392622933"/>
      <w:bookmarkStart w:id="84" w:name="_Toc395506376"/>
      <w:bookmarkEnd w:id="76"/>
      <w:bookmarkEnd w:id="77"/>
      <w:bookmarkEnd w:id="78"/>
      <w:bookmarkEnd w:id="79"/>
      <w:bookmarkEnd w:id="80"/>
      <w:r w:rsidRPr="005B0D7D">
        <w:rPr>
          <w:rFonts w:ascii="Times New Roman" w:eastAsia="Batang" w:hAnsi="Times New Roman" w:cs="Times New Roman"/>
          <w:b/>
          <w:bCs/>
          <w:sz w:val="28"/>
          <w:szCs w:val="28"/>
          <w:lang w:eastAsia="ko-KR"/>
        </w:rPr>
        <w:t>Здравоохранение</w:t>
      </w:r>
      <w:bookmarkEnd w:id="81"/>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городе Ханты-Мансийске функционируют 6 медицинских организаций (в 2010-2011 годах – 7 организаций). Обеспеченность больничными койками составляет 1071 ед., постоянно увеличиваясь (2010 год – 942, 2011 год – 937, 2012 год – 1048). При этом в удельном выражении данный показатель за четыре года немного уменьшился. Это говорит о том, что социальная инфраструктура с трудом поспевает за ростом численности населения (рис.8а). По обеспеченности койками Ханты-Мансийск занимает второе место после Березовского района (121,1), немного опережая Советский район (110,0).</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proofErr w:type="gramStart"/>
      <w:r w:rsidRPr="005B0D7D">
        <w:rPr>
          <w:rFonts w:ascii="Times New Roman" w:eastAsia="Batang" w:hAnsi="Times New Roman" w:cs="Times New Roman"/>
          <w:sz w:val="28"/>
          <w:szCs w:val="28"/>
          <w:lang w:eastAsia="ko-KR"/>
        </w:rPr>
        <w:t>В последние годы планомерно растет число амбулаторно-поликлинических организаций, которых в 2010 году насчитывалось 12, в 2011 году – 13, в 2012 году – 14, в 2013 году – 15).</w:t>
      </w:r>
      <w:proofErr w:type="gramEnd"/>
      <w:r w:rsidRPr="005B0D7D">
        <w:rPr>
          <w:rFonts w:ascii="Times New Roman" w:eastAsia="Batang" w:hAnsi="Times New Roman" w:cs="Times New Roman"/>
          <w:sz w:val="28"/>
          <w:szCs w:val="28"/>
          <w:lang w:eastAsia="ko-KR"/>
        </w:rPr>
        <w:t xml:space="preserve"> В 2013 году мощность поликлиник составила 3 057 посещений в смену; за четырехлетний период данный показатель увеличился на 16%. При этом в удельном выражении мощность поликлиник осталась на прежнем уровне (рис.8б). По данному показателю Ханты-Мансийск занимает 5 </w:t>
      </w:r>
      <w:r w:rsidRPr="005B0D7D">
        <w:rPr>
          <w:rFonts w:ascii="Times New Roman" w:eastAsia="Batang" w:hAnsi="Times New Roman" w:cs="Times New Roman"/>
          <w:sz w:val="28"/>
          <w:szCs w:val="28"/>
          <w:lang w:eastAsia="ko-KR"/>
        </w:rPr>
        <w:lastRenderedPageBreak/>
        <w:t>место в автономном округе. Удельная численность врачей также уменьшилась, несмотря на увеличение их численности в абсолютном выражении на 9% (рис.8в).</w:t>
      </w:r>
    </w:p>
    <w:tbl>
      <w:tblPr>
        <w:tblW w:w="5000" w:type="pct"/>
        <w:tblLook w:val="00A0" w:firstRow="1" w:lastRow="0" w:firstColumn="1" w:lastColumn="0" w:noHBand="0" w:noVBand="0"/>
      </w:tblPr>
      <w:tblGrid>
        <w:gridCol w:w="3401"/>
        <w:gridCol w:w="3368"/>
        <w:gridCol w:w="3368"/>
      </w:tblGrid>
      <w:tr w:rsidR="005B0D7D" w:rsidRPr="005B0D7D" w:rsidTr="005B0D7D">
        <w:trPr>
          <w:cantSplit/>
        </w:trPr>
        <w:tc>
          <w:tcPr>
            <w:tcW w:w="1677" w:type="pct"/>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1924050" cy="1438275"/>
                  <wp:effectExtent l="0" t="0" r="0"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1661" w:type="pct"/>
            <w:tcBorders>
              <w:right w:val="single" w:sz="4" w:space="0" w:color="FFFFFF"/>
            </w:tcBorders>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1905000" cy="1438275"/>
                  <wp:effectExtent l="0" t="0" r="0" b="0"/>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1661" w:type="pct"/>
            <w:tcBorders>
              <w:left w:val="single" w:sz="4" w:space="0" w:color="FFFFFF"/>
            </w:tcBorders>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1905000" cy="1438275"/>
                  <wp:effectExtent l="0" t="0" r="0" b="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5B0D7D" w:rsidRPr="005B0D7D" w:rsidTr="005B0D7D">
        <w:trPr>
          <w:cantSplit/>
        </w:trPr>
        <w:tc>
          <w:tcPr>
            <w:tcW w:w="1677" w:type="pct"/>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Рис.8а. Обеспеченность больничными койками, ед. на 10 тыс. населения</w:t>
            </w:r>
          </w:p>
        </w:tc>
        <w:tc>
          <w:tcPr>
            <w:tcW w:w="1661" w:type="pct"/>
            <w:tcBorders>
              <w:right w:val="single" w:sz="4" w:space="0" w:color="FFFFFF"/>
            </w:tcBorders>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Рис.8б. Обеспеченность амбулаторно-поликлиническими организациями</w:t>
            </w:r>
          </w:p>
        </w:tc>
        <w:tc>
          <w:tcPr>
            <w:tcW w:w="1661" w:type="pct"/>
            <w:tcBorders>
              <w:left w:val="single" w:sz="4" w:space="0" w:color="FFFFFF"/>
            </w:tcBorders>
          </w:tcPr>
          <w:p w:rsidR="005B0D7D" w:rsidRPr="005B0D7D" w:rsidRDefault="005B0D7D" w:rsidP="005B0D7D">
            <w:pPr>
              <w:spacing w:after="120" w:line="240" w:lineRule="auto"/>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t>Рис.8в. Удельная численность врачей, чел. на 10 тыс. населения</w:t>
            </w:r>
          </w:p>
        </w:tc>
      </w:tr>
    </w:tbl>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85" w:name="_Toc392143763"/>
      <w:bookmarkStart w:id="86" w:name="_Toc392622943"/>
      <w:bookmarkStart w:id="87" w:name="_Toc395506386"/>
      <w:bookmarkStart w:id="88" w:name="_Toc404211525"/>
      <w:bookmarkStart w:id="89" w:name="_Toc404218159"/>
      <w:bookmarkStart w:id="90" w:name="_Toc410639463"/>
      <w:bookmarkEnd w:id="82"/>
      <w:bookmarkEnd w:id="83"/>
      <w:bookmarkEnd w:id="84"/>
      <w:r w:rsidRPr="005B0D7D">
        <w:rPr>
          <w:rFonts w:ascii="Times New Roman" w:eastAsia="Batang" w:hAnsi="Times New Roman" w:cs="Times New Roman"/>
          <w:b/>
          <w:bCs/>
          <w:sz w:val="28"/>
          <w:szCs w:val="28"/>
          <w:lang w:eastAsia="ko-KR"/>
        </w:rPr>
        <w:t>3.2.2.5. Культур</w:t>
      </w:r>
      <w:bookmarkEnd w:id="85"/>
      <w:bookmarkEnd w:id="86"/>
      <w:bookmarkEnd w:id="87"/>
      <w:bookmarkEnd w:id="88"/>
      <w:bookmarkEnd w:id="89"/>
      <w:r w:rsidRPr="005B0D7D">
        <w:rPr>
          <w:rFonts w:ascii="Times New Roman" w:eastAsia="Batang" w:hAnsi="Times New Roman" w:cs="Times New Roman"/>
          <w:b/>
          <w:bCs/>
          <w:sz w:val="28"/>
          <w:szCs w:val="28"/>
          <w:lang w:eastAsia="ko-KR"/>
        </w:rPr>
        <w:t>а</w:t>
      </w:r>
      <w:bookmarkEnd w:id="90"/>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Статус административного центра округа обеспечивает городу Ханты-Мансийску диверсифицированную культурную среду, представленную сетью учреждений окружного и муниципального значения, включающую музеи, картинные галереи, культурно-досуговые и концертные центры, театры, клубы и библиотеки. Обогащают местную культурную среду традиции обско-угорских народов Севера, русских казаков-первопроходцев, сибирских и уральских старожилов. Повышению привлекательности культурной среды способствует событийная насыщенность: проведение международных и российских кинофестивалей, театральных премьер, гастролей выдающихся артистов.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Муниципальная сфера культуры города Ханты-Мансийска представлена бюджетными учреждениями «Городская централизованная библиотечная система», включающая 7 библиотек, и «Культурно-досуговый центр “Октябрь”». Обеспеченность населения города учреждениями культурно-досугового типа с учетом концертных залов Концертно-театрального центра «Югра-Классик» составляет 1 998 зрительских мест, или 69,1% от нормативной потребности (2 892 места).</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Культурно-досуговый центр «Октябрь»</w:t>
      </w:r>
      <w:r w:rsidRPr="005B0D7D">
        <w:rPr>
          <w:rFonts w:ascii="Times New Roman" w:eastAsia="Batang" w:hAnsi="Times New Roman" w:cs="Times New Roman"/>
          <w:sz w:val="28"/>
          <w:szCs w:val="28"/>
          <w:lang w:eastAsia="ru-RU"/>
        </w:rPr>
        <w:t xml:space="preserve"> проводит культурно-массовые мероприятия различной направленности для различных категорий населения. </w:t>
      </w:r>
      <w:r w:rsidRPr="005B0D7D">
        <w:rPr>
          <w:rFonts w:ascii="Times New Roman" w:eastAsia="Batang" w:hAnsi="Times New Roman" w:cs="Times New Roman"/>
          <w:sz w:val="28"/>
          <w:szCs w:val="28"/>
          <w:lang w:eastAsia="ko-KR"/>
        </w:rPr>
        <w:t>В 2013 году центром проведено 347 культурно-массовых мероприятий; за четыре года данный показатель вырос на 8,4%; количество посещений культурно-массовых мероприятий возросло на 29,3% и составило 135 231 посещений (рис.9а и 9б).</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lastRenderedPageBreak/>
              <w:drawing>
                <wp:inline distT="0" distB="0" distL="0" distR="0">
                  <wp:extent cx="2886075" cy="2209800"/>
                  <wp:effectExtent l="0" t="0" r="0"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2209800"/>
                  <wp:effectExtent l="0" t="0" r="0" b="0"/>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Рис.9а. Число культурно-массовых мероприятий</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Рис.9б. Число посещений культурно-массовых мероприятий</w:t>
            </w:r>
          </w:p>
        </w:tc>
      </w:tr>
    </w:tbl>
    <w:p w:rsidR="005B0D7D" w:rsidRPr="005B0D7D" w:rsidRDefault="005B0D7D" w:rsidP="005B0D7D">
      <w:pPr>
        <w:spacing w:after="0" w:line="240" w:lineRule="auto"/>
        <w:ind w:firstLine="720"/>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Примечание. </w:t>
      </w:r>
      <w:proofErr w:type="gramStart"/>
      <w:r w:rsidRPr="005B0D7D">
        <w:rPr>
          <w:rFonts w:ascii="Times New Roman" w:eastAsia="Batang" w:hAnsi="Times New Roman" w:cs="Times New Roman"/>
          <w:sz w:val="20"/>
          <w:szCs w:val="20"/>
          <w:lang w:eastAsia="ko-KR"/>
        </w:rPr>
        <w:t>В соответствии с приказом Федеральной службы государственной статистики от 15 июля 2011 года №324 «Об утверждении статистического инструментария для организации Минкультуры России федерального статистического наблюдения за деятельностью учреждений культуры» и на основании разъяснений в декабре 2012 года Главного информационно-вычислительного центра Министерства культуры Российской Федерации изменен расчет отдельных показателей (в частности показателей, касающихся раздела «Культурно-массовые мероприятия формы федерального статистического наблюдения 7-НК</w:t>
      </w:r>
      <w:proofErr w:type="gramEnd"/>
      <w:r w:rsidRPr="005B0D7D">
        <w:rPr>
          <w:rFonts w:ascii="Times New Roman" w:eastAsia="Batang" w:hAnsi="Times New Roman" w:cs="Times New Roman"/>
          <w:sz w:val="20"/>
          <w:szCs w:val="20"/>
          <w:lang w:eastAsia="ko-KR"/>
        </w:rPr>
        <w:t>»), в силу чего с 2012 года наблюдается резкое снижение количества проведенных культурно-массовых мероприятий.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Из общего числа культурно-массовых мероприятий в 2013 году на платной основе проведены 129 мероприятий, или 37,2% (в 2010 году – 135 мероприятий, в 2011 году – 133 мероприятия, в 2012 году – 116 мероприятий).</w:t>
      </w:r>
    </w:p>
    <w:p w:rsidR="005B0D7D" w:rsidRPr="005B0D7D" w:rsidRDefault="005B0D7D" w:rsidP="005B0D7D">
      <w:pPr>
        <w:spacing w:after="0" w:line="240" w:lineRule="auto"/>
        <w:ind w:firstLine="720"/>
        <w:jc w:val="both"/>
        <w:rPr>
          <w:rFonts w:ascii="Times New Roman" w:eastAsia="Batang" w:hAnsi="Times New Roman" w:cs="Times New Roman"/>
          <w:sz w:val="28"/>
          <w:szCs w:val="28"/>
        </w:rPr>
      </w:pPr>
      <w:proofErr w:type="gramStart"/>
      <w:r w:rsidRPr="005B0D7D">
        <w:rPr>
          <w:rFonts w:ascii="Times New Roman" w:eastAsia="Batang" w:hAnsi="Times New Roman" w:cs="Times New Roman"/>
          <w:sz w:val="28"/>
          <w:szCs w:val="28"/>
        </w:rPr>
        <w:t>В 2013 году в культурно-досуговом центре «Октябрь» функционировало 48 клубных формирований различных направлений (вокал, хореография, творчество, клубы по интересам), в которых занимаются 947 человек (2010 год – 821 человек, 2011 год – 949 человек, 2012 год – 984 человека).</w:t>
      </w:r>
      <w:proofErr w:type="gramEnd"/>
      <w:r w:rsidRPr="005B0D7D">
        <w:rPr>
          <w:rFonts w:ascii="Times New Roman" w:eastAsia="Batang" w:hAnsi="Times New Roman" w:cs="Times New Roman"/>
          <w:sz w:val="28"/>
          <w:szCs w:val="28"/>
        </w:rPr>
        <w:t xml:space="preserve"> Наиболее популярными являются хореографический и вокальный жанры. В 2013 году на платной основе работали 8 формирований (190 участников).</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Библиотечное обслуживание в Ханты-Мансийске в 2013 году осуществляли 12 общедоступных библиотек различной ведомственной принадлежности. Уровень обеспеченности населения библиотеками составил 100% от нормативной потребности. В условиях распространения Интернета и общего снижения интереса к чтению как форме познания мира и проведения досуга жители Ханты-Мансийка сохраняют интерес к библиотекам. Об этом свидетельствует уверенный рост числа пользователей библиотек, посещаемости и книговыдач – за четырехлетний период, соответственно, в 1,4 раза; в 1,4 раза; в 1,2 раза (рис.10а). Число проводимых библиотеками мероприятий за четыре года увеличилось в 1,6 раза (рис.10б).</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lastRenderedPageBreak/>
              <w:drawing>
                <wp:inline distT="0" distB="0" distL="0" distR="0">
                  <wp:extent cx="2867025" cy="2305050"/>
                  <wp:effectExtent l="0" t="0" r="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2305050"/>
                  <wp:effectExtent l="0" t="0" r="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Рис.10а. Основные характеристики библиотечной деятельности</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Рис.10б. Число массовых мероприятий, проведенных библиотеками</w:t>
            </w:r>
          </w:p>
        </w:tc>
      </w:tr>
    </w:tbl>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91" w:name="_Toc404211526"/>
      <w:bookmarkStart w:id="92" w:name="_Toc404218160"/>
      <w:bookmarkStart w:id="93" w:name="_Toc410639464"/>
      <w:r w:rsidRPr="005B0D7D">
        <w:rPr>
          <w:rFonts w:ascii="Times New Roman" w:eastAsia="Batang" w:hAnsi="Times New Roman" w:cs="Times New Roman"/>
          <w:b/>
          <w:bCs/>
          <w:sz w:val="28"/>
          <w:szCs w:val="28"/>
          <w:lang w:eastAsia="ko-KR"/>
        </w:rPr>
        <w:t>3.2.2.6. Внутренний и въездной туризм</w:t>
      </w:r>
      <w:bookmarkEnd w:id="91"/>
      <w:bookmarkEnd w:id="92"/>
      <w:bookmarkEnd w:id="93"/>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настоящее время город Ханты-Мансийск переживает бум развития туризма – преимущественно спортивного, этнографического, делового, </w:t>
      </w:r>
      <w:proofErr w:type="spellStart"/>
      <w:r w:rsidRPr="005B0D7D">
        <w:rPr>
          <w:rFonts w:ascii="Times New Roman" w:eastAsia="Batang" w:hAnsi="Times New Roman" w:cs="Times New Roman"/>
          <w:sz w:val="28"/>
          <w:szCs w:val="28"/>
          <w:lang w:eastAsia="ko-KR"/>
        </w:rPr>
        <w:t>конгрессно</w:t>
      </w:r>
      <w:proofErr w:type="spellEnd"/>
      <w:r w:rsidRPr="005B0D7D">
        <w:rPr>
          <w:rFonts w:ascii="Times New Roman" w:eastAsia="Batang" w:hAnsi="Times New Roman" w:cs="Times New Roman"/>
          <w:sz w:val="28"/>
          <w:szCs w:val="28"/>
          <w:lang w:eastAsia="ko-KR"/>
        </w:rPr>
        <w:t xml:space="preserve">-выставочного, событийного, медицинского и экологического.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Фактором развития внутреннего и въездного туризма является имеющаяся инфраструктура. Инфраструктуру туризма составляют собственно туристические, культурные, спортивные объекты, точки общественного питания, иные предприятия сервиса. О высокой степени инфраструктурного обеспечения туризма говорит большое относительно размеров города число гостиниц, точек общественного питания и иных объектов. Количественные данные о состоянии туристической инфраструктуры представлены в таблице 3.</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Таблица 3</w:t>
      </w:r>
    </w:p>
    <w:p w:rsidR="005B0D7D" w:rsidRPr="005B0D7D" w:rsidRDefault="005B0D7D" w:rsidP="005B0D7D">
      <w:pPr>
        <w:spacing w:before="120" w:after="120" w:line="240" w:lineRule="auto"/>
        <w:ind w:firstLine="720"/>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t>Состояние туристической инфраструктуры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6662"/>
        <w:gridCol w:w="1985"/>
      </w:tblGrid>
      <w:tr w:rsidR="005B0D7D" w:rsidRPr="005B0D7D" w:rsidTr="005B0D7D">
        <w:tc>
          <w:tcPr>
            <w:tcW w:w="709" w:type="dxa"/>
            <w:vAlign w:val="center"/>
          </w:tcPr>
          <w:p w:rsidR="005B0D7D" w:rsidRPr="005B0D7D" w:rsidRDefault="005B0D7D" w:rsidP="005B0D7D">
            <w:pPr>
              <w:spacing w:after="0" w:line="240" w:lineRule="auto"/>
              <w:jc w:val="both"/>
              <w:rPr>
                <w:rFonts w:ascii="Times New Roman" w:eastAsia="Batang" w:hAnsi="Times New Roman" w:cs="Times New Roman"/>
                <w:b/>
                <w:sz w:val="24"/>
                <w:szCs w:val="24"/>
              </w:rPr>
            </w:pPr>
            <w:r w:rsidRPr="005B0D7D">
              <w:rPr>
                <w:rFonts w:ascii="Times New Roman" w:eastAsia="Batang" w:hAnsi="Times New Roman" w:cs="Times New Roman"/>
                <w:b/>
                <w:sz w:val="24"/>
                <w:szCs w:val="24"/>
              </w:rPr>
              <w:t>№</w:t>
            </w:r>
          </w:p>
          <w:p w:rsidR="005B0D7D" w:rsidRPr="005B0D7D" w:rsidRDefault="005B0D7D" w:rsidP="005B0D7D">
            <w:pPr>
              <w:spacing w:after="0" w:line="240" w:lineRule="auto"/>
              <w:jc w:val="both"/>
              <w:rPr>
                <w:rFonts w:ascii="Times New Roman" w:eastAsia="Batang" w:hAnsi="Times New Roman" w:cs="Times New Roman"/>
                <w:b/>
                <w:sz w:val="24"/>
                <w:szCs w:val="24"/>
              </w:rPr>
            </w:pPr>
            <w:proofErr w:type="gramStart"/>
            <w:r w:rsidRPr="005B0D7D">
              <w:rPr>
                <w:rFonts w:ascii="Times New Roman" w:eastAsia="Batang" w:hAnsi="Times New Roman" w:cs="Times New Roman"/>
                <w:b/>
                <w:sz w:val="24"/>
                <w:szCs w:val="24"/>
              </w:rPr>
              <w:t>п</w:t>
            </w:r>
            <w:proofErr w:type="gramEnd"/>
            <w:r w:rsidRPr="005B0D7D">
              <w:rPr>
                <w:rFonts w:ascii="Times New Roman" w:eastAsia="Batang" w:hAnsi="Times New Roman" w:cs="Times New Roman"/>
                <w:b/>
                <w:sz w:val="24"/>
                <w:szCs w:val="24"/>
              </w:rPr>
              <w:t>/п</w:t>
            </w:r>
          </w:p>
        </w:tc>
        <w:tc>
          <w:tcPr>
            <w:tcW w:w="6662" w:type="dxa"/>
            <w:vAlign w:val="center"/>
          </w:tcPr>
          <w:p w:rsidR="005B0D7D" w:rsidRPr="005B0D7D" w:rsidRDefault="005B0D7D" w:rsidP="005B0D7D">
            <w:pPr>
              <w:spacing w:after="0" w:line="240" w:lineRule="auto"/>
              <w:jc w:val="center"/>
              <w:rPr>
                <w:rFonts w:ascii="Times New Roman" w:eastAsia="Batang" w:hAnsi="Times New Roman" w:cs="Times New Roman"/>
                <w:b/>
                <w:sz w:val="24"/>
                <w:szCs w:val="24"/>
              </w:rPr>
            </w:pPr>
            <w:r w:rsidRPr="005B0D7D">
              <w:rPr>
                <w:rFonts w:ascii="Times New Roman" w:eastAsia="Batang" w:hAnsi="Times New Roman" w:cs="Times New Roman"/>
                <w:b/>
                <w:sz w:val="24"/>
                <w:szCs w:val="24"/>
              </w:rPr>
              <w:t>Сервисные услуги</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b/>
                <w:sz w:val="24"/>
                <w:szCs w:val="24"/>
              </w:rPr>
            </w:pPr>
            <w:r w:rsidRPr="005B0D7D">
              <w:rPr>
                <w:rFonts w:ascii="Times New Roman" w:eastAsia="Batang" w:hAnsi="Times New Roman" w:cs="Times New Roman"/>
                <w:b/>
                <w:sz w:val="24"/>
                <w:szCs w:val="24"/>
              </w:rPr>
              <w:t>Количество</w:t>
            </w:r>
          </w:p>
          <w:p w:rsidR="005B0D7D" w:rsidRPr="005B0D7D" w:rsidRDefault="005B0D7D" w:rsidP="005B0D7D">
            <w:pPr>
              <w:spacing w:after="0" w:line="240" w:lineRule="auto"/>
              <w:jc w:val="center"/>
              <w:rPr>
                <w:rFonts w:ascii="Times New Roman" w:eastAsia="Batang" w:hAnsi="Times New Roman" w:cs="Times New Roman"/>
                <w:b/>
                <w:sz w:val="24"/>
                <w:szCs w:val="24"/>
              </w:rPr>
            </w:pPr>
            <w:r w:rsidRPr="005B0D7D">
              <w:rPr>
                <w:rFonts w:ascii="Times New Roman" w:eastAsia="Batang" w:hAnsi="Times New Roman" w:cs="Times New Roman"/>
                <w:b/>
                <w:sz w:val="24"/>
                <w:szCs w:val="24"/>
              </w:rPr>
              <w:t>организаций</w:t>
            </w:r>
          </w:p>
        </w:tc>
      </w:tr>
      <w:tr w:rsidR="005B0D7D" w:rsidRPr="005B0D7D" w:rsidTr="005B0D7D">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1</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Гостиницы/номерной фонд</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27/2200</w:t>
            </w:r>
          </w:p>
        </w:tc>
      </w:tr>
      <w:tr w:rsidR="005B0D7D" w:rsidRPr="005B0D7D" w:rsidTr="005B0D7D">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2</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Общественное питание (кафе, рестораны, бары)</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110</w:t>
            </w:r>
          </w:p>
        </w:tc>
      </w:tr>
      <w:tr w:rsidR="005B0D7D" w:rsidRPr="005B0D7D" w:rsidTr="005B0D7D">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3</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Театры</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3</w:t>
            </w:r>
          </w:p>
        </w:tc>
      </w:tr>
      <w:tr w:rsidR="005B0D7D" w:rsidRPr="005B0D7D" w:rsidTr="005B0D7D">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4</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Музеи, включая число структурных подразделений (филиалов) музеев</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6</w:t>
            </w:r>
          </w:p>
        </w:tc>
      </w:tr>
      <w:tr w:rsidR="005B0D7D" w:rsidRPr="005B0D7D" w:rsidTr="005B0D7D">
        <w:trPr>
          <w:trHeight w:val="280"/>
        </w:trPr>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5</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Туристические компании</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27</w:t>
            </w:r>
          </w:p>
        </w:tc>
      </w:tr>
      <w:tr w:rsidR="005B0D7D" w:rsidRPr="005B0D7D" w:rsidTr="005B0D7D">
        <w:trPr>
          <w:trHeight w:val="251"/>
        </w:trPr>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6</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Спортивные объекты</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156</w:t>
            </w:r>
          </w:p>
        </w:tc>
      </w:tr>
      <w:tr w:rsidR="005B0D7D" w:rsidRPr="005B0D7D" w:rsidTr="005B0D7D">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7</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Отделения банков</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35</w:t>
            </w:r>
          </w:p>
        </w:tc>
      </w:tr>
      <w:tr w:rsidR="005B0D7D" w:rsidRPr="005B0D7D" w:rsidTr="005B0D7D">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8</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Услуги такси</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25</w:t>
            </w:r>
          </w:p>
        </w:tc>
      </w:tr>
      <w:tr w:rsidR="005B0D7D" w:rsidRPr="005B0D7D" w:rsidTr="005B0D7D">
        <w:trPr>
          <w:trHeight w:val="254"/>
        </w:trPr>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9</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Автозаправочные станции</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highlight w:val="green"/>
              </w:rPr>
            </w:pPr>
            <w:r w:rsidRPr="005B0D7D">
              <w:rPr>
                <w:rFonts w:ascii="Times New Roman" w:eastAsia="Batang" w:hAnsi="Times New Roman" w:cs="Times New Roman"/>
                <w:sz w:val="24"/>
                <w:szCs w:val="24"/>
              </w:rPr>
              <w:t>11</w:t>
            </w:r>
          </w:p>
        </w:tc>
      </w:tr>
      <w:tr w:rsidR="005B0D7D" w:rsidRPr="005B0D7D" w:rsidTr="005B0D7D">
        <w:trPr>
          <w:trHeight w:val="267"/>
        </w:trPr>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10</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из них газозаправочные станции</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highlight w:val="green"/>
              </w:rPr>
            </w:pPr>
            <w:r w:rsidRPr="005B0D7D">
              <w:rPr>
                <w:rFonts w:ascii="Times New Roman" w:eastAsia="Batang" w:hAnsi="Times New Roman" w:cs="Times New Roman"/>
                <w:sz w:val="24"/>
                <w:szCs w:val="24"/>
              </w:rPr>
              <w:t>3</w:t>
            </w:r>
          </w:p>
        </w:tc>
      </w:tr>
      <w:tr w:rsidR="005B0D7D" w:rsidRPr="005B0D7D" w:rsidTr="005B0D7D">
        <w:trPr>
          <w:trHeight w:val="207"/>
        </w:trPr>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11</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Станции технического обслуживания</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45</w:t>
            </w:r>
          </w:p>
        </w:tc>
      </w:tr>
      <w:tr w:rsidR="005B0D7D" w:rsidRPr="005B0D7D" w:rsidTr="005B0D7D">
        <w:trPr>
          <w:trHeight w:val="268"/>
        </w:trPr>
        <w:tc>
          <w:tcPr>
            <w:tcW w:w="709"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12</w:t>
            </w:r>
          </w:p>
        </w:tc>
        <w:tc>
          <w:tcPr>
            <w:tcW w:w="6662" w:type="dxa"/>
            <w:vAlign w:val="center"/>
          </w:tcPr>
          <w:p w:rsidR="005B0D7D" w:rsidRPr="005B0D7D" w:rsidRDefault="005B0D7D" w:rsidP="005B0D7D">
            <w:pPr>
              <w:spacing w:after="0" w:line="240" w:lineRule="auto"/>
              <w:jc w:val="both"/>
              <w:rPr>
                <w:rFonts w:ascii="Times New Roman" w:eastAsia="Batang" w:hAnsi="Times New Roman" w:cs="Times New Roman"/>
                <w:sz w:val="24"/>
                <w:szCs w:val="24"/>
              </w:rPr>
            </w:pPr>
            <w:r w:rsidRPr="005B0D7D">
              <w:rPr>
                <w:rFonts w:ascii="Times New Roman" w:eastAsia="Batang" w:hAnsi="Times New Roman" w:cs="Times New Roman"/>
                <w:sz w:val="24"/>
                <w:szCs w:val="24"/>
              </w:rPr>
              <w:t>Автомойки</w:t>
            </w:r>
          </w:p>
        </w:tc>
        <w:tc>
          <w:tcPr>
            <w:tcW w:w="1985" w:type="dxa"/>
            <w:vAlign w:val="center"/>
          </w:tcPr>
          <w:p w:rsidR="005B0D7D" w:rsidRPr="005B0D7D" w:rsidRDefault="005B0D7D" w:rsidP="005B0D7D">
            <w:pPr>
              <w:spacing w:after="0" w:line="240" w:lineRule="auto"/>
              <w:jc w:val="center"/>
              <w:rPr>
                <w:rFonts w:ascii="Times New Roman" w:eastAsia="Batang" w:hAnsi="Times New Roman" w:cs="Times New Roman"/>
                <w:sz w:val="24"/>
                <w:szCs w:val="24"/>
              </w:rPr>
            </w:pPr>
            <w:r w:rsidRPr="005B0D7D">
              <w:rPr>
                <w:rFonts w:ascii="Times New Roman" w:eastAsia="Batang" w:hAnsi="Times New Roman" w:cs="Times New Roman"/>
                <w:sz w:val="24"/>
                <w:szCs w:val="24"/>
              </w:rPr>
              <w:t>38</w:t>
            </w:r>
          </w:p>
        </w:tc>
      </w:tr>
    </w:tbl>
    <w:p w:rsidR="005B0D7D" w:rsidRPr="005B0D7D" w:rsidRDefault="005B0D7D" w:rsidP="005B0D7D">
      <w:pPr>
        <w:spacing w:before="120" w:after="120" w:line="240" w:lineRule="auto"/>
        <w:ind w:firstLine="720"/>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Примечание. Источник данных </w:t>
      </w:r>
      <w:proofErr w:type="spellStart"/>
      <w:r w:rsidRPr="005B0D7D">
        <w:rPr>
          <w:rFonts w:ascii="Times New Roman" w:eastAsia="Batang" w:hAnsi="Times New Roman" w:cs="Times New Roman"/>
          <w:sz w:val="20"/>
          <w:szCs w:val="20"/>
          <w:lang w:eastAsia="ko-KR"/>
        </w:rPr>
        <w:t>п.п</w:t>
      </w:r>
      <w:proofErr w:type="spellEnd"/>
      <w:r w:rsidRPr="005B0D7D">
        <w:rPr>
          <w:rFonts w:ascii="Times New Roman" w:eastAsia="Batang" w:hAnsi="Times New Roman" w:cs="Times New Roman"/>
          <w:sz w:val="20"/>
          <w:szCs w:val="20"/>
          <w:lang w:eastAsia="ko-KR"/>
        </w:rPr>
        <w:t>. 2,3,4,6,9,10 – форма федерального статистического наблюдения 1-МО «Сведения об объектах инфраструктуры муниципального образования».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Также инфраструктуру туризма составляют 27 туристических компаний и турагентств, из которых 4 </w:t>
      </w:r>
      <w:proofErr w:type="gramStart"/>
      <w:r w:rsidRPr="005B0D7D">
        <w:rPr>
          <w:rFonts w:ascii="Times New Roman" w:eastAsia="Batang" w:hAnsi="Times New Roman" w:cs="Times New Roman"/>
          <w:sz w:val="28"/>
          <w:szCs w:val="28"/>
          <w:lang w:eastAsia="ko-KR"/>
        </w:rPr>
        <w:t>ориентированы</w:t>
      </w:r>
      <w:proofErr w:type="gramEnd"/>
      <w:r w:rsidRPr="005B0D7D">
        <w:rPr>
          <w:rFonts w:ascii="Times New Roman" w:eastAsia="Batang" w:hAnsi="Times New Roman" w:cs="Times New Roman"/>
          <w:sz w:val="28"/>
          <w:szCs w:val="28"/>
          <w:lang w:eastAsia="ko-KR"/>
        </w:rPr>
        <w:t xml:space="preserve"> на внутренний и въездной туризм. Среднегодовая численность работников организаций сферы туризма в 2013 году составила 2 047 человек.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на территории города действовало 30 туров и туристических программ. В мероприятия культурно-познавательного туризма вовлечено 1 400 участников.</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результате проводимых мероприятий по развитию туризма наблюдается ежегодный рост числа туристов, посещающих Ханты-Мансийск, который за трехлетний период составил 25,3% (рис.11).</w:t>
      </w:r>
    </w:p>
    <w:p w:rsidR="005B0D7D" w:rsidRPr="005B0D7D" w:rsidRDefault="005B0D7D" w:rsidP="005B0D7D">
      <w:pPr>
        <w:autoSpaceDE w:val="0"/>
        <w:autoSpaceDN w:val="0"/>
        <w:adjustRightInd w:val="0"/>
        <w:spacing w:after="0" w:line="240" w:lineRule="auto"/>
        <w:ind w:firstLine="720"/>
        <w:jc w:val="center"/>
        <w:rPr>
          <w:rFonts w:ascii="Times New Roman" w:eastAsia="Batang" w:hAnsi="Times New Roman" w:cs="Times New Roman"/>
          <w:bCs/>
          <w:sz w:val="28"/>
          <w:szCs w:val="28"/>
          <w:lang w:eastAsia="ru-RU"/>
        </w:rPr>
      </w:pPr>
      <w:r>
        <w:rPr>
          <w:rFonts w:ascii="Times New Roman" w:eastAsia="Batang" w:hAnsi="Times New Roman" w:cs="Times New Roman"/>
          <w:noProof/>
          <w:sz w:val="28"/>
          <w:szCs w:val="28"/>
          <w:lang w:eastAsia="ru-RU"/>
        </w:rPr>
        <w:drawing>
          <wp:inline distT="0" distB="0" distL="0" distR="0">
            <wp:extent cx="3219450" cy="1619250"/>
            <wp:effectExtent l="0" t="0" r="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B0D7D" w:rsidRPr="005B0D7D" w:rsidRDefault="005B0D7D" w:rsidP="005B0D7D">
      <w:pPr>
        <w:autoSpaceDE w:val="0"/>
        <w:autoSpaceDN w:val="0"/>
        <w:adjustRightInd w:val="0"/>
        <w:spacing w:before="120" w:after="0" w:line="240" w:lineRule="auto"/>
        <w:ind w:firstLine="720"/>
        <w:jc w:val="center"/>
        <w:rPr>
          <w:rFonts w:ascii="Times New Roman" w:eastAsia="Batang" w:hAnsi="Times New Roman" w:cs="Times New Roman"/>
          <w:b/>
          <w:bCs/>
          <w:sz w:val="24"/>
          <w:szCs w:val="24"/>
          <w:lang w:eastAsia="ru-RU"/>
        </w:rPr>
      </w:pPr>
      <w:r w:rsidRPr="005B0D7D">
        <w:rPr>
          <w:rFonts w:ascii="Times New Roman" w:eastAsia="Batang" w:hAnsi="Times New Roman" w:cs="Times New Roman"/>
          <w:b/>
          <w:bCs/>
          <w:sz w:val="24"/>
          <w:szCs w:val="24"/>
          <w:lang w:eastAsia="ru-RU"/>
        </w:rPr>
        <w:t>Рис.11. Число туристов, посетивших город Ханты-Мансийск, тыс. чел.</w:t>
      </w:r>
    </w:p>
    <w:p w:rsidR="005B0D7D" w:rsidRPr="005B0D7D" w:rsidRDefault="005B0D7D" w:rsidP="005B0D7D">
      <w:pPr>
        <w:autoSpaceDE w:val="0"/>
        <w:autoSpaceDN w:val="0"/>
        <w:adjustRightInd w:val="0"/>
        <w:spacing w:after="120" w:line="240" w:lineRule="auto"/>
        <w:ind w:firstLine="720"/>
        <w:jc w:val="center"/>
        <w:rPr>
          <w:rFonts w:ascii="Times New Roman" w:eastAsia="Batang" w:hAnsi="Times New Roman" w:cs="Times New Roman"/>
          <w:bCs/>
          <w:sz w:val="24"/>
          <w:szCs w:val="24"/>
          <w:lang w:eastAsia="ru-RU"/>
        </w:rPr>
      </w:pPr>
      <w:r w:rsidRPr="005B0D7D">
        <w:rPr>
          <w:rFonts w:ascii="Times New Roman" w:eastAsia="Batang" w:hAnsi="Times New Roman" w:cs="Times New Roman"/>
          <w:bCs/>
          <w:sz w:val="24"/>
          <w:szCs w:val="24"/>
          <w:lang w:eastAsia="ru-RU"/>
        </w:rPr>
        <w:t>(за 2011-2012 годы – приблизительные данные)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Иностранных туристов прибывает порядка 2,5 тыс. ежегодно. В 2014 году наблюдается небольшое снижение туристического потока (за 9 месяцев – 71,7 тыс.) по причине отсутствия крупных спортивных мероприятий и привлечения внимания любителей спорта к Зимним Олимпийским играм в Сочи.</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94" w:name="_Toc410639465"/>
      <w:bookmarkStart w:id="95" w:name="_Toc392143764"/>
      <w:bookmarkStart w:id="96" w:name="_Toc392622944"/>
      <w:bookmarkStart w:id="97" w:name="_Toc395506387"/>
      <w:bookmarkStart w:id="98" w:name="_Toc404211527"/>
      <w:bookmarkStart w:id="99" w:name="_Toc404218161"/>
      <w:bookmarkStart w:id="100" w:name="_Toc392143766"/>
      <w:bookmarkStart w:id="101" w:name="_Toc392622945"/>
      <w:bookmarkStart w:id="102" w:name="_Toc395506388"/>
      <w:bookmarkStart w:id="103" w:name="_Toc404211528"/>
      <w:bookmarkStart w:id="104" w:name="_Toc404218162"/>
      <w:r w:rsidRPr="005B0D7D">
        <w:rPr>
          <w:rFonts w:ascii="Times New Roman" w:eastAsia="Batang" w:hAnsi="Times New Roman" w:cs="Times New Roman"/>
          <w:b/>
          <w:bCs/>
          <w:sz w:val="28"/>
          <w:szCs w:val="28"/>
          <w:lang w:eastAsia="ko-KR"/>
        </w:rPr>
        <w:t>3.2.2.7. Физическая культура и спорт</w:t>
      </w:r>
      <w:bookmarkEnd w:id="94"/>
      <w:r w:rsidRPr="005B0D7D">
        <w:rPr>
          <w:rFonts w:ascii="Times New Roman" w:eastAsia="Batang" w:hAnsi="Times New Roman" w:cs="Times New Roman"/>
          <w:b/>
          <w:bCs/>
          <w:sz w:val="28"/>
          <w:szCs w:val="28"/>
          <w:lang w:eastAsia="ko-KR"/>
        </w:rPr>
        <w:t xml:space="preserve"> </w:t>
      </w:r>
      <w:bookmarkEnd w:id="95"/>
      <w:bookmarkEnd w:id="96"/>
      <w:bookmarkEnd w:id="97"/>
      <w:bookmarkEnd w:id="98"/>
      <w:bookmarkEnd w:id="9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в городе Ханты-Мансийске функционировало 156 спортивных сооружений: 57 спортивных залов, 8 плавательных бассейнов, 43 плоскостных спортивных объекта, 48 спортивных сооружений иных видов (манежи, крытые объекты с искусственным льдом, тиры, лыжные базы, турниковый комплекс и т.д.), в том числе 95 муниципальных спортивных объектов.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городе работают 8 спортивных учреждений, из них два муниципальных: спортивный комплекс и спортивная школа. Количество занимающихся в муниципальных спортивных учреждениях в 2013 году составило 2 272 человека (в 2011 году – 2 138 человек, в 2012 году – 2 256 человек). В учреждениях физической культуры и спорта всех форм собственности развиваются 58 видов спорта, в муниципальных учреждениях – 25 видов спорта.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 четырехлетний период число спортивных мероприятий выросло на 10%. Так, в 2010 году проводилось 237 мероприятий, в 2011 году – 242 мероприятия, в 2012 году – 257 мероприятий, в 2013 году – 261 мероприятие.</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Всего регулярно занимающихся физкультурно-оздоровительной деятельностью в 2013 году насчитывается 31 556 человек, за четыре года данный показатель увеличился в 1,3 раза (рис.12а). При этом удельный вес </w:t>
      </w:r>
      <w:proofErr w:type="gramStart"/>
      <w:r w:rsidRPr="005B0D7D">
        <w:rPr>
          <w:rFonts w:ascii="Times New Roman" w:eastAsia="Batang" w:hAnsi="Times New Roman" w:cs="Times New Roman"/>
          <w:sz w:val="28"/>
          <w:szCs w:val="28"/>
          <w:lang w:eastAsia="ko-KR"/>
        </w:rPr>
        <w:t>занимающихся</w:t>
      </w:r>
      <w:proofErr w:type="gramEnd"/>
      <w:r w:rsidRPr="005B0D7D">
        <w:rPr>
          <w:rFonts w:ascii="Times New Roman" w:eastAsia="Batang" w:hAnsi="Times New Roman" w:cs="Times New Roman"/>
          <w:sz w:val="28"/>
          <w:szCs w:val="28"/>
          <w:lang w:eastAsia="ko-KR"/>
        </w:rPr>
        <w:t xml:space="preserve"> физической культурой и спортом растет менее высокими темпами, достигнув </w:t>
      </w:r>
      <w:r w:rsidRPr="005B0D7D">
        <w:rPr>
          <w:rFonts w:ascii="Times New Roman" w:eastAsia="Batang" w:hAnsi="Times New Roman" w:cs="Times New Roman"/>
          <w:sz w:val="28"/>
          <w:szCs w:val="28"/>
          <w:lang w:eastAsia="ko-KR"/>
        </w:rPr>
        <w:lastRenderedPageBreak/>
        <w:t>уровня 32,9% (рис.12б). Доля регулярно занимающихся спортом заметно больше в подгруппе детей и молодежи 11-30 лет – 68,1%.</w:t>
      </w:r>
    </w:p>
    <w:tbl>
      <w:tblPr>
        <w:tblW w:w="0" w:type="auto"/>
        <w:tblLook w:val="00A0" w:firstRow="1" w:lastRow="0" w:firstColumn="1" w:lastColumn="0" w:noHBand="0" w:noVBand="0"/>
      </w:tblPr>
      <w:tblGrid>
        <w:gridCol w:w="5068"/>
        <w:gridCol w:w="5069"/>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3086100" cy="2019300"/>
                  <wp:effectExtent l="0" t="0" r="0" b="0"/>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3086100" cy="2019300"/>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Рис.12а. Численность регулярно занимающихся физкультурно-оздоровительной деятельностью, чел.</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 xml:space="preserve">Рис.12б. Удельный вес регулярно </w:t>
            </w:r>
            <w:proofErr w:type="gramStart"/>
            <w:r w:rsidRPr="005B0D7D">
              <w:rPr>
                <w:rFonts w:ascii="Times New Roman" w:eastAsia="Batang" w:hAnsi="Times New Roman" w:cs="Times New Roman"/>
                <w:b/>
                <w:sz w:val="24"/>
                <w:szCs w:val="24"/>
                <w:lang w:eastAsia="ko-KR"/>
              </w:rPr>
              <w:t>занимающихся</w:t>
            </w:r>
            <w:proofErr w:type="gramEnd"/>
            <w:r w:rsidRPr="005B0D7D">
              <w:rPr>
                <w:rFonts w:ascii="Times New Roman" w:eastAsia="Batang" w:hAnsi="Times New Roman" w:cs="Times New Roman"/>
                <w:b/>
                <w:sz w:val="24"/>
                <w:szCs w:val="24"/>
                <w:lang w:eastAsia="ko-KR"/>
              </w:rPr>
              <w:t xml:space="preserve"> физкультурно-оздоровительной деятельностью, %</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 итогам спортивных соревнований ханты-мансийским спортсменам в 2013 году присвоено 1426 разрядов и званий, в том числе 8 спортсменов получили звание «Мастер спорта» (в 2011 году – 1062 разряда и звания, 4 – «Мастер спорта»; в 2012 году – 1414 разрядов и званий, 3 – «Мастер спорта»).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Значимым моментом в развитии спорта в городе Ханты-Мансийске является вовлечение в данную деятельность лиц с ограниченными возможностями. В 2013 и 2012 годах физической культурой и спортом занимались 1,4% инвалидов (в 2011 году – 1,3%).</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05" w:name="_Toc410639466"/>
      <w:r w:rsidRPr="005B0D7D">
        <w:rPr>
          <w:rFonts w:ascii="Times New Roman" w:eastAsia="Batang" w:hAnsi="Times New Roman" w:cs="Times New Roman"/>
          <w:b/>
          <w:bCs/>
          <w:sz w:val="28"/>
          <w:szCs w:val="28"/>
          <w:lang w:eastAsia="ko-KR"/>
        </w:rPr>
        <w:t>3.2.2.8. Молодежная политик</w:t>
      </w:r>
      <w:bookmarkEnd w:id="100"/>
      <w:bookmarkEnd w:id="101"/>
      <w:bookmarkEnd w:id="102"/>
      <w:bookmarkEnd w:id="103"/>
      <w:bookmarkEnd w:id="104"/>
      <w:r w:rsidRPr="005B0D7D">
        <w:rPr>
          <w:rFonts w:ascii="Times New Roman" w:eastAsia="Batang" w:hAnsi="Times New Roman" w:cs="Times New Roman"/>
          <w:b/>
          <w:bCs/>
          <w:sz w:val="28"/>
          <w:szCs w:val="28"/>
          <w:lang w:eastAsia="ko-KR"/>
        </w:rPr>
        <w:t>а</w:t>
      </w:r>
      <w:bookmarkEnd w:id="105"/>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городе Ханты-Мансийске проживает 28 277 молодых людей от 14 до 29 лет включительно, или 31,2% от общей численности населения города.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Деятельность в сфере молодежной политики направлена на активизацию социального потенциала молодежи и предполагает повышение гражданской активности, содействие занятости и временному трудоустройству, поддержку талантливой молодежи, стимулирование молодежной инициативы, формирование патриотизма, вовлечение молодых людей в волонтерскую деятельность, а также профилактику асоциального поведения.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 последние четыре года число молодых людей, трудоустроенных на временные рабочие места, увеличилось в 1,4 раза (рис.13а). Подростки получили возможность совместить работу с учебой в течение практически всего календарного года.</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в 2013 году проведено и реализовано более 60 мероприятий и проектов в области молодежной политики, участниками которых стали 8 617 человек (за аналогичный период 2012 года – 53 мероприятия). За четыре года число участников молодежных мероприятий возросло на треть (рис.13б).</w:t>
      </w:r>
    </w:p>
    <w:tbl>
      <w:tblPr>
        <w:tblW w:w="0" w:type="auto"/>
        <w:tblLook w:val="00A0" w:firstRow="1" w:lastRow="0" w:firstColumn="1" w:lastColumn="0" w:noHBand="0" w:noVBand="0"/>
      </w:tblPr>
      <w:tblGrid>
        <w:gridCol w:w="4785"/>
        <w:gridCol w:w="4851"/>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lastRenderedPageBreak/>
              <w:drawing>
                <wp:inline distT="0" distB="0" distL="0" distR="0">
                  <wp:extent cx="2838450" cy="1971675"/>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943225" cy="1971675"/>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Рис.13а. Численность молодых людей, трудоустроенных на временные рабочие места</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Рис.13б. Число участников молодежных мероприятий</w:t>
            </w:r>
          </w:p>
        </w:tc>
      </w:tr>
    </w:tbl>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06" w:name="_Toc392143758"/>
      <w:bookmarkStart w:id="107" w:name="_Toc392622937"/>
      <w:bookmarkStart w:id="108" w:name="_Toc395506380"/>
      <w:bookmarkStart w:id="109" w:name="_Toc404211523"/>
      <w:bookmarkStart w:id="110" w:name="_Toc404218157"/>
      <w:bookmarkStart w:id="111" w:name="_Toc410639467"/>
      <w:r w:rsidRPr="005B0D7D">
        <w:rPr>
          <w:rFonts w:ascii="Times New Roman" w:eastAsia="Batang" w:hAnsi="Times New Roman" w:cs="Times New Roman"/>
          <w:b/>
          <w:bCs/>
          <w:sz w:val="28"/>
          <w:szCs w:val="28"/>
          <w:lang w:eastAsia="ko-KR"/>
        </w:rPr>
        <w:t>3.2.2.9. Социальная защита</w:t>
      </w:r>
      <w:bookmarkEnd w:id="106"/>
      <w:r w:rsidRPr="005B0D7D">
        <w:rPr>
          <w:rFonts w:ascii="Times New Roman" w:eastAsia="Batang" w:hAnsi="Times New Roman" w:cs="Times New Roman"/>
          <w:b/>
          <w:bCs/>
          <w:sz w:val="28"/>
          <w:szCs w:val="28"/>
          <w:lang w:eastAsia="ko-KR"/>
        </w:rPr>
        <w:t xml:space="preserve"> населения</w:t>
      </w:r>
      <w:bookmarkEnd w:id="107"/>
      <w:bookmarkEnd w:id="108"/>
      <w:bookmarkEnd w:id="109"/>
      <w:bookmarkEnd w:id="110"/>
      <w:bookmarkEnd w:id="111"/>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 территории Ханты-Мансийска проживают 31 участник Великой Отечественной войны, 358 тружеников тыла, 13 жителей блокадного Ленинграда, 6 бывших несовершеннолетних узников концлагерей, 2140 инвалидов 1,2 и 3 групп, 4528 ветеранов труда, 2594 ветеранов труда Ханты-Мансийского автономного округа, 594 реабилитированных лиц.</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Сформирован реестр долгожителей города (лиц старше 90 лет), в который включено 46 женщин и 9 мужчин.</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городе поощряется общественная инициатива по решению проблем социально-уязвимых слоев населения. По состоянию </w:t>
      </w:r>
      <w:proofErr w:type="gramStart"/>
      <w:r w:rsidRPr="005B0D7D">
        <w:rPr>
          <w:rFonts w:ascii="Times New Roman" w:eastAsia="Batang" w:hAnsi="Times New Roman" w:cs="Times New Roman"/>
          <w:sz w:val="28"/>
          <w:szCs w:val="28"/>
          <w:lang w:eastAsia="ko-KR"/>
        </w:rPr>
        <w:t>на конец</w:t>
      </w:r>
      <w:proofErr w:type="gramEnd"/>
      <w:r w:rsidRPr="005B0D7D">
        <w:rPr>
          <w:rFonts w:ascii="Times New Roman" w:eastAsia="Batang" w:hAnsi="Times New Roman" w:cs="Times New Roman"/>
          <w:sz w:val="28"/>
          <w:szCs w:val="28"/>
          <w:lang w:eastAsia="ko-KR"/>
        </w:rPr>
        <w:t xml:space="preserve"> 2013 года зарегистрировано 12 социально ориентированных некоммерческих организаций, из них финансовая поддержка предоставлена 9 организациям.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последние три года уменьшается число семей, находящихся в социально-опасном положении (в 2011 году – 51, в 2012 году – 41, в 2013 году – 37 семей). При этом растет доля семей, снятых с учета в связи с улучшением ситуации (в 2011 году – 53%, в 2012 году – 68%, в 2013 году – 70%).</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Число детей, оставшихся без попечения родителей, в городе увеличивается за счет прибытия их из других городов и районов. При этом уменьшается число воспитанников детского дома за счет их устройства в замещающие семьи (в 2010 году – 65 человек, в 2011 году – 73 человека, в 2012 году – 54 человека, в 2013 году – 52 человека).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Сохранятся число семей, желающих принять ребенка на воспитание. В 2013 году насчитывалось 74 таких семьи (2010 год – 73 семьи, 2011 год – 67 семей, 2012 год – 70 семей). В 2013 году принято в замещающие семьи 50 детей (в 2010 году – 78 детей, в 2011 году – 49 детей, в 2012 году – 52 ребенка).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Замещающим семьям, воспитывающим 4-х и более детей, предоставляются жилые помещения на условиях договора найма сроком на 5 лет. В перспективе планируется расширить практику строительства индивидуальных жилых домов для замещающих семей.</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112" w:name="_Toc410639468"/>
      <w:r w:rsidRPr="005B0D7D">
        <w:rPr>
          <w:rFonts w:ascii="Times New Roman" w:eastAsia="Batang" w:hAnsi="Times New Roman" w:cs="Times New Roman"/>
          <w:b/>
          <w:bCs/>
          <w:sz w:val="28"/>
          <w:szCs w:val="28"/>
          <w:lang w:eastAsia="ko-KR"/>
        </w:rPr>
        <w:lastRenderedPageBreak/>
        <w:t>3.2.3. Бюджетная система города</w:t>
      </w:r>
      <w:bookmarkEnd w:id="112"/>
      <w:r w:rsidRPr="005B0D7D">
        <w:rPr>
          <w:rFonts w:ascii="Times New Roman" w:eastAsia="Batang" w:hAnsi="Times New Roman" w:cs="Times New Roman"/>
          <w:b/>
          <w:bCs/>
          <w:sz w:val="28"/>
          <w:szCs w:val="28"/>
          <w:lang w:eastAsia="ko-KR"/>
        </w:rPr>
        <w:t xml:space="preserve">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За 2013 год в консолидированный бюджет Российской Федерации налогоплательщиками, осуществляющими деятельность на территории города Ханты-Мансийска, перечислено 148 957,1 млн. рублей налогов, сборов и иных обязательных платежей.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Наибольшая доля поступлений, более 90%, приходится на федеральный бюджет, остальные поступления распределяются между бюджетами Тюменской области, Ханты-Мансийского автономного округа – Югры и местным бюджетом (таблица 4). Пропорция распределения платежей по уровням бюджетной системы в период  2012-2013 годов свидетельствует о централизации доходов бюджетной системы.</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Таблица 4</w:t>
      </w:r>
    </w:p>
    <w:p w:rsidR="005B0D7D" w:rsidRPr="005B0D7D" w:rsidRDefault="005B0D7D" w:rsidP="005B0D7D">
      <w:pPr>
        <w:spacing w:before="120" w:after="120" w:line="240" w:lineRule="auto"/>
        <w:ind w:firstLine="720"/>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t>Структура поступлений в бюджеты разных уровней от предприятий и организаций города Ханты-Мансийска</w:t>
      </w:r>
    </w:p>
    <w:tbl>
      <w:tblPr>
        <w:tblW w:w="9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3272"/>
        <w:gridCol w:w="1842"/>
        <w:gridCol w:w="3625"/>
      </w:tblGrid>
      <w:tr w:rsidR="005B0D7D" w:rsidRPr="005B0D7D" w:rsidTr="005B0D7D">
        <w:tc>
          <w:tcPr>
            <w:tcW w:w="556"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w:t>
            </w:r>
          </w:p>
        </w:tc>
        <w:tc>
          <w:tcPr>
            <w:tcW w:w="3272"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tc>
        <w:tc>
          <w:tcPr>
            <w:tcW w:w="1842"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2013 год, млн. руб.</w:t>
            </w:r>
          </w:p>
        </w:tc>
        <w:tc>
          <w:tcPr>
            <w:tcW w:w="36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 % от всех поступлений в консолидированный бюджет</w:t>
            </w:r>
          </w:p>
        </w:tc>
      </w:tr>
      <w:tr w:rsidR="005B0D7D" w:rsidRPr="005B0D7D" w:rsidTr="005B0D7D">
        <w:tc>
          <w:tcPr>
            <w:tcW w:w="556" w:type="dxa"/>
          </w:tcPr>
          <w:p w:rsidR="005B0D7D" w:rsidRPr="005B0D7D" w:rsidRDefault="005B0D7D" w:rsidP="005B0D7D">
            <w:pPr>
              <w:numPr>
                <w:ilvl w:val="0"/>
                <w:numId w:val="8"/>
              </w:numPr>
              <w:spacing w:after="0" w:line="240" w:lineRule="auto"/>
              <w:jc w:val="both"/>
              <w:rPr>
                <w:rFonts w:ascii="Times New Roman" w:eastAsia="Batang" w:hAnsi="Times New Roman" w:cs="Times New Roman"/>
                <w:sz w:val="24"/>
                <w:szCs w:val="24"/>
                <w:lang w:eastAsia="ko-KR"/>
              </w:rPr>
            </w:pPr>
          </w:p>
        </w:tc>
        <w:tc>
          <w:tcPr>
            <w:tcW w:w="3272"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Федеральный бюджет</w:t>
            </w:r>
          </w:p>
        </w:tc>
        <w:tc>
          <w:tcPr>
            <w:tcW w:w="1842"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138 508,1</w:t>
            </w:r>
          </w:p>
        </w:tc>
        <w:tc>
          <w:tcPr>
            <w:tcW w:w="36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93,0</w:t>
            </w:r>
          </w:p>
        </w:tc>
      </w:tr>
      <w:tr w:rsidR="005B0D7D" w:rsidRPr="005B0D7D" w:rsidTr="005B0D7D">
        <w:tc>
          <w:tcPr>
            <w:tcW w:w="556" w:type="dxa"/>
          </w:tcPr>
          <w:p w:rsidR="005B0D7D" w:rsidRPr="005B0D7D" w:rsidRDefault="005B0D7D" w:rsidP="005B0D7D">
            <w:pPr>
              <w:numPr>
                <w:ilvl w:val="0"/>
                <w:numId w:val="8"/>
              </w:numPr>
              <w:spacing w:after="0" w:line="240" w:lineRule="auto"/>
              <w:jc w:val="both"/>
              <w:rPr>
                <w:rFonts w:ascii="Times New Roman" w:eastAsia="Batang" w:hAnsi="Times New Roman" w:cs="Times New Roman"/>
                <w:sz w:val="24"/>
                <w:szCs w:val="24"/>
                <w:lang w:eastAsia="ko-KR"/>
              </w:rPr>
            </w:pPr>
          </w:p>
        </w:tc>
        <w:tc>
          <w:tcPr>
            <w:tcW w:w="3272"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Бюджет Тюменской области</w:t>
            </w:r>
          </w:p>
        </w:tc>
        <w:tc>
          <w:tcPr>
            <w:tcW w:w="1842"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780,3</w:t>
            </w:r>
          </w:p>
        </w:tc>
        <w:tc>
          <w:tcPr>
            <w:tcW w:w="36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0,5</w:t>
            </w:r>
          </w:p>
        </w:tc>
      </w:tr>
      <w:tr w:rsidR="005B0D7D" w:rsidRPr="005B0D7D" w:rsidTr="005B0D7D">
        <w:tc>
          <w:tcPr>
            <w:tcW w:w="556" w:type="dxa"/>
          </w:tcPr>
          <w:p w:rsidR="005B0D7D" w:rsidRPr="005B0D7D" w:rsidRDefault="005B0D7D" w:rsidP="005B0D7D">
            <w:pPr>
              <w:numPr>
                <w:ilvl w:val="0"/>
                <w:numId w:val="8"/>
              </w:numPr>
              <w:spacing w:after="0" w:line="240" w:lineRule="auto"/>
              <w:jc w:val="both"/>
              <w:rPr>
                <w:rFonts w:ascii="Times New Roman" w:eastAsia="Batang" w:hAnsi="Times New Roman" w:cs="Times New Roman"/>
                <w:sz w:val="24"/>
                <w:szCs w:val="24"/>
                <w:lang w:eastAsia="ko-KR"/>
              </w:rPr>
            </w:pPr>
          </w:p>
        </w:tc>
        <w:tc>
          <w:tcPr>
            <w:tcW w:w="3272"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Окружной бюджет</w:t>
            </w:r>
          </w:p>
        </w:tc>
        <w:tc>
          <w:tcPr>
            <w:tcW w:w="1842"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6 357,9</w:t>
            </w:r>
          </w:p>
        </w:tc>
        <w:tc>
          <w:tcPr>
            <w:tcW w:w="36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4,3</w:t>
            </w:r>
          </w:p>
        </w:tc>
      </w:tr>
      <w:tr w:rsidR="005B0D7D" w:rsidRPr="005B0D7D" w:rsidTr="005B0D7D">
        <w:tc>
          <w:tcPr>
            <w:tcW w:w="556" w:type="dxa"/>
          </w:tcPr>
          <w:p w:rsidR="005B0D7D" w:rsidRPr="005B0D7D" w:rsidRDefault="005B0D7D" w:rsidP="005B0D7D">
            <w:pPr>
              <w:numPr>
                <w:ilvl w:val="0"/>
                <w:numId w:val="8"/>
              </w:numPr>
              <w:spacing w:after="0" w:line="240" w:lineRule="auto"/>
              <w:jc w:val="both"/>
              <w:rPr>
                <w:rFonts w:ascii="Times New Roman" w:eastAsia="Batang" w:hAnsi="Times New Roman" w:cs="Times New Roman"/>
                <w:sz w:val="24"/>
                <w:szCs w:val="24"/>
                <w:lang w:eastAsia="ko-KR"/>
              </w:rPr>
            </w:pPr>
          </w:p>
        </w:tc>
        <w:tc>
          <w:tcPr>
            <w:tcW w:w="3272"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Городской бюджет</w:t>
            </w:r>
          </w:p>
        </w:tc>
        <w:tc>
          <w:tcPr>
            <w:tcW w:w="1842"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3 310,8</w:t>
            </w:r>
          </w:p>
        </w:tc>
        <w:tc>
          <w:tcPr>
            <w:tcW w:w="36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2,2</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Times New Roman" w:hAnsi="Times New Roman" w:cs="Times New Roman"/>
          <w:sz w:val="28"/>
          <w:szCs w:val="28"/>
          <w:lang w:eastAsia="ko-KR"/>
        </w:rPr>
        <w:t xml:space="preserve">Местный бюджет города Ханты-Мансийска имеет сравнительно высокую долю собственных доходов. </w:t>
      </w:r>
      <w:r w:rsidRPr="005B0D7D">
        <w:rPr>
          <w:rFonts w:ascii="Times New Roman" w:eastAsia="Batang" w:hAnsi="Times New Roman" w:cs="Times New Roman"/>
          <w:sz w:val="28"/>
          <w:szCs w:val="28"/>
          <w:lang w:eastAsia="ru-RU"/>
        </w:rPr>
        <w:t xml:space="preserve">За последние три года рост поступлений в местный бюджет от всех доходных источников составил 20%. </w:t>
      </w:r>
    </w:p>
    <w:p w:rsidR="005B0D7D" w:rsidRPr="005B0D7D" w:rsidRDefault="005B0D7D" w:rsidP="005B0D7D">
      <w:pPr>
        <w:spacing w:after="60" w:line="240" w:lineRule="auto"/>
        <w:ind w:firstLine="709"/>
        <w:contextualSpacing/>
        <w:jc w:val="both"/>
        <w:rPr>
          <w:rFonts w:ascii="Times New Roman" w:eastAsia="Times New Roman" w:hAnsi="Times New Roman" w:cs="Times New Roman"/>
          <w:sz w:val="28"/>
          <w:szCs w:val="28"/>
        </w:rPr>
      </w:pPr>
      <w:r w:rsidRPr="005B0D7D">
        <w:rPr>
          <w:rFonts w:ascii="Times New Roman" w:eastAsia="Times New Roman" w:hAnsi="Times New Roman" w:cs="Times New Roman"/>
          <w:sz w:val="28"/>
          <w:szCs w:val="28"/>
          <w:lang w:eastAsia="ru-RU"/>
        </w:rPr>
        <w:t>Объем собственных доходов, увеличиваясь из года в год, в 2013 году составил 3 595,30 млн. руб. (рис.14а). При этом доля налоговых и неналоговых доходов местного бюджета остается примерно на одном и том же уровне (рис.14б).</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1600200"/>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67025" cy="160020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Рис.14а. Объем собственных доходов местного бюджета, млн. руб.</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Рис.14б. Доля налоговых и неналоговых доходов местного бюджета, %</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структуре собственных налоговых и неналоговых доходов ведущую роль играет налог на доходы физических лиц, составляя почти три четверти (74,5%) от их объема. В последние годы наблюдался рост поступлений всех основных видов налоговых и неналоговых доходов, за исключением поступлений от налога на имущество (таблица 5).</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Таблица 5</w:t>
      </w:r>
    </w:p>
    <w:p w:rsidR="005B0D7D" w:rsidRPr="005B0D7D" w:rsidRDefault="005B0D7D" w:rsidP="005B0D7D">
      <w:pPr>
        <w:spacing w:before="120" w:after="120" w:line="240" w:lineRule="auto"/>
        <w:ind w:firstLine="720"/>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lastRenderedPageBreak/>
        <w:t>Структура собственных налоговых и неналоговых доходов бюджета города Ханты-Мансийска, тыс. руб.</w:t>
      </w:r>
    </w:p>
    <w:tbl>
      <w:tblPr>
        <w:tblW w:w="94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969"/>
        <w:gridCol w:w="1545"/>
        <w:gridCol w:w="1669"/>
        <w:gridCol w:w="1669"/>
      </w:tblGrid>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w:t>
            </w:r>
          </w:p>
        </w:tc>
        <w:tc>
          <w:tcPr>
            <w:tcW w:w="396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tc>
        <w:tc>
          <w:tcPr>
            <w:tcW w:w="154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2011</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2012</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2013</w:t>
            </w:r>
          </w:p>
        </w:tc>
      </w:tr>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w:t>
            </w:r>
          </w:p>
        </w:tc>
        <w:tc>
          <w:tcPr>
            <w:tcW w:w="396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Налог на доходы физических лиц</w:t>
            </w:r>
          </w:p>
        </w:tc>
        <w:tc>
          <w:tcPr>
            <w:tcW w:w="154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1 957 135,7</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2 330 114,1</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2 678 589,9</w:t>
            </w:r>
          </w:p>
        </w:tc>
      </w:tr>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w:t>
            </w:r>
          </w:p>
        </w:tc>
        <w:tc>
          <w:tcPr>
            <w:tcW w:w="396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Налог на совокупный доход</w:t>
            </w:r>
          </w:p>
        </w:tc>
        <w:tc>
          <w:tcPr>
            <w:tcW w:w="154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266 110,0</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327 443,6</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350 357,9</w:t>
            </w:r>
          </w:p>
        </w:tc>
      </w:tr>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3.</w:t>
            </w:r>
          </w:p>
        </w:tc>
        <w:tc>
          <w:tcPr>
            <w:tcW w:w="396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Налог на имущество</w:t>
            </w:r>
          </w:p>
        </w:tc>
        <w:tc>
          <w:tcPr>
            <w:tcW w:w="154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258 487,0</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283 471,7</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263 346,8</w:t>
            </w:r>
          </w:p>
        </w:tc>
      </w:tr>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4.</w:t>
            </w:r>
          </w:p>
        </w:tc>
        <w:tc>
          <w:tcPr>
            <w:tcW w:w="396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Государственная пошлина</w:t>
            </w:r>
          </w:p>
        </w:tc>
        <w:tc>
          <w:tcPr>
            <w:tcW w:w="154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51 205,6</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19 622,5</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22 188,3</w:t>
            </w:r>
          </w:p>
        </w:tc>
      </w:tr>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5.</w:t>
            </w:r>
          </w:p>
        </w:tc>
        <w:tc>
          <w:tcPr>
            <w:tcW w:w="396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Неналоговые доходы</w:t>
            </w:r>
          </w:p>
        </w:tc>
        <w:tc>
          <w:tcPr>
            <w:tcW w:w="154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194 655,9</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245 824,4</w:t>
            </w:r>
          </w:p>
        </w:tc>
        <w:tc>
          <w:tcPr>
            <w:tcW w:w="1669"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280 652,7</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Увеличение поступлений по налогу на доходы физических лиц обусловлено ростом заработной платы, который в 2013 году составил в среднем около 9%. Причиной роста поступлений по налогу на совокупный доход является динамичное развитие малого и среднего предпринимательства.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Безвозмездные поступления в бюджет города от бюджетов других уровней в 2013 году составили 3 366 711,4 тыс. руб. (в 2012 году – 3 279 249,4 тыс. руб.).</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ru-RU"/>
        </w:rPr>
        <w:t>Расходы городского бюджета в 2013 году составили 7 010,4 млн. руб., что на 2,7% превышает расходы бюджета за 2012 год. Пропорции бюджетных расходов на различные сферы жизнедеятельности определяются объемами полномочий по решению вопросов местного значения. В структуре расходов наибольший удельный вес приходится на образование (36,5%), жилищно-коммунальное хозяйство (26,9%), национальную экономику (13,6%).</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Дефицит бюджета в 2013 году составил 48,4 млн. рублей, что в 7 раз меньше уровня 2012 года (343,2 млн. рублей).</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113" w:name="_Toc410639469"/>
      <w:r w:rsidRPr="005B0D7D">
        <w:rPr>
          <w:rFonts w:ascii="Times New Roman" w:eastAsia="Batang" w:hAnsi="Times New Roman" w:cs="Times New Roman"/>
          <w:b/>
          <w:bCs/>
          <w:sz w:val="28"/>
          <w:szCs w:val="28"/>
          <w:lang w:eastAsia="ko-KR"/>
        </w:rPr>
        <w:t>3.2.4. Структура муниципальной собственности</w:t>
      </w:r>
      <w:bookmarkEnd w:id="113"/>
    </w:p>
    <w:p w:rsidR="005B0D7D" w:rsidRPr="005B0D7D" w:rsidRDefault="005B0D7D" w:rsidP="005B0D7D">
      <w:pPr>
        <w:widowControl w:val="0"/>
        <w:spacing w:after="0" w:line="240" w:lineRule="auto"/>
        <w:ind w:right="-144"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Стоимость муниципального имущества собственности города Ханты-Мансийска за трехлетний период увеличилась на 116,9 % и на 31 декабря 2013 года составила 62 631 млн. руб., что в 9 раз превосходит размер годового бюджета. Структура муниципального имущества включает в себя здания, строения, помещения; сооружения и объекты инженерной инфраструктуры; жилые дома, квартиры и помещения; объекты незавершенного строительства; транспортные средства; земельные участки; акции; другое имущество муниципальной казны. Сведения о количественном составе муниципального имущества и его балансовой стоимости представлены в таблице 6.</w:t>
      </w:r>
    </w:p>
    <w:p w:rsidR="005B0D7D" w:rsidRPr="005B0D7D" w:rsidRDefault="005B0D7D" w:rsidP="005B0D7D">
      <w:pPr>
        <w:spacing w:after="0" w:line="240" w:lineRule="auto"/>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br w:type="page"/>
      </w:r>
    </w:p>
    <w:p w:rsidR="005B0D7D" w:rsidRPr="005B0D7D" w:rsidRDefault="005B0D7D" w:rsidP="005B0D7D">
      <w:pPr>
        <w:widowControl w:val="0"/>
        <w:spacing w:after="0" w:line="240" w:lineRule="auto"/>
        <w:ind w:right="-144" w:firstLine="708"/>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Таблица 6</w:t>
      </w:r>
    </w:p>
    <w:p w:rsidR="005B0D7D" w:rsidRPr="005B0D7D" w:rsidRDefault="005B0D7D" w:rsidP="005B0D7D">
      <w:pPr>
        <w:widowControl w:val="0"/>
        <w:spacing w:before="120" w:after="120" w:line="240" w:lineRule="auto"/>
        <w:ind w:right="-142" w:firstLine="709"/>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t>Количественный состав и балансовая стоимость муниципального имущества</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134"/>
        <w:gridCol w:w="1134"/>
        <w:gridCol w:w="1134"/>
        <w:gridCol w:w="1134"/>
        <w:gridCol w:w="1134"/>
        <w:gridCol w:w="1134"/>
      </w:tblGrid>
      <w:tr w:rsidR="005B0D7D" w:rsidRPr="005B0D7D" w:rsidTr="005B0D7D">
        <w:tc>
          <w:tcPr>
            <w:tcW w:w="2410" w:type="dxa"/>
            <w:vMerge w:val="restart"/>
          </w:tcPr>
          <w:p w:rsidR="005B0D7D" w:rsidRPr="005B0D7D" w:rsidRDefault="005B0D7D" w:rsidP="005B0D7D">
            <w:pPr>
              <w:spacing w:after="0" w:line="240" w:lineRule="auto"/>
              <w:rPr>
                <w:rFonts w:ascii="Times New Roman" w:eastAsia="Times New Roman" w:hAnsi="Times New Roman" w:cs="Times New Roman"/>
                <w:b/>
                <w:bCs/>
                <w:sz w:val="20"/>
                <w:szCs w:val="20"/>
                <w:lang w:eastAsia="ru-RU"/>
              </w:rPr>
            </w:pPr>
            <w:r w:rsidRPr="005B0D7D">
              <w:rPr>
                <w:rFonts w:ascii="Times New Roman" w:eastAsia="Times New Roman" w:hAnsi="Times New Roman" w:cs="Times New Roman"/>
                <w:b/>
                <w:bCs/>
                <w:sz w:val="20"/>
                <w:szCs w:val="20"/>
                <w:lang w:eastAsia="ru-RU"/>
              </w:rPr>
              <w:t>Вид имущества</w:t>
            </w:r>
          </w:p>
        </w:tc>
        <w:tc>
          <w:tcPr>
            <w:tcW w:w="3402" w:type="dxa"/>
            <w:gridSpan w:val="3"/>
          </w:tcPr>
          <w:p w:rsidR="005B0D7D" w:rsidRPr="005B0D7D" w:rsidRDefault="005B0D7D" w:rsidP="005B0D7D">
            <w:pPr>
              <w:spacing w:after="0" w:line="240" w:lineRule="auto"/>
              <w:jc w:val="center"/>
              <w:rPr>
                <w:rFonts w:ascii="Times New Roman" w:eastAsia="Times New Roman" w:hAnsi="Times New Roman" w:cs="Times New Roman"/>
                <w:b/>
                <w:bCs/>
                <w:sz w:val="20"/>
                <w:szCs w:val="20"/>
                <w:lang w:eastAsia="ru-RU"/>
              </w:rPr>
            </w:pPr>
            <w:r w:rsidRPr="005B0D7D">
              <w:rPr>
                <w:rFonts w:ascii="Times New Roman" w:eastAsia="Times New Roman" w:hAnsi="Times New Roman" w:cs="Times New Roman"/>
                <w:b/>
                <w:bCs/>
                <w:sz w:val="20"/>
                <w:szCs w:val="20"/>
                <w:lang w:eastAsia="ru-RU"/>
              </w:rPr>
              <w:t>Количество</w:t>
            </w:r>
          </w:p>
        </w:tc>
        <w:tc>
          <w:tcPr>
            <w:tcW w:w="3402" w:type="dxa"/>
            <w:gridSpan w:val="3"/>
          </w:tcPr>
          <w:p w:rsidR="005B0D7D" w:rsidRPr="005B0D7D" w:rsidRDefault="005B0D7D" w:rsidP="005B0D7D">
            <w:pPr>
              <w:spacing w:after="0" w:line="240" w:lineRule="auto"/>
              <w:rPr>
                <w:rFonts w:ascii="Times New Roman" w:eastAsia="Times New Roman" w:hAnsi="Times New Roman" w:cs="Times New Roman"/>
                <w:b/>
                <w:bCs/>
                <w:sz w:val="20"/>
                <w:szCs w:val="20"/>
                <w:lang w:eastAsia="ru-RU"/>
              </w:rPr>
            </w:pPr>
            <w:r w:rsidRPr="005B0D7D">
              <w:rPr>
                <w:rFonts w:ascii="Times New Roman" w:eastAsia="Times New Roman" w:hAnsi="Times New Roman" w:cs="Times New Roman"/>
                <w:b/>
                <w:bCs/>
                <w:sz w:val="20"/>
                <w:szCs w:val="20"/>
                <w:lang w:eastAsia="ru-RU"/>
              </w:rPr>
              <w:t>Балансовая стоимость, млн. руб.</w:t>
            </w:r>
          </w:p>
        </w:tc>
      </w:tr>
      <w:tr w:rsidR="005B0D7D" w:rsidRPr="005B0D7D" w:rsidTr="005B0D7D">
        <w:tc>
          <w:tcPr>
            <w:tcW w:w="2410" w:type="dxa"/>
            <w:vMerge/>
          </w:tcPr>
          <w:p w:rsidR="005B0D7D" w:rsidRPr="005B0D7D" w:rsidRDefault="005B0D7D" w:rsidP="005B0D7D">
            <w:pPr>
              <w:spacing w:after="0" w:line="240" w:lineRule="auto"/>
              <w:rPr>
                <w:rFonts w:ascii="Times New Roman" w:eastAsia="Times New Roman" w:hAnsi="Times New Roman" w:cs="Times New Roman"/>
                <w:b/>
                <w:bCs/>
                <w:sz w:val="20"/>
                <w:szCs w:val="20"/>
                <w:lang w:eastAsia="ru-RU"/>
              </w:rPr>
            </w:pPr>
          </w:p>
        </w:tc>
        <w:tc>
          <w:tcPr>
            <w:tcW w:w="1134" w:type="dxa"/>
          </w:tcPr>
          <w:p w:rsidR="005B0D7D" w:rsidRPr="005B0D7D" w:rsidRDefault="005B0D7D" w:rsidP="005B0D7D">
            <w:pPr>
              <w:spacing w:after="0" w:line="240" w:lineRule="auto"/>
              <w:rPr>
                <w:rFonts w:ascii="Times New Roman" w:eastAsia="Times New Roman" w:hAnsi="Times New Roman" w:cs="Times New Roman"/>
                <w:b/>
                <w:bCs/>
                <w:sz w:val="20"/>
                <w:szCs w:val="20"/>
                <w:lang w:eastAsia="ru-RU"/>
              </w:rPr>
            </w:pPr>
            <w:r w:rsidRPr="005B0D7D">
              <w:rPr>
                <w:rFonts w:ascii="Times New Roman" w:eastAsia="Times New Roman" w:hAnsi="Times New Roman" w:cs="Times New Roman"/>
                <w:b/>
                <w:bCs/>
                <w:sz w:val="20"/>
                <w:szCs w:val="20"/>
                <w:lang w:eastAsia="ru-RU"/>
              </w:rPr>
              <w:t>01.01.2012</w:t>
            </w:r>
          </w:p>
        </w:tc>
        <w:tc>
          <w:tcPr>
            <w:tcW w:w="1134" w:type="dxa"/>
          </w:tcPr>
          <w:p w:rsidR="005B0D7D" w:rsidRPr="005B0D7D" w:rsidRDefault="005B0D7D" w:rsidP="005B0D7D">
            <w:pPr>
              <w:spacing w:after="0" w:line="240" w:lineRule="auto"/>
              <w:rPr>
                <w:rFonts w:ascii="Times New Roman" w:eastAsia="Times New Roman" w:hAnsi="Times New Roman" w:cs="Times New Roman"/>
                <w:b/>
                <w:bCs/>
                <w:sz w:val="20"/>
                <w:szCs w:val="20"/>
                <w:lang w:eastAsia="ru-RU"/>
              </w:rPr>
            </w:pPr>
            <w:r w:rsidRPr="005B0D7D">
              <w:rPr>
                <w:rFonts w:ascii="Times New Roman" w:eastAsia="Times New Roman" w:hAnsi="Times New Roman" w:cs="Times New Roman"/>
                <w:b/>
                <w:bCs/>
                <w:sz w:val="20"/>
                <w:szCs w:val="20"/>
                <w:lang w:eastAsia="ru-RU"/>
              </w:rPr>
              <w:t>01.01.2013</w:t>
            </w:r>
          </w:p>
        </w:tc>
        <w:tc>
          <w:tcPr>
            <w:tcW w:w="1134" w:type="dxa"/>
          </w:tcPr>
          <w:p w:rsidR="005B0D7D" w:rsidRPr="005B0D7D" w:rsidRDefault="005B0D7D" w:rsidP="005B0D7D">
            <w:pPr>
              <w:spacing w:after="0" w:line="240" w:lineRule="auto"/>
              <w:rPr>
                <w:rFonts w:ascii="Times New Roman" w:eastAsia="Times New Roman" w:hAnsi="Times New Roman" w:cs="Times New Roman"/>
                <w:b/>
                <w:bCs/>
                <w:sz w:val="20"/>
                <w:szCs w:val="20"/>
                <w:lang w:eastAsia="ru-RU"/>
              </w:rPr>
            </w:pPr>
            <w:r w:rsidRPr="005B0D7D">
              <w:rPr>
                <w:rFonts w:ascii="Times New Roman" w:eastAsia="Times New Roman" w:hAnsi="Times New Roman" w:cs="Times New Roman"/>
                <w:b/>
                <w:bCs/>
                <w:sz w:val="20"/>
                <w:szCs w:val="20"/>
                <w:lang w:eastAsia="ru-RU"/>
              </w:rPr>
              <w:t>01.01.2014</w:t>
            </w:r>
          </w:p>
        </w:tc>
        <w:tc>
          <w:tcPr>
            <w:tcW w:w="1134" w:type="dxa"/>
          </w:tcPr>
          <w:p w:rsidR="005B0D7D" w:rsidRPr="005B0D7D" w:rsidRDefault="005B0D7D" w:rsidP="005B0D7D">
            <w:pPr>
              <w:spacing w:after="0" w:line="240" w:lineRule="auto"/>
              <w:rPr>
                <w:rFonts w:ascii="Times New Roman" w:eastAsia="Times New Roman" w:hAnsi="Times New Roman" w:cs="Times New Roman"/>
                <w:b/>
                <w:bCs/>
                <w:sz w:val="20"/>
                <w:szCs w:val="20"/>
                <w:lang w:eastAsia="ru-RU"/>
              </w:rPr>
            </w:pPr>
            <w:r w:rsidRPr="005B0D7D">
              <w:rPr>
                <w:rFonts w:ascii="Times New Roman" w:eastAsia="Times New Roman" w:hAnsi="Times New Roman" w:cs="Times New Roman"/>
                <w:b/>
                <w:bCs/>
                <w:sz w:val="20"/>
                <w:szCs w:val="20"/>
                <w:lang w:eastAsia="ru-RU"/>
              </w:rPr>
              <w:t>01.01.2012</w:t>
            </w:r>
          </w:p>
        </w:tc>
        <w:tc>
          <w:tcPr>
            <w:tcW w:w="1134" w:type="dxa"/>
          </w:tcPr>
          <w:p w:rsidR="005B0D7D" w:rsidRPr="005B0D7D" w:rsidRDefault="005B0D7D" w:rsidP="005B0D7D">
            <w:pPr>
              <w:spacing w:after="0" w:line="240" w:lineRule="auto"/>
              <w:rPr>
                <w:rFonts w:ascii="Times New Roman" w:eastAsia="Times New Roman" w:hAnsi="Times New Roman" w:cs="Times New Roman"/>
                <w:b/>
                <w:bCs/>
                <w:sz w:val="20"/>
                <w:szCs w:val="20"/>
                <w:lang w:eastAsia="ru-RU"/>
              </w:rPr>
            </w:pPr>
            <w:r w:rsidRPr="005B0D7D">
              <w:rPr>
                <w:rFonts w:ascii="Times New Roman" w:eastAsia="Times New Roman" w:hAnsi="Times New Roman" w:cs="Times New Roman"/>
                <w:b/>
                <w:bCs/>
                <w:sz w:val="20"/>
                <w:szCs w:val="20"/>
                <w:lang w:eastAsia="ru-RU"/>
              </w:rPr>
              <w:t>01.01.2013</w:t>
            </w:r>
          </w:p>
        </w:tc>
        <w:tc>
          <w:tcPr>
            <w:tcW w:w="1134" w:type="dxa"/>
          </w:tcPr>
          <w:p w:rsidR="005B0D7D" w:rsidRPr="005B0D7D" w:rsidRDefault="005B0D7D" w:rsidP="005B0D7D">
            <w:pPr>
              <w:spacing w:after="0" w:line="240" w:lineRule="auto"/>
              <w:rPr>
                <w:rFonts w:ascii="Times New Roman" w:eastAsia="Times New Roman" w:hAnsi="Times New Roman" w:cs="Times New Roman"/>
                <w:b/>
                <w:bCs/>
                <w:sz w:val="20"/>
                <w:szCs w:val="20"/>
                <w:lang w:eastAsia="ru-RU"/>
              </w:rPr>
            </w:pPr>
            <w:r w:rsidRPr="005B0D7D">
              <w:rPr>
                <w:rFonts w:ascii="Times New Roman" w:eastAsia="Times New Roman" w:hAnsi="Times New Roman" w:cs="Times New Roman"/>
                <w:b/>
                <w:bCs/>
                <w:sz w:val="20"/>
                <w:szCs w:val="20"/>
                <w:lang w:eastAsia="ru-RU"/>
              </w:rPr>
              <w:t>01.01.2014</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Предприятия и организации </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76</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Здания, строения и нежилые помещения  </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515</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574</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560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7 567,0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8 587</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7 486</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сооружения и объекты инженерной инфраструктуры</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4 123</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3716</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3770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16 520,0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18 311</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19 966</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жилые дома, жилые помещения</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3851</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3406</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3408</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2270,0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2 284</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2 776</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земельные участки</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289</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375</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396</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23 274,0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24 357</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26 728</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Транспорт</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644</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655</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597</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424,0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514</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557</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пакеты, акции, доли  (паи) </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12</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12</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11</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345,0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384</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292</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объекты незавершенные строительством</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11</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15</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16</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41,0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76</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1087</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прочее имущество казны</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4 269</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5171</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4033</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    175,0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270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268</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прочее имущество (учитывается </w:t>
            </w:r>
            <w:proofErr w:type="spellStart"/>
            <w:r w:rsidRPr="005B0D7D">
              <w:rPr>
                <w:rFonts w:ascii="Times New Roman" w:eastAsia="Times New Roman" w:hAnsi="Times New Roman" w:cs="Times New Roman"/>
                <w:sz w:val="20"/>
                <w:szCs w:val="20"/>
                <w:lang w:eastAsia="ru-RU"/>
              </w:rPr>
              <w:t>справочно</w:t>
            </w:r>
            <w:proofErr w:type="spellEnd"/>
            <w:r w:rsidRPr="005B0D7D">
              <w:rPr>
                <w:rFonts w:ascii="Times New Roman" w:eastAsia="Times New Roman" w:hAnsi="Times New Roman" w:cs="Times New Roman"/>
                <w:sz w:val="20"/>
                <w:szCs w:val="20"/>
                <w:lang w:eastAsia="ru-RU"/>
              </w:rPr>
              <w:t>)</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323 287</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367333</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412448</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2951,0</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3 077</w:t>
            </w:r>
          </w:p>
        </w:tc>
        <w:tc>
          <w:tcPr>
            <w:tcW w:w="1134"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3 471</w:t>
            </w:r>
          </w:p>
        </w:tc>
      </w:tr>
      <w:tr w:rsidR="005B0D7D" w:rsidRPr="005B0D7D" w:rsidTr="005B0D7D">
        <w:tc>
          <w:tcPr>
            <w:tcW w:w="2410" w:type="dxa"/>
          </w:tcPr>
          <w:p w:rsidR="005B0D7D" w:rsidRPr="005B0D7D" w:rsidRDefault="005B0D7D" w:rsidP="005B0D7D">
            <w:pPr>
              <w:spacing w:after="0" w:line="240" w:lineRule="auto"/>
              <w:rPr>
                <w:rFonts w:ascii="Times New Roman" w:eastAsia="Times New Roman" w:hAnsi="Times New Roman" w:cs="Times New Roman"/>
                <w:i/>
                <w:sz w:val="20"/>
                <w:szCs w:val="20"/>
                <w:lang w:eastAsia="ru-RU"/>
              </w:rPr>
            </w:pPr>
            <w:r w:rsidRPr="005B0D7D">
              <w:rPr>
                <w:rFonts w:ascii="Times New Roman" w:eastAsia="Times New Roman" w:hAnsi="Times New Roman" w:cs="Times New Roman"/>
                <w:i/>
                <w:sz w:val="20"/>
                <w:szCs w:val="20"/>
                <w:lang w:eastAsia="ru-RU"/>
              </w:rPr>
              <w:t>Всего</w:t>
            </w:r>
          </w:p>
        </w:tc>
        <w:tc>
          <w:tcPr>
            <w:tcW w:w="1134" w:type="dxa"/>
          </w:tcPr>
          <w:p w:rsidR="005B0D7D" w:rsidRPr="005B0D7D" w:rsidRDefault="005B0D7D" w:rsidP="005B0D7D">
            <w:pPr>
              <w:spacing w:after="0" w:line="240" w:lineRule="auto"/>
              <w:rPr>
                <w:rFonts w:ascii="Times New Roman" w:eastAsia="Times New Roman" w:hAnsi="Times New Roman" w:cs="Times New Roman"/>
                <w:i/>
                <w:sz w:val="20"/>
                <w:szCs w:val="20"/>
                <w:lang w:eastAsia="ru-RU"/>
              </w:rPr>
            </w:pPr>
            <w:r w:rsidRPr="005B0D7D">
              <w:rPr>
                <w:rFonts w:ascii="Times New Roman" w:eastAsia="Times New Roman" w:hAnsi="Times New Roman" w:cs="Times New Roman"/>
                <w:i/>
                <w:sz w:val="20"/>
                <w:szCs w:val="20"/>
                <w:lang w:eastAsia="ru-RU"/>
              </w:rPr>
              <w:t>337 001</w:t>
            </w:r>
          </w:p>
        </w:tc>
        <w:tc>
          <w:tcPr>
            <w:tcW w:w="1134" w:type="dxa"/>
          </w:tcPr>
          <w:p w:rsidR="005B0D7D" w:rsidRPr="005B0D7D" w:rsidRDefault="005B0D7D" w:rsidP="005B0D7D">
            <w:pPr>
              <w:spacing w:after="0" w:line="240" w:lineRule="auto"/>
              <w:rPr>
                <w:rFonts w:ascii="Times New Roman" w:eastAsia="Times New Roman" w:hAnsi="Times New Roman" w:cs="Times New Roman"/>
                <w:i/>
                <w:sz w:val="20"/>
                <w:szCs w:val="20"/>
                <w:lang w:eastAsia="ru-RU"/>
              </w:rPr>
            </w:pPr>
            <w:r w:rsidRPr="005B0D7D">
              <w:rPr>
                <w:rFonts w:ascii="Times New Roman" w:eastAsia="Times New Roman" w:hAnsi="Times New Roman" w:cs="Times New Roman"/>
                <w:i/>
                <w:sz w:val="20"/>
                <w:szCs w:val="20"/>
                <w:lang w:eastAsia="ru-RU"/>
              </w:rPr>
              <w:t>381257</w:t>
            </w:r>
          </w:p>
        </w:tc>
        <w:tc>
          <w:tcPr>
            <w:tcW w:w="1134" w:type="dxa"/>
          </w:tcPr>
          <w:p w:rsidR="005B0D7D" w:rsidRPr="005B0D7D" w:rsidRDefault="005B0D7D" w:rsidP="005B0D7D">
            <w:pPr>
              <w:spacing w:after="0" w:line="240" w:lineRule="auto"/>
              <w:rPr>
                <w:rFonts w:ascii="Times New Roman" w:eastAsia="Times New Roman" w:hAnsi="Times New Roman" w:cs="Times New Roman"/>
                <w:i/>
                <w:sz w:val="20"/>
                <w:szCs w:val="20"/>
                <w:lang w:eastAsia="ru-RU"/>
              </w:rPr>
            </w:pPr>
            <w:r w:rsidRPr="005B0D7D">
              <w:rPr>
                <w:rFonts w:ascii="Times New Roman" w:eastAsia="Times New Roman" w:hAnsi="Times New Roman" w:cs="Times New Roman"/>
                <w:i/>
                <w:sz w:val="20"/>
                <w:szCs w:val="20"/>
                <w:lang w:eastAsia="ru-RU"/>
              </w:rPr>
              <w:t>425 239</w:t>
            </w:r>
          </w:p>
        </w:tc>
        <w:tc>
          <w:tcPr>
            <w:tcW w:w="1134" w:type="dxa"/>
          </w:tcPr>
          <w:p w:rsidR="005B0D7D" w:rsidRPr="005B0D7D" w:rsidRDefault="005B0D7D" w:rsidP="005B0D7D">
            <w:pPr>
              <w:spacing w:after="0" w:line="240" w:lineRule="auto"/>
              <w:rPr>
                <w:rFonts w:ascii="Times New Roman" w:eastAsia="Times New Roman" w:hAnsi="Times New Roman" w:cs="Times New Roman"/>
                <w:i/>
                <w:sz w:val="20"/>
                <w:szCs w:val="20"/>
                <w:lang w:eastAsia="ru-RU"/>
              </w:rPr>
            </w:pPr>
            <w:r w:rsidRPr="005B0D7D">
              <w:rPr>
                <w:rFonts w:ascii="Times New Roman" w:eastAsia="Times New Roman" w:hAnsi="Times New Roman" w:cs="Times New Roman"/>
                <w:i/>
                <w:sz w:val="20"/>
                <w:szCs w:val="20"/>
                <w:lang w:eastAsia="ru-RU"/>
              </w:rPr>
              <w:t>53 567,0</w:t>
            </w:r>
          </w:p>
        </w:tc>
        <w:tc>
          <w:tcPr>
            <w:tcW w:w="1134" w:type="dxa"/>
          </w:tcPr>
          <w:p w:rsidR="005B0D7D" w:rsidRPr="005B0D7D" w:rsidRDefault="005B0D7D" w:rsidP="005B0D7D">
            <w:pPr>
              <w:spacing w:after="0" w:line="240" w:lineRule="auto"/>
              <w:rPr>
                <w:rFonts w:ascii="Times New Roman" w:eastAsia="Times New Roman" w:hAnsi="Times New Roman" w:cs="Times New Roman"/>
                <w:i/>
                <w:sz w:val="20"/>
                <w:szCs w:val="20"/>
                <w:lang w:eastAsia="ru-RU"/>
              </w:rPr>
            </w:pPr>
            <w:r w:rsidRPr="005B0D7D">
              <w:rPr>
                <w:rFonts w:ascii="Times New Roman" w:eastAsia="Times New Roman" w:hAnsi="Times New Roman" w:cs="Times New Roman"/>
                <w:i/>
                <w:sz w:val="20"/>
                <w:szCs w:val="20"/>
                <w:lang w:eastAsia="ru-RU"/>
              </w:rPr>
              <w:t>57 860</w:t>
            </w:r>
          </w:p>
        </w:tc>
        <w:tc>
          <w:tcPr>
            <w:tcW w:w="1134" w:type="dxa"/>
          </w:tcPr>
          <w:p w:rsidR="005B0D7D" w:rsidRPr="005B0D7D" w:rsidRDefault="005B0D7D" w:rsidP="005B0D7D">
            <w:pPr>
              <w:spacing w:after="0" w:line="240" w:lineRule="auto"/>
              <w:rPr>
                <w:rFonts w:ascii="Times New Roman" w:eastAsia="Times New Roman" w:hAnsi="Times New Roman" w:cs="Times New Roman"/>
                <w:i/>
                <w:sz w:val="20"/>
                <w:szCs w:val="20"/>
                <w:lang w:eastAsia="ru-RU"/>
              </w:rPr>
            </w:pPr>
            <w:r w:rsidRPr="005B0D7D">
              <w:rPr>
                <w:rFonts w:ascii="Times New Roman" w:eastAsia="Times New Roman" w:hAnsi="Times New Roman" w:cs="Times New Roman"/>
                <w:i/>
                <w:sz w:val="20"/>
                <w:szCs w:val="20"/>
                <w:lang w:eastAsia="ru-RU"/>
              </w:rPr>
              <w:t>62 631</w:t>
            </w:r>
          </w:p>
        </w:tc>
      </w:tr>
    </w:tbl>
    <w:p w:rsidR="005B0D7D" w:rsidRPr="005B0D7D" w:rsidRDefault="005B0D7D" w:rsidP="005B0D7D">
      <w:pPr>
        <w:widowControl w:val="0"/>
        <w:spacing w:before="120" w:after="0" w:line="240" w:lineRule="auto"/>
        <w:ind w:right="-142"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Увеличение количества имущества происходит за счет нежилых зданий, жилых квартир, объектов инженерной инфраструктуры и земельных участков. </w:t>
      </w:r>
    </w:p>
    <w:p w:rsidR="005B0D7D" w:rsidRPr="005B0D7D" w:rsidRDefault="005B0D7D" w:rsidP="005B0D7D">
      <w:pPr>
        <w:widowControl w:val="0"/>
        <w:spacing w:after="0" w:line="240" w:lineRule="auto"/>
        <w:ind w:right="-1"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Основными источниками пополнения фонда муниципального имущества выступают передача имущества из государственной собственности Ханты-Мансийского автономного округа – Югры, а также ввод в эксплуатацию объектов, построенных за счет бюджетных средств. Кроме того, проводится работа по выявлению и постановке на учет бесхозяйные объекты. </w:t>
      </w:r>
    </w:p>
    <w:p w:rsidR="005B0D7D" w:rsidRPr="005B0D7D" w:rsidRDefault="005B0D7D" w:rsidP="005B0D7D">
      <w:pPr>
        <w:widowControl w:val="0"/>
        <w:spacing w:after="0" w:line="240" w:lineRule="auto"/>
        <w:ind w:right="-1"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хозяйственном ведении муниципальных предприятий находится 16,5% от стоимости всего имущества, в оперативном управлении муниципальных учреждений – 12,7 %, а в муниципальной казне – 70,7 %. </w:t>
      </w:r>
    </w:p>
    <w:p w:rsidR="005B0D7D" w:rsidRPr="005B0D7D" w:rsidRDefault="005B0D7D" w:rsidP="005B0D7D">
      <w:pPr>
        <w:spacing w:after="0" w:line="240" w:lineRule="auto"/>
        <w:ind w:right="-1"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Источниками доходов от использования муниципального имущества являются арендная плата, дивиденды по акциям, отчисления от прибыли муниципальных предприятий (таблица 7). За четырехлетний период доходы от использования имущества выросли в 1,9 раза и в 2013 году составили 228,9 млн. рублей.</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Таблица 7</w:t>
      </w:r>
    </w:p>
    <w:p w:rsidR="005B0D7D" w:rsidRPr="005B0D7D" w:rsidRDefault="005B0D7D" w:rsidP="005B0D7D">
      <w:pPr>
        <w:spacing w:after="0" w:line="240" w:lineRule="auto"/>
        <w:ind w:firstLine="709"/>
        <w:jc w:val="center"/>
        <w:rPr>
          <w:rFonts w:ascii="Times New Roman" w:eastAsia="Batang" w:hAnsi="Times New Roman" w:cs="Times New Roman"/>
          <w:b/>
          <w:bCs/>
          <w:sz w:val="24"/>
          <w:szCs w:val="24"/>
          <w:lang w:eastAsia="ko-KR"/>
        </w:rPr>
      </w:pPr>
      <w:r w:rsidRPr="005B0D7D">
        <w:rPr>
          <w:rFonts w:ascii="Times New Roman" w:eastAsia="Batang" w:hAnsi="Times New Roman" w:cs="Times New Roman"/>
          <w:b/>
          <w:bCs/>
          <w:sz w:val="24"/>
          <w:szCs w:val="24"/>
          <w:lang w:eastAsia="ko-KR"/>
        </w:rPr>
        <w:t>Динамика доходов от использования муниципальной собственности города Ханты-Мансийска, тыс. руб.</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040"/>
        <w:gridCol w:w="1134"/>
        <w:gridCol w:w="1134"/>
        <w:gridCol w:w="1134"/>
        <w:gridCol w:w="1134"/>
      </w:tblGrid>
      <w:tr w:rsidR="005B0D7D" w:rsidRPr="005B0D7D" w:rsidTr="005B0D7D">
        <w:trPr>
          <w:cantSplit/>
          <w:trHeight w:val="20"/>
        </w:trPr>
        <w:tc>
          <w:tcPr>
            <w:tcW w:w="5040" w:type="dxa"/>
            <w:vAlign w:val="center"/>
          </w:tcPr>
          <w:p w:rsidR="005B0D7D" w:rsidRPr="005B0D7D" w:rsidRDefault="005B0D7D" w:rsidP="005B0D7D">
            <w:pPr>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Вид дохода</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2010</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2011</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2012</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2013</w:t>
            </w:r>
          </w:p>
        </w:tc>
      </w:tr>
      <w:tr w:rsidR="005B0D7D" w:rsidRPr="005B0D7D" w:rsidTr="005B0D7D">
        <w:trPr>
          <w:cantSplit/>
          <w:trHeight w:val="20"/>
        </w:trPr>
        <w:tc>
          <w:tcPr>
            <w:tcW w:w="5040" w:type="dxa"/>
          </w:tcPr>
          <w:p w:rsidR="005B0D7D" w:rsidRPr="005B0D7D" w:rsidRDefault="005B0D7D" w:rsidP="005B0D7D">
            <w:pPr>
              <w:widowControl w:val="0"/>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Доходы от использования муниципального имущества, всего</w:t>
            </w:r>
          </w:p>
        </w:tc>
        <w:tc>
          <w:tcPr>
            <w:tcW w:w="1134" w:type="dxa"/>
          </w:tcPr>
          <w:p w:rsidR="005B0D7D" w:rsidRPr="005B0D7D" w:rsidRDefault="005B0D7D" w:rsidP="005B0D7D">
            <w:pPr>
              <w:widowControl w:val="0"/>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118090</w:t>
            </w:r>
          </w:p>
        </w:tc>
        <w:tc>
          <w:tcPr>
            <w:tcW w:w="1134" w:type="dxa"/>
          </w:tcPr>
          <w:p w:rsidR="005B0D7D" w:rsidRPr="005B0D7D" w:rsidRDefault="005B0D7D" w:rsidP="005B0D7D">
            <w:pPr>
              <w:widowControl w:val="0"/>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88917</w:t>
            </w:r>
          </w:p>
        </w:tc>
        <w:tc>
          <w:tcPr>
            <w:tcW w:w="1134" w:type="dxa"/>
          </w:tcPr>
          <w:p w:rsidR="005B0D7D" w:rsidRPr="005B0D7D" w:rsidRDefault="005B0D7D" w:rsidP="005B0D7D">
            <w:pPr>
              <w:widowControl w:val="0"/>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116938</w:t>
            </w:r>
          </w:p>
        </w:tc>
        <w:tc>
          <w:tcPr>
            <w:tcW w:w="1134" w:type="dxa"/>
          </w:tcPr>
          <w:p w:rsidR="005B0D7D" w:rsidRPr="005B0D7D" w:rsidRDefault="005B0D7D" w:rsidP="005B0D7D">
            <w:pPr>
              <w:widowControl w:val="0"/>
              <w:spacing w:after="0" w:line="240" w:lineRule="auto"/>
              <w:jc w:val="center"/>
              <w:rPr>
                <w:rFonts w:ascii="Times New Roman" w:eastAsia="Times New Roman" w:hAnsi="Times New Roman" w:cs="Times New Roman"/>
                <w:bCs/>
                <w:sz w:val="20"/>
                <w:szCs w:val="20"/>
                <w:lang w:eastAsia="ru-RU"/>
              </w:rPr>
            </w:pPr>
            <w:r w:rsidRPr="005B0D7D">
              <w:rPr>
                <w:rFonts w:ascii="Times New Roman" w:eastAsia="Times New Roman" w:hAnsi="Times New Roman" w:cs="Times New Roman"/>
                <w:bCs/>
                <w:sz w:val="20"/>
                <w:szCs w:val="20"/>
                <w:lang w:eastAsia="ru-RU"/>
              </w:rPr>
              <w:t>228930</w:t>
            </w:r>
          </w:p>
        </w:tc>
      </w:tr>
      <w:tr w:rsidR="005B0D7D" w:rsidRPr="005B0D7D" w:rsidTr="005B0D7D">
        <w:trPr>
          <w:cantSplit/>
          <w:trHeight w:val="20"/>
        </w:trPr>
        <w:tc>
          <w:tcPr>
            <w:tcW w:w="504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В том числе: Доходы от аренды земельных участков</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54931</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proofErr w:type="spellStart"/>
            <w:r w:rsidRPr="005B0D7D">
              <w:rPr>
                <w:rFonts w:ascii="Times New Roman" w:eastAsia="Times New Roman" w:hAnsi="Times New Roman" w:cs="Times New Roman"/>
                <w:sz w:val="20"/>
                <w:szCs w:val="20"/>
              </w:rPr>
              <w:t>н.д</w:t>
            </w:r>
            <w:proofErr w:type="spellEnd"/>
            <w:r w:rsidRPr="005B0D7D">
              <w:rPr>
                <w:rFonts w:ascii="Times New Roman" w:eastAsia="Times New Roman" w:hAnsi="Times New Roman" w:cs="Times New Roman"/>
                <w:sz w:val="20"/>
                <w:szCs w:val="20"/>
              </w:rPr>
              <w:t>.</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proofErr w:type="spellStart"/>
            <w:r w:rsidRPr="005B0D7D">
              <w:rPr>
                <w:rFonts w:ascii="Times New Roman" w:eastAsia="Times New Roman" w:hAnsi="Times New Roman" w:cs="Times New Roman"/>
                <w:sz w:val="20"/>
                <w:szCs w:val="20"/>
              </w:rPr>
              <w:t>н.д</w:t>
            </w:r>
            <w:proofErr w:type="spellEnd"/>
            <w:r w:rsidRPr="005B0D7D">
              <w:rPr>
                <w:rFonts w:ascii="Times New Roman" w:eastAsia="Times New Roman" w:hAnsi="Times New Roman" w:cs="Times New Roman"/>
                <w:sz w:val="20"/>
                <w:szCs w:val="20"/>
              </w:rPr>
              <w:t>.</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 xml:space="preserve">76 892 </w:t>
            </w:r>
          </w:p>
        </w:tc>
      </w:tr>
      <w:tr w:rsidR="005B0D7D" w:rsidRPr="005B0D7D" w:rsidTr="005B0D7D">
        <w:trPr>
          <w:cantSplit/>
          <w:trHeight w:val="20"/>
        </w:trPr>
        <w:tc>
          <w:tcPr>
            <w:tcW w:w="504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   Доходы от продажи земельных участков </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28339</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proofErr w:type="spellStart"/>
            <w:r w:rsidRPr="005B0D7D">
              <w:rPr>
                <w:rFonts w:ascii="Times New Roman" w:eastAsia="Times New Roman" w:hAnsi="Times New Roman" w:cs="Times New Roman"/>
                <w:sz w:val="20"/>
                <w:szCs w:val="20"/>
              </w:rPr>
              <w:t>н.д</w:t>
            </w:r>
            <w:proofErr w:type="spellEnd"/>
            <w:r w:rsidRPr="005B0D7D">
              <w:rPr>
                <w:rFonts w:ascii="Times New Roman" w:eastAsia="Times New Roman" w:hAnsi="Times New Roman" w:cs="Times New Roman"/>
                <w:sz w:val="20"/>
                <w:szCs w:val="20"/>
              </w:rPr>
              <w:t>.</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proofErr w:type="spellStart"/>
            <w:r w:rsidRPr="005B0D7D">
              <w:rPr>
                <w:rFonts w:ascii="Times New Roman" w:eastAsia="Times New Roman" w:hAnsi="Times New Roman" w:cs="Times New Roman"/>
                <w:sz w:val="20"/>
                <w:szCs w:val="20"/>
              </w:rPr>
              <w:t>н.д</w:t>
            </w:r>
            <w:proofErr w:type="spellEnd"/>
            <w:r w:rsidRPr="005B0D7D">
              <w:rPr>
                <w:rFonts w:ascii="Times New Roman" w:eastAsia="Times New Roman" w:hAnsi="Times New Roman" w:cs="Times New Roman"/>
                <w:sz w:val="20"/>
                <w:szCs w:val="20"/>
              </w:rPr>
              <w:t>.</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57 945</w:t>
            </w:r>
          </w:p>
        </w:tc>
      </w:tr>
      <w:tr w:rsidR="005B0D7D" w:rsidRPr="005B0D7D" w:rsidTr="005B0D7D">
        <w:trPr>
          <w:cantSplit/>
          <w:trHeight w:val="20"/>
        </w:trPr>
        <w:tc>
          <w:tcPr>
            <w:tcW w:w="504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   Доходы от сдачи в аренду муниципального имущества</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16749</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proofErr w:type="spellStart"/>
            <w:r w:rsidRPr="005B0D7D">
              <w:rPr>
                <w:rFonts w:ascii="Times New Roman" w:eastAsia="Times New Roman" w:hAnsi="Times New Roman" w:cs="Times New Roman"/>
                <w:sz w:val="20"/>
                <w:szCs w:val="20"/>
              </w:rPr>
              <w:t>н.д</w:t>
            </w:r>
            <w:proofErr w:type="spellEnd"/>
            <w:r w:rsidRPr="005B0D7D">
              <w:rPr>
                <w:rFonts w:ascii="Times New Roman" w:eastAsia="Times New Roman" w:hAnsi="Times New Roman" w:cs="Times New Roman"/>
                <w:sz w:val="20"/>
                <w:szCs w:val="20"/>
              </w:rPr>
              <w:t>.</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proofErr w:type="spellStart"/>
            <w:r w:rsidRPr="005B0D7D">
              <w:rPr>
                <w:rFonts w:ascii="Times New Roman" w:eastAsia="Times New Roman" w:hAnsi="Times New Roman" w:cs="Times New Roman"/>
                <w:sz w:val="20"/>
                <w:szCs w:val="20"/>
              </w:rPr>
              <w:t>н.д</w:t>
            </w:r>
            <w:proofErr w:type="spellEnd"/>
            <w:r w:rsidRPr="005B0D7D">
              <w:rPr>
                <w:rFonts w:ascii="Times New Roman" w:eastAsia="Times New Roman" w:hAnsi="Times New Roman" w:cs="Times New Roman"/>
                <w:sz w:val="20"/>
                <w:szCs w:val="20"/>
              </w:rPr>
              <w:t>.</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8 373</w:t>
            </w:r>
          </w:p>
        </w:tc>
      </w:tr>
      <w:tr w:rsidR="005B0D7D" w:rsidRPr="005B0D7D" w:rsidTr="005B0D7D">
        <w:trPr>
          <w:cantSplit/>
          <w:trHeight w:val="20"/>
        </w:trPr>
        <w:tc>
          <w:tcPr>
            <w:tcW w:w="504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   Доходы от приватизации муниципального имущества</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7258</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1173</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10434</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67 592</w:t>
            </w:r>
          </w:p>
        </w:tc>
      </w:tr>
      <w:tr w:rsidR="005B0D7D" w:rsidRPr="005B0D7D" w:rsidTr="005B0D7D">
        <w:trPr>
          <w:cantSplit/>
          <w:trHeight w:val="20"/>
        </w:trPr>
        <w:tc>
          <w:tcPr>
            <w:tcW w:w="504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   Доходы от перечисления части прибыли муниципальных предприятий</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538</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602</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1291</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1043</w:t>
            </w:r>
          </w:p>
        </w:tc>
      </w:tr>
      <w:tr w:rsidR="005B0D7D" w:rsidRPr="005B0D7D" w:rsidTr="005B0D7D">
        <w:trPr>
          <w:cantSplit/>
          <w:trHeight w:val="20"/>
        </w:trPr>
        <w:tc>
          <w:tcPr>
            <w:tcW w:w="504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   Дивиденды по акциям, принадлежащим городским округам</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228</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371</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311</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356</w:t>
            </w:r>
          </w:p>
        </w:tc>
      </w:tr>
      <w:tr w:rsidR="005B0D7D" w:rsidRPr="005B0D7D" w:rsidTr="005B0D7D">
        <w:trPr>
          <w:cantSplit/>
          <w:trHeight w:val="20"/>
        </w:trPr>
        <w:tc>
          <w:tcPr>
            <w:tcW w:w="5040" w:type="dxa"/>
          </w:tcPr>
          <w:p w:rsidR="005B0D7D" w:rsidRPr="005B0D7D" w:rsidRDefault="005B0D7D" w:rsidP="005B0D7D">
            <w:pPr>
              <w:spacing w:after="0" w:line="240" w:lineRule="auto"/>
              <w:rPr>
                <w:rFonts w:ascii="Times New Roman" w:eastAsia="Times New Roman" w:hAnsi="Times New Roman" w:cs="Times New Roman"/>
                <w:sz w:val="20"/>
                <w:szCs w:val="20"/>
                <w:lang w:eastAsia="ru-RU"/>
              </w:rPr>
            </w:pPr>
            <w:r w:rsidRPr="005B0D7D">
              <w:rPr>
                <w:rFonts w:ascii="Times New Roman" w:eastAsia="Times New Roman" w:hAnsi="Times New Roman" w:cs="Times New Roman"/>
                <w:sz w:val="20"/>
                <w:szCs w:val="20"/>
                <w:lang w:eastAsia="ru-RU"/>
              </w:rPr>
              <w:t xml:space="preserve">   Прочие доходы от имущества</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10100</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proofErr w:type="spellStart"/>
            <w:r w:rsidRPr="005B0D7D">
              <w:rPr>
                <w:rFonts w:ascii="Times New Roman" w:eastAsia="Times New Roman" w:hAnsi="Times New Roman" w:cs="Times New Roman"/>
                <w:sz w:val="20"/>
                <w:szCs w:val="20"/>
              </w:rPr>
              <w:t>н.д</w:t>
            </w:r>
            <w:proofErr w:type="spellEnd"/>
            <w:r w:rsidRPr="005B0D7D">
              <w:rPr>
                <w:rFonts w:ascii="Times New Roman" w:eastAsia="Times New Roman" w:hAnsi="Times New Roman" w:cs="Times New Roman"/>
                <w:sz w:val="20"/>
                <w:szCs w:val="20"/>
              </w:rPr>
              <w:t>.</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proofErr w:type="spellStart"/>
            <w:r w:rsidRPr="005B0D7D">
              <w:rPr>
                <w:rFonts w:ascii="Times New Roman" w:eastAsia="Times New Roman" w:hAnsi="Times New Roman" w:cs="Times New Roman"/>
                <w:sz w:val="20"/>
                <w:szCs w:val="20"/>
              </w:rPr>
              <w:t>н.д</w:t>
            </w:r>
            <w:proofErr w:type="spellEnd"/>
            <w:r w:rsidRPr="005B0D7D">
              <w:rPr>
                <w:rFonts w:ascii="Times New Roman" w:eastAsia="Times New Roman" w:hAnsi="Times New Roman" w:cs="Times New Roman"/>
                <w:sz w:val="20"/>
                <w:szCs w:val="20"/>
              </w:rPr>
              <w:t>.</w:t>
            </w:r>
          </w:p>
        </w:tc>
        <w:tc>
          <w:tcPr>
            <w:tcW w:w="1134" w:type="dxa"/>
          </w:tcPr>
          <w:p w:rsidR="005B0D7D" w:rsidRPr="005B0D7D" w:rsidRDefault="005B0D7D" w:rsidP="005B0D7D">
            <w:pPr>
              <w:spacing w:after="0" w:line="240" w:lineRule="auto"/>
              <w:jc w:val="center"/>
              <w:rPr>
                <w:rFonts w:ascii="Times New Roman" w:eastAsia="Times New Roman" w:hAnsi="Times New Roman" w:cs="Times New Roman"/>
                <w:sz w:val="20"/>
                <w:szCs w:val="20"/>
              </w:rPr>
            </w:pPr>
            <w:r w:rsidRPr="005B0D7D">
              <w:rPr>
                <w:rFonts w:ascii="Times New Roman" w:eastAsia="Times New Roman" w:hAnsi="Times New Roman" w:cs="Times New Roman"/>
                <w:sz w:val="20"/>
                <w:szCs w:val="20"/>
              </w:rPr>
              <w:t>16729</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Эффективное использование муниципального имущества позволяет обеспечивать бесперебойное функционирование коммунального комплекса города, поступление доходов в местный бюджет и развитие малого и среднего предпринимательства.</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114" w:name="_Toc410639470"/>
      <w:r w:rsidRPr="005B0D7D">
        <w:rPr>
          <w:rFonts w:ascii="Times New Roman" w:eastAsia="Batang" w:hAnsi="Times New Roman" w:cs="Times New Roman"/>
          <w:b/>
          <w:bCs/>
          <w:sz w:val="28"/>
          <w:szCs w:val="28"/>
          <w:lang w:eastAsia="ko-KR"/>
        </w:rPr>
        <w:t xml:space="preserve">3.2.5. </w:t>
      </w:r>
      <w:bookmarkEnd w:id="23"/>
      <w:r w:rsidRPr="005B0D7D">
        <w:rPr>
          <w:rFonts w:ascii="Times New Roman" w:eastAsia="Batang" w:hAnsi="Times New Roman" w:cs="Times New Roman"/>
          <w:b/>
          <w:bCs/>
          <w:sz w:val="28"/>
          <w:szCs w:val="28"/>
          <w:lang w:eastAsia="ko-KR"/>
        </w:rPr>
        <w:t>Развитие реального сектора экономики</w:t>
      </w:r>
      <w:bookmarkEnd w:id="114"/>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15" w:name="_Toc410639471"/>
      <w:r w:rsidRPr="005B0D7D">
        <w:rPr>
          <w:rFonts w:ascii="Times New Roman" w:eastAsia="Batang" w:hAnsi="Times New Roman" w:cs="Times New Roman"/>
          <w:b/>
          <w:bCs/>
          <w:sz w:val="28"/>
          <w:szCs w:val="28"/>
          <w:lang w:eastAsia="ko-KR"/>
        </w:rPr>
        <w:t>3.2.5.1. Промышленность</w:t>
      </w:r>
      <w:bookmarkEnd w:id="115"/>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Промышленное производство в городе представлено основными видами экономической деятельности: </w:t>
      </w:r>
    </w:p>
    <w:p w:rsidR="005B0D7D" w:rsidRPr="005B0D7D" w:rsidRDefault="005B0D7D" w:rsidP="005B0D7D">
      <w:pPr>
        <w:numPr>
          <w:ilvl w:val="0"/>
          <w:numId w:val="24"/>
        </w:numPr>
        <w:spacing w:after="0" w:line="240" w:lineRule="auto"/>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рыболовство, рыбоводство; </w:t>
      </w:r>
    </w:p>
    <w:p w:rsidR="005B0D7D" w:rsidRPr="005B0D7D" w:rsidRDefault="005B0D7D" w:rsidP="005B0D7D">
      <w:pPr>
        <w:numPr>
          <w:ilvl w:val="0"/>
          <w:numId w:val="24"/>
        </w:numPr>
        <w:spacing w:after="0" w:line="240" w:lineRule="auto"/>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обрабатывающие производства (лесопереработка, </w:t>
      </w:r>
      <w:proofErr w:type="gramStart"/>
      <w:r w:rsidRPr="005B0D7D">
        <w:rPr>
          <w:rFonts w:ascii="Times New Roman" w:eastAsia="Batang" w:hAnsi="Times New Roman" w:cs="Times New Roman"/>
          <w:sz w:val="28"/>
          <w:szCs w:val="28"/>
          <w:lang w:eastAsia="ru-RU"/>
        </w:rPr>
        <w:t>целлюлозно-бумажное</w:t>
      </w:r>
      <w:proofErr w:type="gramEnd"/>
      <w:r w:rsidRPr="005B0D7D">
        <w:rPr>
          <w:rFonts w:ascii="Times New Roman" w:eastAsia="Batang" w:hAnsi="Times New Roman" w:cs="Times New Roman"/>
          <w:sz w:val="28"/>
          <w:szCs w:val="28"/>
          <w:lang w:eastAsia="ru-RU"/>
        </w:rPr>
        <w:t xml:space="preserve"> и пр.); </w:t>
      </w:r>
    </w:p>
    <w:p w:rsidR="005B0D7D" w:rsidRPr="005B0D7D" w:rsidRDefault="005B0D7D" w:rsidP="005B0D7D">
      <w:pPr>
        <w:numPr>
          <w:ilvl w:val="0"/>
          <w:numId w:val="24"/>
        </w:numPr>
        <w:spacing w:after="0" w:line="240" w:lineRule="auto"/>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производство и распределение электроэнергии, газа и воды; </w:t>
      </w:r>
    </w:p>
    <w:p w:rsidR="005B0D7D" w:rsidRPr="005B0D7D" w:rsidRDefault="005B0D7D" w:rsidP="005B0D7D">
      <w:pPr>
        <w:numPr>
          <w:ilvl w:val="0"/>
          <w:numId w:val="24"/>
        </w:numPr>
        <w:spacing w:after="0" w:line="240" w:lineRule="auto"/>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добыча полезных ископаемых (добыча нефти и газа вертикально-интегрированными и независимыми компаниями и предоставление услуг сервисных компаний в данном секторе).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Объем промышленной продукции по крупным и средним предприятиям города за 2013 год составил 9 700,9 млн. руб., или 117,7% к 2012 году (8 240,6 млн. руб.).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Более 79,6% от всего объема отгруженных товаров собственного производства, выполненных работ и услуг собственными силами составляет объем предприятий по виду деятельности «Производство, распределение электроэнергии, газа и воды». Большинство предприятий, входящих в данный вид экономической деятельности по своим функциям относятся к предприятиям жилищно-коммунального комплекса, наибольший удельный вес 44,4 % всего объема приходится на предприятия </w:t>
      </w:r>
      <w:proofErr w:type="gramStart"/>
      <w:r w:rsidRPr="005B0D7D">
        <w:rPr>
          <w:rFonts w:ascii="Times New Roman" w:eastAsia="Batang" w:hAnsi="Times New Roman" w:cs="Times New Roman"/>
          <w:sz w:val="28"/>
          <w:szCs w:val="28"/>
          <w:lang w:eastAsia="ko-KR"/>
        </w:rPr>
        <w:t>тепло-энергетического</w:t>
      </w:r>
      <w:proofErr w:type="gramEnd"/>
      <w:r w:rsidRPr="005B0D7D">
        <w:rPr>
          <w:rFonts w:ascii="Times New Roman" w:eastAsia="Batang" w:hAnsi="Times New Roman" w:cs="Times New Roman"/>
          <w:sz w:val="28"/>
          <w:szCs w:val="28"/>
          <w:lang w:eastAsia="ko-KR"/>
        </w:rPr>
        <w:t xml:space="preserve"> комплекса регионального значения.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Объемы производства за 2013 год по виду экономической деятельности «производство и распределение электроэнергии газа и воды» составили 7 725,2 млн. руб., или 112,4% к уровню 2012 года (6 873,0 млн. руб.).</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Вторая по величине доля от всего объема промышленного производства приходится на предприятия обрабатывающей отрасли – 19,7 %. В состав обрабатывающих произво</w:t>
      </w:r>
      <w:proofErr w:type="gramStart"/>
      <w:r w:rsidRPr="005B0D7D">
        <w:rPr>
          <w:rFonts w:ascii="Times New Roman" w:eastAsia="Batang" w:hAnsi="Times New Roman" w:cs="Times New Roman"/>
          <w:sz w:val="28"/>
          <w:szCs w:val="28"/>
          <w:lang w:eastAsia="ko-KR"/>
        </w:rPr>
        <w:t>дств вх</w:t>
      </w:r>
      <w:proofErr w:type="gramEnd"/>
      <w:r w:rsidRPr="005B0D7D">
        <w:rPr>
          <w:rFonts w:ascii="Times New Roman" w:eastAsia="Batang" w:hAnsi="Times New Roman" w:cs="Times New Roman"/>
          <w:sz w:val="28"/>
          <w:szCs w:val="28"/>
          <w:lang w:eastAsia="ko-KR"/>
        </w:rPr>
        <w:t>одят обработка древесины и производство изделий из дерева; целлюлозно-бумажное производство, издательская и полиграфическая деятельность; производство прочих неметаллических минеральных продуктов (производство бетона, плитки тротуарной и кирпича); текстильное и швейное производство (ремонт и пошив изделий по индивидуальным заказам, и оказание услуг по ремонту бытовой техники).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отгруженных товаров, выполненных работ и услуг в этой сфере за 2013 год составил 1 910,3 млн. руб., или 146,0% к 2012 году (1 308,4 млн. руб.). Увеличение объема производства в анализируемом периоде произошло за счет предприятий по обработке древесины и производству изделий из дерева.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Представителем отрасли «Рыболовство, рыбоводство» среди крупных и средних предприятий является ОАО «Рыбокомбинат Ханты-Мансийский», доля </w:t>
      </w:r>
      <w:r w:rsidRPr="005B0D7D">
        <w:rPr>
          <w:rFonts w:ascii="Times New Roman" w:eastAsia="Batang" w:hAnsi="Times New Roman" w:cs="Times New Roman"/>
          <w:sz w:val="28"/>
          <w:szCs w:val="28"/>
          <w:lang w:eastAsia="ko-KR"/>
        </w:rPr>
        <w:lastRenderedPageBreak/>
        <w:t xml:space="preserve">которого в общем объеме промышленного производства за 2013 год составила 0,3% (2012 год – 0,2%).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Доля предприятий по виду деятельности «добыча полезных ископаемых» в 2013 году составила 0,7 % (соответствующий период 2012 года – 0,8 %). Объем оказанных ими услуг составил 42,0 млн. руб., или 102,2 % к соответствующему периоду 2012 года (41,1 млн. руб.).</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16" w:name="_Toc404211530"/>
      <w:bookmarkStart w:id="117" w:name="_Toc404218164"/>
      <w:bookmarkStart w:id="118" w:name="_Toc410639472"/>
      <w:bookmarkStart w:id="119" w:name="_Toc392622924"/>
      <w:bookmarkStart w:id="120" w:name="_Toc395506367"/>
      <w:r w:rsidRPr="005B0D7D">
        <w:rPr>
          <w:rFonts w:ascii="Times New Roman" w:eastAsia="Batang" w:hAnsi="Times New Roman" w:cs="Times New Roman"/>
          <w:b/>
          <w:bCs/>
          <w:sz w:val="28"/>
          <w:szCs w:val="28"/>
          <w:lang w:eastAsia="ko-KR"/>
        </w:rPr>
        <w:t xml:space="preserve">3.2.5.2. </w:t>
      </w:r>
      <w:bookmarkEnd w:id="116"/>
      <w:bookmarkEnd w:id="117"/>
      <w:r w:rsidRPr="005B0D7D">
        <w:rPr>
          <w:rFonts w:ascii="Times New Roman" w:eastAsia="Batang" w:hAnsi="Times New Roman" w:cs="Times New Roman"/>
          <w:b/>
          <w:bCs/>
          <w:sz w:val="28"/>
          <w:szCs w:val="28"/>
          <w:lang w:eastAsia="ko-KR"/>
        </w:rPr>
        <w:t>Агропромышленный комплекс</w:t>
      </w:r>
      <w:bookmarkEnd w:id="118"/>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Сельскохозяйственное производство в городе представлен</w:t>
      </w:r>
      <w:proofErr w:type="gramStart"/>
      <w:r w:rsidRPr="005B0D7D">
        <w:rPr>
          <w:rFonts w:ascii="Times New Roman" w:eastAsia="Batang" w:hAnsi="Times New Roman" w:cs="Times New Roman"/>
          <w:sz w:val="28"/>
          <w:szCs w:val="28"/>
          <w:lang w:eastAsia="ko-KR"/>
        </w:rPr>
        <w:t>о ООО</w:t>
      </w:r>
      <w:proofErr w:type="gramEnd"/>
      <w:r w:rsidRPr="005B0D7D">
        <w:rPr>
          <w:rFonts w:ascii="Times New Roman" w:eastAsia="Batang" w:hAnsi="Times New Roman" w:cs="Times New Roman"/>
          <w:sz w:val="28"/>
          <w:szCs w:val="28"/>
          <w:lang w:eastAsia="ko-KR"/>
        </w:rPr>
        <w:t> «Фермерское хозяйство “ОМК”», индивидуальными предпринимателями Медведевым Ю.Н. и Медведевой П.П., а также крестьянскими (фермерскими) хозяйствами В.А. Соловьева, А.В. </w:t>
      </w:r>
      <w:proofErr w:type="spellStart"/>
      <w:r w:rsidRPr="005B0D7D">
        <w:rPr>
          <w:rFonts w:ascii="Times New Roman" w:eastAsia="Batang" w:hAnsi="Times New Roman" w:cs="Times New Roman"/>
          <w:sz w:val="28"/>
          <w:szCs w:val="28"/>
          <w:lang w:eastAsia="ko-KR"/>
        </w:rPr>
        <w:t>Райшева</w:t>
      </w:r>
      <w:proofErr w:type="spellEnd"/>
      <w:r w:rsidRPr="005B0D7D">
        <w:rPr>
          <w:rFonts w:ascii="Times New Roman" w:eastAsia="Batang" w:hAnsi="Times New Roman" w:cs="Times New Roman"/>
          <w:sz w:val="28"/>
          <w:szCs w:val="28"/>
          <w:lang w:eastAsia="ko-KR"/>
        </w:rPr>
        <w:t>, Н.И. Арефьевой. Кроме этого, выращиванием картофеля и овощей, сбором дикоросов и ловом речной и озерной рыбы, частичным производством молока и мяса занимается население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Животноводством и птицеводством в городе занимаются горожане в рамках личных подсобных хозяйств и крестьянские (фермерские) хозяйства В.А. Соловьева, Н.И. Арефьевой. В фермерских хозяйствах содержится крупный рогатый скот, свиньи, птица и кролики. За 2013 год этими хозяйствами было произведено 40,5 тонн молока, или 382,1 % к соответствующему периоду 2012 года (10,6 тонны) и 13,3 тонн мяса в живом весе, или 26,1% к соответствующему периоду 2012 года (50,96 тонн). В 2013 году реализовано 38,7 тонн молока, или 95,6 % от произведенной продукции и 12,1 тонны мяса в живом весе, или 91 % от произведенной продукции.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Растениеводством занимаются крестьянские (фермерские) хозяйства А.В. </w:t>
      </w:r>
      <w:proofErr w:type="spellStart"/>
      <w:r w:rsidRPr="005B0D7D">
        <w:rPr>
          <w:rFonts w:ascii="Times New Roman" w:eastAsia="Batang" w:hAnsi="Times New Roman" w:cs="Times New Roman"/>
          <w:sz w:val="28"/>
          <w:szCs w:val="28"/>
          <w:lang w:eastAsia="ko-KR"/>
        </w:rPr>
        <w:t>Райшева</w:t>
      </w:r>
      <w:proofErr w:type="spellEnd"/>
      <w:r w:rsidRPr="005B0D7D">
        <w:rPr>
          <w:rFonts w:ascii="Times New Roman" w:eastAsia="Batang" w:hAnsi="Times New Roman" w:cs="Times New Roman"/>
          <w:sz w:val="28"/>
          <w:szCs w:val="28"/>
          <w:lang w:eastAsia="ko-KR"/>
        </w:rPr>
        <w:t xml:space="preserve"> и Н.И. Арефьева. В 2013 году этими хозяйствами произведено 13,2 тонны продукции растениеводства, или 293,4 % к итогам 2012 года (4,5 тонны) и реализовано 10 тонн, или 75,8 % от произведенной продукции.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Разведением пчел в городе занимается крестьянское (фермерское) хозяйство А.В. </w:t>
      </w:r>
      <w:proofErr w:type="spellStart"/>
      <w:r w:rsidRPr="005B0D7D">
        <w:rPr>
          <w:rFonts w:ascii="Times New Roman" w:eastAsia="Batang" w:hAnsi="Times New Roman" w:cs="Times New Roman"/>
          <w:sz w:val="28"/>
          <w:szCs w:val="28"/>
          <w:lang w:eastAsia="ko-KR"/>
        </w:rPr>
        <w:t>Райшева</w:t>
      </w:r>
      <w:proofErr w:type="spellEnd"/>
      <w:r w:rsidRPr="005B0D7D">
        <w:rPr>
          <w:rFonts w:ascii="Times New Roman" w:eastAsia="Batang" w:hAnsi="Times New Roman" w:cs="Times New Roman"/>
          <w:sz w:val="28"/>
          <w:szCs w:val="28"/>
          <w:lang w:eastAsia="ko-KR"/>
        </w:rPr>
        <w:t>, в котором содержится 21 пчелосемья. В 2013 году пчеловодством начало заниматься крестьянское (фермерское) хозяйство Н.И. Арефьева, в котором содержится 8 пчелосемей. Готовая продукция пчеловодства поставляется в магазины города и на городской рынок. За 2013 год произведена 1 тонна меда и реализовано 0,6 тонны, или 63% от произведенной продукции.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оборот сельскохозяйственных предприятий в 2013 году в сопоставимых ценах составил 5,82 млн. руб., что говорит о явно недостаточном уровне развития данного сектора экономики.</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21" w:name="_Toc410639473"/>
      <w:r w:rsidRPr="005B0D7D">
        <w:rPr>
          <w:rFonts w:ascii="Times New Roman" w:eastAsia="Batang" w:hAnsi="Times New Roman" w:cs="Times New Roman"/>
          <w:b/>
          <w:bCs/>
          <w:sz w:val="28"/>
          <w:szCs w:val="28"/>
          <w:lang w:eastAsia="ko-KR"/>
        </w:rPr>
        <w:t>`3.2.5.3. Строительство</w:t>
      </w:r>
      <w:bookmarkEnd w:id="121"/>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sz w:val="28"/>
          <w:szCs w:val="28"/>
          <w:lang w:eastAsia="ko-KR"/>
        </w:rPr>
        <w:t xml:space="preserve">В силу природных особенностей местности (заболоченность, подъем воды в паводковый период) жилищное строительство в городе требует дополнительных усилий застройщиков по проведению подготовительных работ, которые компенсируются высокой стоимостью жилья. </w:t>
      </w:r>
      <w:proofErr w:type="gramStart"/>
      <w:r w:rsidRPr="005B0D7D">
        <w:rPr>
          <w:rFonts w:ascii="Times New Roman" w:eastAsia="Batang" w:hAnsi="Times New Roman" w:cs="Times New Roman"/>
          <w:bCs/>
          <w:sz w:val="28"/>
          <w:szCs w:val="28"/>
          <w:lang w:eastAsia="ko-KR"/>
        </w:rPr>
        <w:t xml:space="preserve">Вместе с тем, в последние четыре года отмечается постепенное наращивание объема выполненных работ и услуг по виду деятельности «Строительство», который  в 2013 году составил  7 381,8 млн. руб. (в 2010 году – 4 928,0 млн. руб., в 2011 году – 7 249,2 млн. руб., в 2012 году – </w:t>
      </w:r>
      <w:r w:rsidRPr="005B0D7D">
        <w:rPr>
          <w:rFonts w:ascii="Times New Roman" w:eastAsia="Batang" w:hAnsi="Times New Roman" w:cs="Times New Roman"/>
          <w:bCs/>
          <w:sz w:val="28"/>
          <w:szCs w:val="28"/>
          <w:lang w:eastAsia="ko-KR"/>
        </w:rPr>
        <w:lastRenderedPageBreak/>
        <w:t>6 558,1 млн. руб.), за 9 месяцев 2014 года – 5 248,7 млн. руб. В удельном</w:t>
      </w:r>
      <w:proofErr w:type="gramEnd"/>
      <w:r w:rsidRPr="005B0D7D">
        <w:rPr>
          <w:rFonts w:ascii="Times New Roman" w:eastAsia="Batang" w:hAnsi="Times New Roman" w:cs="Times New Roman"/>
          <w:bCs/>
          <w:sz w:val="28"/>
          <w:szCs w:val="28"/>
          <w:lang w:eastAsia="ko-KR"/>
        </w:rPr>
        <w:t xml:space="preserve"> </w:t>
      </w:r>
      <w:proofErr w:type="gramStart"/>
      <w:r w:rsidRPr="005B0D7D">
        <w:rPr>
          <w:rFonts w:ascii="Times New Roman" w:eastAsia="Batang" w:hAnsi="Times New Roman" w:cs="Times New Roman"/>
          <w:bCs/>
          <w:sz w:val="28"/>
          <w:szCs w:val="28"/>
          <w:lang w:eastAsia="ko-KR"/>
        </w:rPr>
        <w:t>выражении</w:t>
      </w:r>
      <w:proofErr w:type="gramEnd"/>
      <w:r w:rsidRPr="005B0D7D">
        <w:rPr>
          <w:rFonts w:ascii="Times New Roman" w:eastAsia="Batang" w:hAnsi="Times New Roman" w:cs="Times New Roman"/>
          <w:bCs/>
          <w:sz w:val="28"/>
          <w:szCs w:val="28"/>
          <w:lang w:eastAsia="ko-KR"/>
        </w:rPr>
        <w:t xml:space="preserve"> в 2013 году данный показатель составил 83 888 руб. на душу населения.</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2013 году Ханты-Мансийск занял 2-е место среди муниципальных образований Ханты-Мансийского автономного округа – Югры по объему жилищного строительства в расчете на одного жителя (</w:t>
      </w:r>
      <w:smartTag w:uri="urn:schemas-microsoft-com:office:smarttags" w:element="metricconverter">
        <w:smartTagPr>
          <w:attr w:name="ProductID" w:val="1,21 кв. м"/>
        </w:smartTagPr>
        <w:r w:rsidRPr="005B0D7D">
          <w:rPr>
            <w:rFonts w:ascii="Times New Roman" w:eastAsia="Batang" w:hAnsi="Times New Roman" w:cs="Times New Roman"/>
            <w:bCs/>
            <w:sz w:val="28"/>
            <w:szCs w:val="28"/>
            <w:lang w:eastAsia="ko-KR"/>
          </w:rPr>
          <w:t>1,21 кв. м</w:t>
        </w:r>
      </w:smartTag>
      <w:r w:rsidRPr="005B0D7D">
        <w:rPr>
          <w:rFonts w:ascii="Times New Roman" w:eastAsia="Batang" w:hAnsi="Times New Roman" w:cs="Times New Roman"/>
          <w:bCs/>
          <w:sz w:val="28"/>
          <w:szCs w:val="28"/>
          <w:lang w:eastAsia="ko-KR"/>
        </w:rPr>
        <w:t>), превысив почти в два раза средний показатель по автономному округу (</w:t>
      </w:r>
      <w:smartTag w:uri="urn:schemas-microsoft-com:office:smarttags" w:element="metricconverter">
        <w:smartTagPr>
          <w:attr w:name="ProductID" w:val="0,66 кв. м"/>
        </w:smartTagPr>
        <w:r w:rsidRPr="005B0D7D">
          <w:rPr>
            <w:rFonts w:ascii="Times New Roman" w:eastAsia="Batang" w:hAnsi="Times New Roman" w:cs="Times New Roman"/>
            <w:bCs/>
            <w:sz w:val="28"/>
            <w:szCs w:val="28"/>
            <w:lang w:eastAsia="ko-KR"/>
          </w:rPr>
          <w:t>0,66 кв. м</w:t>
        </w:r>
      </w:smartTag>
      <w:r w:rsidRPr="005B0D7D">
        <w:rPr>
          <w:rFonts w:ascii="Times New Roman" w:eastAsia="Batang" w:hAnsi="Times New Roman" w:cs="Times New Roman"/>
          <w:bCs/>
          <w:sz w:val="28"/>
          <w:szCs w:val="28"/>
          <w:lang w:eastAsia="ko-KR"/>
        </w:rPr>
        <w:t>). Введено в эксплуатацию 106,8 тыс. кв. м жилой площади, в том числе 25,2 тыс. кв. м индивидуального жилья. Динамика жилищного строительства неустойчива, но в целом в 2012-2013 годах наблюдается увеличение объемов по сравнению с предшествующим периодом (рис.15а и 15б).</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1571625"/>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1571625"/>
                  <wp:effectExtent l="0" t="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Рис.15а. Ввод жилья, тыс. кв. м</w:t>
            </w:r>
          </w:p>
        </w:tc>
        <w:tc>
          <w:tcPr>
            <w:tcW w:w="4786" w:type="dxa"/>
          </w:tcPr>
          <w:p w:rsidR="005B0D7D" w:rsidRPr="005B0D7D" w:rsidRDefault="005B0D7D" w:rsidP="005B0D7D">
            <w:pPr>
              <w:spacing w:after="12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Рис.15б. Ввод индивидуального жилья, тыс. кв. м</w:t>
            </w:r>
          </w:p>
        </w:tc>
      </w:tr>
    </w:tbl>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Всего в 2013 году введено в эксплуатацию 28 многоквартирных домов (1 153 квартиры). Кроме жилья, в последние годы интенсивно строятся социальные объекты.</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22" w:name="_Toc410639474"/>
      <w:r w:rsidRPr="005B0D7D">
        <w:rPr>
          <w:rFonts w:ascii="Times New Roman" w:eastAsia="Batang" w:hAnsi="Times New Roman" w:cs="Times New Roman"/>
          <w:b/>
          <w:bCs/>
          <w:sz w:val="28"/>
          <w:szCs w:val="28"/>
          <w:lang w:eastAsia="ko-KR"/>
        </w:rPr>
        <w:t>3.2.5.4. Инвестиционная деятельность</w:t>
      </w:r>
      <w:bookmarkEnd w:id="122"/>
    </w:p>
    <w:p w:rsidR="005B0D7D" w:rsidRPr="005B0D7D" w:rsidRDefault="005B0D7D" w:rsidP="005B0D7D">
      <w:pPr>
        <w:autoSpaceDE w:val="0"/>
        <w:autoSpaceDN w:val="0"/>
        <w:adjustRightInd w:val="0"/>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Нормативное обеспечение инвестиционной деятельности составляют Адресная инвестиционная программа города Ханты-Мансийска на 2014 год и на плановый период 2015-2016 годов, Порядок рассмотрения и одобрения инвестиционных проектов, Порядок формирования плана создания объектов инвестиционной инфраструктуры, Порядок предоставления муниципальных гарантий, решение Думы города «О реализации права участия города Ханты-Мансийска в государственно-частном партнерстве».</w:t>
      </w:r>
    </w:p>
    <w:p w:rsidR="005B0D7D" w:rsidRPr="005B0D7D" w:rsidRDefault="005B0D7D" w:rsidP="005B0D7D">
      <w:pPr>
        <w:autoSpaceDE w:val="0"/>
        <w:autoSpaceDN w:val="0"/>
        <w:adjustRightInd w:val="0"/>
        <w:spacing w:after="120" w:line="240" w:lineRule="auto"/>
        <w:ind w:firstLine="720"/>
        <w:jc w:val="both"/>
        <w:rPr>
          <w:rFonts w:ascii="Times New Roman" w:eastAsia="Batang" w:hAnsi="Times New Roman" w:cs="Times New Roman"/>
          <w:bCs/>
          <w:sz w:val="28"/>
          <w:szCs w:val="28"/>
          <w:lang w:eastAsia="ru-RU"/>
        </w:rPr>
      </w:pPr>
      <w:r w:rsidRPr="005B0D7D">
        <w:rPr>
          <w:rFonts w:ascii="Times New Roman" w:eastAsia="Batang" w:hAnsi="Times New Roman" w:cs="Times New Roman"/>
          <w:bCs/>
          <w:sz w:val="28"/>
          <w:szCs w:val="28"/>
          <w:lang w:eastAsia="ru-RU"/>
        </w:rPr>
        <w:t>Объем инвестиций в основной капитал по всем отраслям экономики города в последние четыре года вырос в полтора раза, достигнув в 2013 году уровня 23 571,8 млн. руб. (рис.16). Положительная тенденция сохраняется и в 2014 году: за девять месяцев показатель достиг отметки 12 289,9 млн. руб.</w:t>
      </w:r>
    </w:p>
    <w:p w:rsidR="005B0D7D" w:rsidRPr="005B0D7D" w:rsidRDefault="005B0D7D" w:rsidP="005B0D7D">
      <w:pPr>
        <w:autoSpaceDE w:val="0"/>
        <w:autoSpaceDN w:val="0"/>
        <w:adjustRightInd w:val="0"/>
        <w:spacing w:after="0" w:line="240" w:lineRule="auto"/>
        <w:ind w:firstLine="720"/>
        <w:jc w:val="center"/>
        <w:rPr>
          <w:rFonts w:ascii="Times New Roman" w:eastAsia="Batang" w:hAnsi="Times New Roman" w:cs="Times New Roman"/>
          <w:bCs/>
          <w:sz w:val="28"/>
          <w:szCs w:val="28"/>
          <w:lang w:eastAsia="ru-RU"/>
        </w:rPr>
      </w:pPr>
      <w:r>
        <w:rPr>
          <w:rFonts w:ascii="Times New Roman" w:eastAsia="Batang" w:hAnsi="Times New Roman" w:cs="Times New Roman"/>
          <w:noProof/>
          <w:sz w:val="28"/>
          <w:szCs w:val="28"/>
          <w:lang w:eastAsia="ru-RU"/>
        </w:rPr>
        <w:lastRenderedPageBreak/>
        <w:drawing>
          <wp:inline distT="0" distB="0" distL="0" distR="0">
            <wp:extent cx="3762375" cy="1857375"/>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B0D7D" w:rsidRPr="005B0D7D" w:rsidRDefault="005B0D7D" w:rsidP="005B0D7D">
      <w:pPr>
        <w:autoSpaceDE w:val="0"/>
        <w:autoSpaceDN w:val="0"/>
        <w:adjustRightInd w:val="0"/>
        <w:spacing w:before="120" w:after="120" w:line="240" w:lineRule="auto"/>
        <w:ind w:firstLine="720"/>
        <w:jc w:val="center"/>
        <w:rPr>
          <w:rFonts w:ascii="Times New Roman" w:eastAsia="Batang" w:hAnsi="Times New Roman" w:cs="Times New Roman"/>
          <w:b/>
          <w:bCs/>
          <w:sz w:val="24"/>
          <w:szCs w:val="24"/>
          <w:lang w:eastAsia="ru-RU"/>
        </w:rPr>
      </w:pPr>
      <w:r w:rsidRPr="005B0D7D">
        <w:rPr>
          <w:rFonts w:ascii="Times New Roman" w:eastAsia="Batang" w:hAnsi="Times New Roman" w:cs="Times New Roman"/>
          <w:b/>
          <w:bCs/>
          <w:sz w:val="24"/>
          <w:szCs w:val="24"/>
          <w:lang w:eastAsia="ru-RU"/>
        </w:rPr>
        <w:t>Рис.16. Объем инвестиций в основной капитал, млн. руб.</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xml:space="preserve">Основную долю в структуре инвестиций по источникам финансирования занимают привлеченные средства – 74,4 %, или 15 994,7 млн. руб. </w:t>
      </w:r>
      <w:r w:rsidRPr="005B0D7D">
        <w:rPr>
          <w:rFonts w:ascii="Times New Roman" w:eastAsia="Batang" w:hAnsi="Times New Roman" w:cs="Times New Roman"/>
          <w:sz w:val="28"/>
          <w:szCs w:val="28"/>
          <w:lang w:eastAsia="ko-KR"/>
        </w:rPr>
        <w:t>Собственные средства предприятий составляют 25,6 %, или 5 512,6 млн. руб.</w:t>
      </w:r>
      <w:r w:rsidRPr="005B0D7D">
        <w:rPr>
          <w:rFonts w:ascii="Times New Roman" w:eastAsia="Batang" w:hAnsi="Times New Roman" w:cs="Times New Roman"/>
          <w:bCs/>
          <w:sz w:val="28"/>
          <w:szCs w:val="28"/>
          <w:lang w:eastAsia="ko-KR"/>
        </w:rPr>
        <w:t xml:space="preserve"> За четырехлетний период наблюдается незначительное увеличение доли инвестиций за счет собственных сре</w:t>
      </w:r>
      <w:proofErr w:type="gramStart"/>
      <w:r w:rsidRPr="005B0D7D">
        <w:rPr>
          <w:rFonts w:ascii="Times New Roman" w:eastAsia="Batang" w:hAnsi="Times New Roman" w:cs="Times New Roman"/>
          <w:bCs/>
          <w:sz w:val="28"/>
          <w:szCs w:val="28"/>
          <w:lang w:eastAsia="ko-KR"/>
        </w:rPr>
        <w:t>дств пр</w:t>
      </w:r>
      <w:proofErr w:type="gramEnd"/>
      <w:r w:rsidRPr="005B0D7D">
        <w:rPr>
          <w:rFonts w:ascii="Times New Roman" w:eastAsia="Batang" w:hAnsi="Times New Roman" w:cs="Times New Roman"/>
          <w:bCs/>
          <w:sz w:val="28"/>
          <w:szCs w:val="28"/>
          <w:lang w:eastAsia="ko-KR"/>
        </w:rPr>
        <w:t>едприятий (рис.17).</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Pr>
          <w:rFonts w:ascii="Times New Roman" w:eastAsia="Batang" w:hAnsi="Times New Roman" w:cs="Times New Roman"/>
          <w:noProof/>
          <w:sz w:val="28"/>
          <w:szCs w:val="28"/>
          <w:lang w:eastAsia="ru-RU"/>
        </w:rPr>
        <w:drawing>
          <wp:inline distT="0" distB="0" distL="0" distR="0">
            <wp:extent cx="5505450" cy="2162175"/>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B0D7D" w:rsidRPr="005B0D7D" w:rsidRDefault="005B0D7D" w:rsidP="005B0D7D">
      <w:pPr>
        <w:autoSpaceDE w:val="0"/>
        <w:autoSpaceDN w:val="0"/>
        <w:adjustRightInd w:val="0"/>
        <w:spacing w:before="120" w:after="120" w:line="240" w:lineRule="auto"/>
        <w:ind w:firstLine="720"/>
        <w:jc w:val="center"/>
        <w:rPr>
          <w:rFonts w:ascii="Times New Roman" w:eastAsia="Batang" w:hAnsi="Times New Roman" w:cs="Times New Roman"/>
          <w:b/>
          <w:bCs/>
          <w:sz w:val="24"/>
          <w:szCs w:val="24"/>
          <w:lang w:eastAsia="ru-RU"/>
        </w:rPr>
      </w:pPr>
      <w:r w:rsidRPr="005B0D7D">
        <w:rPr>
          <w:rFonts w:ascii="Times New Roman" w:eastAsia="Batang" w:hAnsi="Times New Roman" w:cs="Times New Roman"/>
          <w:b/>
          <w:bCs/>
          <w:sz w:val="24"/>
          <w:szCs w:val="24"/>
          <w:lang w:eastAsia="ru-RU"/>
        </w:rPr>
        <w:t>Рис.17. Структура инвестиций по источникам финансирования, 2010-2013 годы, %</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По функциональному назначению инвестиции в основной капитал  направлены на следующие цели (таблица 8).</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Таблица 8</w:t>
      </w:r>
    </w:p>
    <w:p w:rsidR="005B0D7D" w:rsidRPr="005B0D7D" w:rsidRDefault="005B0D7D" w:rsidP="005B0D7D">
      <w:pPr>
        <w:autoSpaceDE w:val="0"/>
        <w:autoSpaceDN w:val="0"/>
        <w:adjustRightInd w:val="0"/>
        <w:spacing w:before="120" w:after="120" w:line="240" w:lineRule="auto"/>
        <w:ind w:firstLine="720"/>
        <w:jc w:val="center"/>
        <w:rPr>
          <w:rFonts w:ascii="Times New Roman" w:eastAsia="Batang" w:hAnsi="Times New Roman" w:cs="Times New Roman"/>
          <w:b/>
          <w:bCs/>
          <w:sz w:val="24"/>
          <w:szCs w:val="24"/>
          <w:lang w:eastAsia="ru-RU"/>
        </w:rPr>
      </w:pPr>
      <w:r w:rsidRPr="005B0D7D">
        <w:rPr>
          <w:rFonts w:ascii="Times New Roman" w:eastAsia="Batang" w:hAnsi="Times New Roman" w:cs="Times New Roman"/>
          <w:b/>
          <w:bCs/>
          <w:sz w:val="24"/>
          <w:szCs w:val="24"/>
          <w:lang w:eastAsia="ru-RU"/>
        </w:rPr>
        <w:t>Распределение инвестиций в основной капитал по функциональному назначению,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
        <w:gridCol w:w="4637"/>
        <w:gridCol w:w="1418"/>
        <w:gridCol w:w="1417"/>
        <w:gridCol w:w="1525"/>
      </w:tblGrid>
      <w:tr w:rsidR="005B0D7D" w:rsidRPr="005B0D7D" w:rsidTr="005B0D7D">
        <w:tc>
          <w:tcPr>
            <w:tcW w:w="466"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w:t>
            </w:r>
          </w:p>
        </w:tc>
        <w:tc>
          <w:tcPr>
            <w:tcW w:w="463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tc>
        <w:tc>
          <w:tcPr>
            <w:tcW w:w="1418"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2011</w:t>
            </w:r>
          </w:p>
        </w:tc>
        <w:tc>
          <w:tcPr>
            <w:tcW w:w="1417"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2012</w:t>
            </w:r>
          </w:p>
        </w:tc>
        <w:tc>
          <w:tcPr>
            <w:tcW w:w="15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2013</w:t>
            </w:r>
          </w:p>
        </w:tc>
      </w:tr>
      <w:tr w:rsidR="005B0D7D" w:rsidRPr="005B0D7D" w:rsidTr="005B0D7D">
        <w:tc>
          <w:tcPr>
            <w:tcW w:w="466" w:type="dxa"/>
          </w:tcPr>
          <w:p w:rsidR="005B0D7D" w:rsidRPr="005B0D7D" w:rsidRDefault="005B0D7D" w:rsidP="005B0D7D">
            <w:pPr>
              <w:numPr>
                <w:ilvl w:val="0"/>
                <w:numId w:val="9"/>
              </w:numPr>
              <w:spacing w:after="0" w:line="240" w:lineRule="auto"/>
              <w:contextualSpacing/>
              <w:jc w:val="both"/>
              <w:rPr>
                <w:rFonts w:ascii="Times New Roman" w:eastAsia="Batang" w:hAnsi="Times New Roman" w:cs="Times New Roman"/>
                <w:sz w:val="24"/>
                <w:szCs w:val="24"/>
                <w:lang w:eastAsia="ru-RU"/>
              </w:rPr>
            </w:pPr>
          </w:p>
        </w:tc>
        <w:tc>
          <w:tcPr>
            <w:tcW w:w="463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строительство жилья</w:t>
            </w:r>
          </w:p>
        </w:tc>
        <w:tc>
          <w:tcPr>
            <w:tcW w:w="1418"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15,0</w:t>
            </w:r>
          </w:p>
        </w:tc>
        <w:tc>
          <w:tcPr>
            <w:tcW w:w="1417"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12,2</w:t>
            </w:r>
          </w:p>
        </w:tc>
        <w:tc>
          <w:tcPr>
            <w:tcW w:w="15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21,9</w:t>
            </w:r>
          </w:p>
        </w:tc>
      </w:tr>
      <w:tr w:rsidR="005B0D7D" w:rsidRPr="005B0D7D" w:rsidTr="005B0D7D">
        <w:tc>
          <w:tcPr>
            <w:tcW w:w="466" w:type="dxa"/>
          </w:tcPr>
          <w:p w:rsidR="005B0D7D" w:rsidRPr="005B0D7D" w:rsidRDefault="005B0D7D" w:rsidP="005B0D7D">
            <w:pPr>
              <w:numPr>
                <w:ilvl w:val="0"/>
                <w:numId w:val="9"/>
              </w:numPr>
              <w:spacing w:after="0" w:line="240" w:lineRule="auto"/>
              <w:contextualSpacing/>
              <w:jc w:val="both"/>
              <w:rPr>
                <w:rFonts w:ascii="Times New Roman" w:eastAsia="Batang" w:hAnsi="Times New Roman" w:cs="Times New Roman"/>
                <w:sz w:val="24"/>
                <w:szCs w:val="24"/>
                <w:lang w:eastAsia="ru-RU"/>
              </w:rPr>
            </w:pPr>
          </w:p>
        </w:tc>
        <w:tc>
          <w:tcPr>
            <w:tcW w:w="463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строительство зданий и сооружений</w:t>
            </w:r>
          </w:p>
        </w:tc>
        <w:tc>
          <w:tcPr>
            <w:tcW w:w="1418"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56,3</w:t>
            </w:r>
          </w:p>
        </w:tc>
        <w:tc>
          <w:tcPr>
            <w:tcW w:w="1417"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57,0</w:t>
            </w:r>
          </w:p>
        </w:tc>
        <w:tc>
          <w:tcPr>
            <w:tcW w:w="15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43,5</w:t>
            </w:r>
          </w:p>
        </w:tc>
      </w:tr>
      <w:tr w:rsidR="005B0D7D" w:rsidRPr="005B0D7D" w:rsidTr="005B0D7D">
        <w:tc>
          <w:tcPr>
            <w:tcW w:w="466" w:type="dxa"/>
          </w:tcPr>
          <w:p w:rsidR="005B0D7D" w:rsidRPr="005B0D7D" w:rsidRDefault="005B0D7D" w:rsidP="005B0D7D">
            <w:pPr>
              <w:numPr>
                <w:ilvl w:val="0"/>
                <w:numId w:val="9"/>
              </w:numPr>
              <w:spacing w:after="0" w:line="240" w:lineRule="auto"/>
              <w:contextualSpacing/>
              <w:jc w:val="both"/>
              <w:rPr>
                <w:rFonts w:ascii="Times New Roman" w:eastAsia="Batang" w:hAnsi="Times New Roman" w:cs="Times New Roman"/>
                <w:sz w:val="24"/>
                <w:szCs w:val="24"/>
                <w:lang w:eastAsia="ru-RU"/>
              </w:rPr>
            </w:pPr>
          </w:p>
        </w:tc>
        <w:tc>
          <w:tcPr>
            <w:tcW w:w="463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приобретение машин и оборудования</w:t>
            </w:r>
          </w:p>
        </w:tc>
        <w:tc>
          <w:tcPr>
            <w:tcW w:w="1418"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28,5</w:t>
            </w:r>
          </w:p>
        </w:tc>
        <w:tc>
          <w:tcPr>
            <w:tcW w:w="1417"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27,5</w:t>
            </w:r>
          </w:p>
        </w:tc>
        <w:tc>
          <w:tcPr>
            <w:tcW w:w="15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31,7</w:t>
            </w:r>
          </w:p>
        </w:tc>
      </w:tr>
      <w:tr w:rsidR="005B0D7D" w:rsidRPr="005B0D7D" w:rsidTr="005B0D7D">
        <w:tc>
          <w:tcPr>
            <w:tcW w:w="466" w:type="dxa"/>
          </w:tcPr>
          <w:p w:rsidR="005B0D7D" w:rsidRPr="005B0D7D" w:rsidRDefault="005B0D7D" w:rsidP="005B0D7D">
            <w:pPr>
              <w:numPr>
                <w:ilvl w:val="0"/>
                <w:numId w:val="9"/>
              </w:numPr>
              <w:spacing w:after="0" w:line="240" w:lineRule="auto"/>
              <w:contextualSpacing/>
              <w:jc w:val="both"/>
              <w:rPr>
                <w:rFonts w:ascii="Times New Roman" w:eastAsia="Batang" w:hAnsi="Times New Roman" w:cs="Times New Roman"/>
                <w:sz w:val="24"/>
                <w:szCs w:val="24"/>
                <w:lang w:eastAsia="ru-RU"/>
              </w:rPr>
            </w:pPr>
          </w:p>
        </w:tc>
        <w:tc>
          <w:tcPr>
            <w:tcW w:w="463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прочие инвестиции</w:t>
            </w:r>
          </w:p>
        </w:tc>
        <w:tc>
          <w:tcPr>
            <w:tcW w:w="1418"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0,2</w:t>
            </w:r>
          </w:p>
        </w:tc>
        <w:tc>
          <w:tcPr>
            <w:tcW w:w="1417"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3,9</w:t>
            </w:r>
          </w:p>
        </w:tc>
        <w:tc>
          <w:tcPr>
            <w:tcW w:w="1525" w:type="dxa"/>
          </w:tcPr>
          <w:p w:rsidR="005B0D7D" w:rsidRPr="005B0D7D" w:rsidRDefault="005B0D7D" w:rsidP="005B0D7D">
            <w:pPr>
              <w:spacing w:after="0" w:line="240" w:lineRule="auto"/>
              <w:jc w:val="center"/>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3,0</w:t>
            </w:r>
          </w:p>
        </w:tc>
      </w:tr>
    </w:tbl>
    <w:p w:rsidR="005B0D7D" w:rsidRPr="005B0D7D" w:rsidRDefault="005B0D7D" w:rsidP="005B0D7D">
      <w:pPr>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5B0D7D">
        <w:rPr>
          <w:rFonts w:ascii="Times New Roman" w:eastAsia="Times New Roman" w:hAnsi="Times New Roman" w:cs="Times New Roman"/>
          <w:sz w:val="28"/>
          <w:szCs w:val="28"/>
          <w:lang w:eastAsia="ru-RU"/>
        </w:rPr>
        <w:t xml:space="preserve">В структуре инвестиций в основной капитал в 2013 году значительную долю занимали предприятия по следующим видам экономической деятельности: производство и распределение электроэнергии газа и воды – 19,1 %; предоставление прочих видов услуг – 18,2 %; строительство зданий и сооружений, производство общественных работ – 6,9 %; предприятия финансовой сферы деятельности – 6,8 %. </w:t>
      </w:r>
    </w:p>
    <w:p w:rsidR="005B0D7D" w:rsidRPr="005B0D7D" w:rsidRDefault="005B0D7D" w:rsidP="005B0D7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B0D7D">
        <w:rPr>
          <w:rFonts w:ascii="Times New Roman" w:eastAsia="Times New Roman" w:hAnsi="Times New Roman" w:cs="Times New Roman"/>
          <w:sz w:val="28"/>
          <w:szCs w:val="28"/>
          <w:lang w:eastAsia="ru-RU"/>
        </w:rPr>
        <w:lastRenderedPageBreak/>
        <w:t xml:space="preserve">По итогам 9 месяцев 2014 года наибольший вклад в объем инвестиций внесли предприятия  в сферах: </w:t>
      </w:r>
    </w:p>
    <w:p w:rsidR="005B0D7D" w:rsidRPr="005B0D7D" w:rsidRDefault="005B0D7D" w:rsidP="005B0D7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B0D7D">
        <w:rPr>
          <w:rFonts w:ascii="Times New Roman" w:eastAsia="Times New Roman" w:hAnsi="Times New Roman" w:cs="Times New Roman"/>
          <w:sz w:val="28"/>
          <w:szCs w:val="28"/>
          <w:lang w:eastAsia="ru-RU"/>
        </w:rPr>
        <w:t>1) строительства зданий и сооружений, производства общественных работ – 31,0 %,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Times New Roman" w:hAnsi="Times New Roman" w:cs="Times New Roman"/>
          <w:sz w:val="28"/>
          <w:szCs w:val="28"/>
          <w:lang w:eastAsia="ru-RU"/>
        </w:rPr>
        <w:t xml:space="preserve">2) добычи сырой нефти и природного газа, предоставления услуг в этих </w:t>
      </w:r>
      <w:r w:rsidRPr="005B0D7D">
        <w:rPr>
          <w:rFonts w:ascii="Times New Roman" w:eastAsia="Batang" w:hAnsi="Times New Roman" w:cs="Times New Roman"/>
          <w:sz w:val="28"/>
          <w:szCs w:val="28"/>
          <w:lang w:eastAsia="ko-KR"/>
        </w:rPr>
        <w:t>областях – 21,5 %,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производства и распределения электроэнергии газа и воды – 14,5 %.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период 2010-2013 годов на увеличение объемов инвестиций оказали влияние следующие факторы: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1) относительно высокая покупательная способность населения, а также активная реализация жилищных программ, что формирует потребность в жилищном строительстве;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2) высокая активность субъектов малого и среднего предпринимательства в части строительства социально-значимых объектов;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3) наличие модернизированных инженерных сетей, низкий процент их износа, что ускоряет и удешевляет строительство инвестиционных объектов;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созданная на муниципальном уровне система финансовой и имущественной поддержки инвесторов, включающая развитую нормативно-правовую базу, налоговые льготы, сформированные механизмы предоставления бюджетных инвестиций в рамках государственно-частного партнерства.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Перечисленные факторы повлияли на формирование благоприятного инвестиционного климата и повысили привлекательность города Ханты-Мансийска для крупных инвесторов, в том числе иностранных.</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частности, Правительство Ханты-Мансийского автономного округа – Югры и Российский фонд прямых инвестиций (РФПИ) заключили Соглашение об инвестиционном сотрудничестве. Документ предусматривает совместную работу по развитию инвестиционной активности и привлечение иностранных инвестиций в проекты на территории региона – в секторах лесной промышленности, недвижимости, электроэнергии и сельского хозяйства. </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23" w:name="_Toc404211518"/>
      <w:bookmarkStart w:id="124" w:name="_Toc404218152"/>
      <w:bookmarkStart w:id="125" w:name="_Toc410639475"/>
      <w:r w:rsidRPr="005B0D7D">
        <w:rPr>
          <w:rFonts w:ascii="Times New Roman" w:eastAsia="Batang" w:hAnsi="Times New Roman" w:cs="Times New Roman"/>
          <w:b/>
          <w:bCs/>
          <w:sz w:val="28"/>
          <w:szCs w:val="28"/>
          <w:lang w:eastAsia="ko-KR"/>
        </w:rPr>
        <w:t>3.2.5.5. Малое и среднее предпринимательств</w:t>
      </w:r>
      <w:bookmarkEnd w:id="123"/>
      <w:bookmarkEnd w:id="124"/>
      <w:r w:rsidRPr="005B0D7D">
        <w:rPr>
          <w:rFonts w:ascii="Times New Roman" w:eastAsia="Batang" w:hAnsi="Times New Roman" w:cs="Times New Roman"/>
          <w:b/>
          <w:bCs/>
          <w:sz w:val="28"/>
          <w:szCs w:val="28"/>
          <w:lang w:eastAsia="ko-KR"/>
        </w:rPr>
        <w:t>о</w:t>
      </w:r>
      <w:bookmarkEnd w:id="125"/>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Одним из приоритетов развития экономики  города Ханты-Мансийска является создание благоприятных условий для развития субъектов малого и среднего бизнеса. Вклад малого и среднего предпринимательства в социально-экономическое развитие города  с каждым годом становится все более весомым.</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На протяжении последних лет в Ханты-Мансийске наблюдается ежегодный рост численности субъектов малого и среднего предпринимательства: за четырехлетний период данный показатель вырос на треть и достиг 5 604 единицы. В 2014 году тенденция его роста продолжается (рис.18). Доля индивидуальных предпринимателей от общего числа субъектов малого и среднего бизнеса колеблется в пределах 50-60%. Малый бизнес обеспечивает занятость 26,5% от экономически активного населения. </w:t>
      </w:r>
    </w:p>
    <w:tbl>
      <w:tblPr>
        <w:tblW w:w="0" w:type="auto"/>
        <w:tblLook w:val="00A0" w:firstRow="1" w:lastRow="0" w:firstColumn="1" w:lastColumn="0" w:noHBand="0" w:noVBand="0"/>
      </w:tblPr>
      <w:tblGrid>
        <w:gridCol w:w="8897"/>
      </w:tblGrid>
      <w:tr w:rsidR="005B0D7D" w:rsidRPr="005B0D7D" w:rsidTr="005B0D7D">
        <w:trPr>
          <w:cantSplit/>
        </w:trPr>
        <w:tc>
          <w:tcPr>
            <w:tcW w:w="8897"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lastRenderedPageBreak/>
              <w:drawing>
                <wp:inline distT="0" distB="0" distL="0" distR="0">
                  <wp:extent cx="4362450" cy="1514475"/>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5B0D7D" w:rsidRPr="005B0D7D" w:rsidTr="005B0D7D">
        <w:trPr>
          <w:cantSplit/>
        </w:trPr>
        <w:tc>
          <w:tcPr>
            <w:tcW w:w="8897"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Рис.18. Численность субъектов малого и среднего предпринимательства, ед.</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 среднему темпу роста числа субъектов малого и среднего предпринимательства на 10 тыс. человек населения город Ханты-Мансийск в 2013 году занимал первое место среди муниципальных образований Ханты-Мансийского автономного округа – Югры.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Наиболее распространенными видами экономической деятельности в сфере малого и среднего предпринимательства на территории города являются строительство (24,8%), оптовая и розничная торговля (17,6%), транспорт и связь (12,5%), гостиничный и ресторанный бизнес (12,0%), обрабатывающее производство (7,3%), операции с недвижимым имуществом, аренда и предоставление услуг (5,8%).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Действующая с 2008 года система поддержки малого и среднего бизнеса обеспечивает ежегодный рост объемов налоговых поступлений в местный бюджет, которые только за последние четыре года увеличились более чем в полтора раза (рис.19а).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Благодаря малому и среднему бизнесу ежегодно создается несколько сотен рабочих мест (рис.19б). Положительная тенденция сохраняется и в 2014 году: по итогам девяти месяцев создано 369 постоянных рабочих мест, что на 31 место больше, чем в аналогичный период предшествующего года.</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1362075"/>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1362075"/>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Рис.19а. Объемы налоговых поступлений в местный бюджет от субъектов малого и среднего предпринимательства, млн. руб.</w:t>
            </w:r>
          </w:p>
        </w:tc>
        <w:tc>
          <w:tcPr>
            <w:tcW w:w="4786" w:type="dxa"/>
          </w:tcPr>
          <w:p w:rsidR="005B0D7D" w:rsidRPr="005B0D7D" w:rsidRDefault="005B0D7D" w:rsidP="005B0D7D">
            <w:pPr>
              <w:spacing w:after="12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Рис.19б. Количество рабочих мест, созданных субъектами малого и среднего предпринимательства</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Все больше проявляется интерес предпринимателей к ведению социально-направленного бизнеса. О социальной активности малого предпринимательства свидетельствует то, что в последнее время в городе создано более 20 частных детских садов, около 10 различных детских студий, направленных на дополнительное образование детей дошкольного и школьного возраста.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Представители малого бизнеса города проявляют интерес и к экспортной деятельности. В частности, в декабре 2014 года Фонд «Центр поддержки экспорта </w:t>
      </w:r>
      <w:r w:rsidRPr="005B0D7D">
        <w:rPr>
          <w:rFonts w:ascii="Times New Roman" w:eastAsia="Batang" w:hAnsi="Times New Roman" w:cs="Times New Roman"/>
          <w:sz w:val="28"/>
          <w:szCs w:val="28"/>
          <w:lang w:eastAsia="ko-KR"/>
        </w:rPr>
        <w:lastRenderedPageBreak/>
        <w:t>Югры» организовал деловую миссию предпринимателей в Сингапур, где присутствовал</w:t>
      </w:r>
      <w:proofErr w:type="gramStart"/>
      <w:r w:rsidRPr="005B0D7D">
        <w:rPr>
          <w:rFonts w:ascii="Times New Roman" w:eastAsia="Batang" w:hAnsi="Times New Roman" w:cs="Times New Roman"/>
          <w:sz w:val="28"/>
          <w:szCs w:val="28"/>
          <w:lang w:eastAsia="ko-KR"/>
        </w:rPr>
        <w:t>о ООО</w:t>
      </w:r>
      <w:proofErr w:type="gramEnd"/>
      <w:r w:rsidRPr="005B0D7D">
        <w:rPr>
          <w:rFonts w:ascii="Times New Roman" w:eastAsia="Batang" w:hAnsi="Times New Roman" w:cs="Times New Roman"/>
          <w:sz w:val="28"/>
          <w:szCs w:val="28"/>
          <w:lang w:eastAsia="ko-KR"/>
        </w:rPr>
        <w:t xml:space="preserve"> «ОМ-ЛИГА» (город Ханты-Мансийск).</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26" w:name="_Toc410639476"/>
      <w:r w:rsidRPr="005B0D7D">
        <w:rPr>
          <w:rFonts w:ascii="Times New Roman" w:eastAsia="Batang" w:hAnsi="Times New Roman" w:cs="Times New Roman"/>
          <w:b/>
          <w:bCs/>
          <w:sz w:val="28"/>
          <w:szCs w:val="28"/>
          <w:lang w:eastAsia="ko-KR"/>
        </w:rPr>
        <w:t>3.2.5.6. Инновационная деятельность</w:t>
      </w:r>
      <w:bookmarkEnd w:id="126"/>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Инновационная сфера города Ханты-Мансийска представлена малыми инновационными предприятиями; хозяйствующими субъектами различных форм собственности, ведущими инновационную деятельность, а также высшими учебными заведениями и научными организациями города, осуществляющими научно-исследовательские и опытно-конструкторские разработки.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на базе Автономного учреждения Ханты-Мансийского автономного округа – Югры «Технопарк высоких технологий» осуществляли деятельность 102 малых инновационных предприятия, среди которых на потенциал города Ханты-Мансийска работали порядка 70%. При Югорском государственном университете функционировали 4 таких предприятия и одно предприятие – при Ханты-Мансийской государственной медицинской академии. В 2014 году насчитывалось 123 малых инновационных предприятия.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За 2010-2013 годы количество инновационных компаний – резидентов Технопарка – увеличилось в 3,8 раза. Объем реализованной продукции возрос в 9,9 раз и составил 1 184,3 млн. рублей. Уровень коммерциализации проектов резидентов Технопарка повысился с 30% до 44%. На базе малых инновационных предприятий создано 534 рабочих места, что в 4,5 раза выше уровня 2010 года.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2014 году по всем обозначенным показателям сохраняется позитивная тенденция: реализовано продукции на 1 300 млн. руб., </w:t>
      </w:r>
      <w:proofErr w:type="spellStart"/>
      <w:r w:rsidRPr="005B0D7D">
        <w:rPr>
          <w:rFonts w:ascii="Times New Roman" w:eastAsia="Batang" w:hAnsi="Times New Roman" w:cs="Times New Roman"/>
          <w:sz w:val="28"/>
          <w:szCs w:val="28"/>
          <w:lang w:eastAsia="ko-KR"/>
        </w:rPr>
        <w:t>коммерциализировано</w:t>
      </w:r>
      <w:proofErr w:type="spellEnd"/>
      <w:r w:rsidRPr="005B0D7D">
        <w:rPr>
          <w:rFonts w:ascii="Times New Roman" w:eastAsia="Batang" w:hAnsi="Times New Roman" w:cs="Times New Roman"/>
          <w:sz w:val="28"/>
          <w:szCs w:val="28"/>
          <w:lang w:eastAsia="ko-KR"/>
        </w:rPr>
        <w:t xml:space="preserve"> 52% проектов, создано 584 рабочих места.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резидентами Технопарка было подано 7 заявок на патенты (в 2010 году – 5 заявок, в 2011 году – 10 заявок, в 2012 году – 13 заявок). Получено 13 патентов (в 2010 году – 0, в 2011 году – 6, в 2012 году – 10). В 2014 году подано 12 заявок и получено 14 патентов.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На сегодняшний день в городе Ханты-Мансийске спрос на инновационную продукцию формируют в основном предприятия коммунальной инфраструктуры (в частности, Муниципальное </w:t>
      </w:r>
      <w:proofErr w:type="spellStart"/>
      <w:r w:rsidRPr="005B0D7D">
        <w:rPr>
          <w:rFonts w:ascii="Times New Roman" w:eastAsia="Batang" w:hAnsi="Times New Roman" w:cs="Times New Roman"/>
          <w:sz w:val="28"/>
          <w:szCs w:val="28"/>
          <w:lang w:eastAsia="ko-KR"/>
        </w:rPr>
        <w:t>водоканализационное</w:t>
      </w:r>
      <w:proofErr w:type="spellEnd"/>
      <w:r w:rsidRPr="005B0D7D">
        <w:rPr>
          <w:rFonts w:ascii="Times New Roman" w:eastAsia="Batang" w:hAnsi="Times New Roman" w:cs="Times New Roman"/>
          <w:sz w:val="28"/>
          <w:szCs w:val="28"/>
          <w:lang w:eastAsia="ko-KR"/>
        </w:rPr>
        <w:t xml:space="preserve"> предприятие) и предприятия связи. Так, в сфере связи в настоящее время внедряется цифровое телевидение, строится инфраструктура сети 4</w:t>
      </w:r>
      <w:r w:rsidRPr="005B0D7D">
        <w:rPr>
          <w:rFonts w:ascii="Times New Roman" w:eastAsia="Batang" w:hAnsi="Times New Roman" w:cs="Times New Roman"/>
          <w:sz w:val="28"/>
          <w:szCs w:val="28"/>
          <w:lang w:val="en-US" w:eastAsia="ko-KR"/>
        </w:rPr>
        <w:t>G</w:t>
      </w:r>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наращивание объемов и результативности деятельности инновационных предприятий создает условия для постепенного перехода экономики города на инновационный путь развития.</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127" w:name="_Toc392143768"/>
      <w:bookmarkStart w:id="128" w:name="_Toc392622947"/>
      <w:bookmarkStart w:id="129" w:name="_Toc395506390"/>
      <w:bookmarkStart w:id="130" w:name="_Toc404211531"/>
      <w:bookmarkStart w:id="131" w:name="_Toc404218165"/>
      <w:bookmarkStart w:id="132" w:name="_Toc410639477"/>
      <w:bookmarkStart w:id="133" w:name="_Toc392143744"/>
      <w:bookmarkStart w:id="134" w:name="_Toc392622927"/>
      <w:bookmarkStart w:id="135" w:name="_Toc395506369"/>
      <w:bookmarkStart w:id="136" w:name="_Toc404211517"/>
      <w:bookmarkStart w:id="137" w:name="_Toc404218151"/>
      <w:bookmarkEnd w:id="119"/>
      <w:bookmarkEnd w:id="120"/>
      <w:r w:rsidRPr="005B0D7D">
        <w:rPr>
          <w:rFonts w:ascii="Times New Roman" w:eastAsia="Batang" w:hAnsi="Times New Roman" w:cs="Times New Roman"/>
          <w:b/>
          <w:bCs/>
          <w:sz w:val="28"/>
          <w:szCs w:val="28"/>
          <w:lang w:eastAsia="ko-KR"/>
        </w:rPr>
        <w:t xml:space="preserve">3.2.6. </w:t>
      </w:r>
      <w:bookmarkEnd w:id="127"/>
      <w:bookmarkEnd w:id="128"/>
      <w:bookmarkEnd w:id="129"/>
      <w:bookmarkEnd w:id="130"/>
      <w:bookmarkEnd w:id="131"/>
      <w:r w:rsidRPr="005B0D7D">
        <w:rPr>
          <w:rFonts w:ascii="Times New Roman" w:eastAsia="Batang" w:hAnsi="Times New Roman" w:cs="Times New Roman"/>
          <w:b/>
          <w:bCs/>
          <w:sz w:val="28"/>
          <w:szCs w:val="28"/>
          <w:lang w:eastAsia="ko-KR"/>
        </w:rPr>
        <w:t>Развитие инфраструктурного сектора</w:t>
      </w:r>
      <w:bookmarkEnd w:id="132"/>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38" w:name="_Toc392143770"/>
      <w:bookmarkStart w:id="139" w:name="_Toc392622949"/>
      <w:bookmarkStart w:id="140" w:name="_Toc395506392"/>
      <w:bookmarkStart w:id="141" w:name="_Toc410639478"/>
      <w:r w:rsidRPr="005B0D7D">
        <w:rPr>
          <w:rFonts w:ascii="Times New Roman" w:eastAsia="Batang" w:hAnsi="Times New Roman" w:cs="Times New Roman"/>
          <w:b/>
          <w:bCs/>
          <w:sz w:val="28"/>
          <w:szCs w:val="28"/>
          <w:lang w:eastAsia="ko-KR"/>
        </w:rPr>
        <w:t>3.2.6.1. Транспортное обслуживание</w:t>
      </w:r>
      <w:bookmarkEnd w:id="138"/>
      <w:bookmarkEnd w:id="139"/>
      <w:bookmarkEnd w:id="140"/>
      <w:bookmarkEnd w:id="141"/>
    </w:p>
    <w:p w:rsidR="005B0D7D" w:rsidRPr="005B0D7D" w:rsidRDefault="005B0D7D" w:rsidP="005B0D7D">
      <w:pPr>
        <w:spacing w:after="0" w:line="240" w:lineRule="auto"/>
        <w:ind w:right="-20"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 территории города Ханты-Мансийска осуществляет перевозку пассажиров и грузов автомобильный, речной и воздушный транспорт.</w:t>
      </w:r>
    </w:p>
    <w:p w:rsidR="005B0D7D" w:rsidRPr="005B0D7D" w:rsidRDefault="005B0D7D" w:rsidP="005B0D7D">
      <w:pPr>
        <w:spacing w:before="120" w:after="0" w:line="240" w:lineRule="auto"/>
        <w:ind w:right="-23" w:firstLine="709"/>
        <w:jc w:val="both"/>
        <w:rPr>
          <w:rFonts w:ascii="Times New Roman" w:eastAsia="Batang" w:hAnsi="Times New Roman" w:cs="Times New Roman"/>
          <w:i/>
          <w:sz w:val="28"/>
          <w:szCs w:val="28"/>
          <w:lang w:eastAsia="ko-KR"/>
        </w:rPr>
      </w:pPr>
      <w:r w:rsidRPr="005B0D7D">
        <w:rPr>
          <w:rFonts w:ascii="Times New Roman" w:eastAsia="Batang" w:hAnsi="Times New Roman" w:cs="Times New Roman"/>
          <w:i/>
          <w:sz w:val="28"/>
          <w:szCs w:val="28"/>
          <w:lang w:eastAsia="ko-KR"/>
        </w:rPr>
        <w:t>Автомобильный транспорт</w:t>
      </w:r>
    </w:p>
    <w:p w:rsidR="005B0D7D" w:rsidRPr="005B0D7D" w:rsidRDefault="005B0D7D" w:rsidP="005B0D7D">
      <w:pPr>
        <w:spacing w:after="120" w:line="240" w:lineRule="auto"/>
        <w:ind w:right="-23"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За трехлетний период наблюдается незначительное снижение объема пассажирских перевозок автомобильным транспортом; пассажирооборот имеет </w:t>
      </w:r>
      <w:r w:rsidRPr="005B0D7D">
        <w:rPr>
          <w:rFonts w:ascii="Times New Roman" w:eastAsia="Batang" w:hAnsi="Times New Roman" w:cs="Times New Roman"/>
          <w:sz w:val="28"/>
          <w:szCs w:val="28"/>
          <w:lang w:eastAsia="ko-KR"/>
        </w:rPr>
        <w:lastRenderedPageBreak/>
        <w:t>неустойчивую динамику, но в целом также снижается (рис.20а и 20б). Это связано с широким распространением личного автотранспорта.</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533650" cy="1981200"/>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28925" cy="1981200"/>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Рис.20а. Объем пассажирских перевозок общественным транспортом, человек</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 xml:space="preserve">Рис.20б. Пассажирооборот, тыс. </w:t>
            </w:r>
            <w:proofErr w:type="spellStart"/>
            <w:r w:rsidRPr="005B0D7D">
              <w:rPr>
                <w:rFonts w:ascii="Times New Roman" w:eastAsia="Batang" w:hAnsi="Times New Roman" w:cs="Times New Roman"/>
                <w:b/>
                <w:sz w:val="24"/>
                <w:szCs w:val="24"/>
                <w:lang w:eastAsia="ko-KR"/>
              </w:rPr>
              <w:t>пассажирокилометров</w:t>
            </w:r>
            <w:proofErr w:type="spellEnd"/>
          </w:p>
        </w:tc>
      </w:tr>
    </w:tbl>
    <w:p w:rsidR="005B0D7D" w:rsidRPr="005B0D7D" w:rsidRDefault="005B0D7D" w:rsidP="005B0D7D">
      <w:pPr>
        <w:spacing w:after="0" w:line="240" w:lineRule="auto"/>
        <w:ind w:right="-20"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Пассажирские перевозки в городе осуществляет ОАО «Ханты-Мансийское автотранспортное предприятие», а также индивидуальные предприниматели. </w:t>
      </w:r>
    </w:p>
    <w:p w:rsidR="005B0D7D" w:rsidRPr="005B0D7D" w:rsidRDefault="005B0D7D" w:rsidP="005B0D7D">
      <w:pPr>
        <w:spacing w:after="120" w:line="240" w:lineRule="auto"/>
        <w:ind w:right="-23"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наблюдается заметное снижение объемов перевозок грузов и грузооборота (рис.21а и 21б).</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533650" cy="1562100"/>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19400" cy="1562100"/>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Рис.21а. Объем перевозок грузов, человек</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 xml:space="preserve">Рис.21б. Грузооборот, тыс. </w:t>
            </w:r>
            <w:proofErr w:type="spellStart"/>
            <w:r w:rsidRPr="005B0D7D">
              <w:rPr>
                <w:rFonts w:ascii="Times New Roman" w:eastAsia="Batang" w:hAnsi="Times New Roman" w:cs="Times New Roman"/>
                <w:b/>
                <w:sz w:val="24"/>
                <w:szCs w:val="24"/>
                <w:lang w:eastAsia="ko-KR"/>
              </w:rPr>
              <w:t>тонно</w:t>
            </w:r>
            <w:proofErr w:type="spellEnd"/>
            <w:r w:rsidRPr="005B0D7D">
              <w:rPr>
                <w:rFonts w:ascii="Times New Roman" w:eastAsia="Batang" w:hAnsi="Times New Roman" w:cs="Times New Roman"/>
                <w:b/>
                <w:sz w:val="24"/>
                <w:szCs w:val="24"/>
                <w:lang w:eastAsia="ko-KR"/>
              </w:rPr>
              <w:t>-км</w:t>
            </w:r>
          </w:p>
        </w:tc>
      </w:tr>
    </w:tbl>
    <w:p w:rsidR="005B0D7D" w:rsidRPr="005B0D7D" w:rsidRDefault="005B0D7D" w:rsidP="005B0D7D">
      <w:pPr>
        <w:spacing w:after="0" w:line="240" w:lineRule="auto"/>
        <w:ind w:right="-20"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последние годы наблюдается рост числа личного автомобильного транспорта. В 2011 году в собственности граждан насчитывалось 23 247 транспортных средств, в 2012 году – 24 305 единиц, в 2013 году – 32 619 единиц. Расширение пользования личным автотранспортом, с одной стороны, свидетельствует о росте уровня жизни населения, а с другой, создает пробки на дорогах и ухудшает экологическую ситуацию. </w:t>
      </w:r>
    </w:p>
    <w:p w:rsidR="005B0D7D" w:rsidRPr="005B0D7D" w:rsidRDefault="005B0D7D" w:rsidP="005B0D7D">
      <w:pPr>
        <w:spacing w:before="120" w:after="0" w:line="240" w:lineRule="auto"/>
        <w:ind w:right="-23" w:firstLine="709"/>
        <w:jc w:val="both"/>
        <w:rPr>
          <w:rFonts w:ascii="Times New Roman" w:eastAsia="Batang" w:hAnsi="Times New Roman" w:cs="Times New Roman"/>
          <w:i/>
          <w:sz w:val="28"/>
          <w:szCs w:val="28"/>
          <w:lang w:eastAsia="ko-KR"/>
        </w:rPr>
      </w:pPr>
      <w:r w:rsidRPr="005B0D7D">
        <w:rPr>
          <w:rFonts w:ascii="Times New Roman" w:eastAsia="Batang" w:hAnsi="Times New Roman" w:cs="Times New Roman"/>
          <w:i/>
          <w:sz w:val="28"/>
          <w:szCs w:val="28"/>
          <w:lang w:eastAsia="ko-KR"/>
        </w:rPr>
        <w:t>Водный транспорт</w:t>
      </w:r>
    </w:p>
    <w:p w:rsidR="005B0D7D" w:rsidRPr="005B0D7D" w:rsidRDefault="005B0D7D" w:rsidP="005B0D7D">
      <w:pPr>
        <w:spacing w:after="0" w:line="240" w:lineRule="auto"/>
        <w:ind w:right="-20"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Перевозка пассажиров и грузов речным транспортом осуществляется двумя предприятиями: ОАО «</w:t>
      </w:r>
      <w:proofErr w:type="spellStart"/>
      <w:r w:rsidRPr="005B0D7D">
        <w:rPr>
          <w:rFonts w:ascii="Times New Roman" w:eastAsia="Batang" w:hAnsi="Times New Roman" w:cs="Times New Roman"/>
          <w:sz w:val="28"/>
          <w:szCs w:val="28"/>
          <w:lang w:eastAsia="ko-KR"/>
        </w:rPr>
        <w:t>Северречфлот</w:t>
      </w:r>
      <w:proofErr w:type="spellEnd"/>
      <w:r w:rsidRPr="005B0D7D">
        <w:rPr>
          <w:rFonts w:ascii="Times New Roman" w:eastAsia="Batang" w:hAnsi="Times New Roman" w:cs="Times New Roman"/>
          <w:sz w:val="28"/>
          <w:szCs w:val="28"/>
          <w:lang w:eastAsia="ko-KR"/>
        </w:rPr>
        <w:t>», ОАО «</w:t>
      </w:r>
      <w:proofErr w:type="gramStart"/>
      <w:r w:rsidRPr="005B0D7D">
        <w:rPr>
          <w:rFonts w:ascii="Times New Roman" w:eastAsia="Batang" w:hAnsi="Times New Roman" w:cs="Times New Roman"/>
          <w:sz w:val="28"/>
          <w:szCs w:val="28"/>
          <w:lang w:eastAsia="ko-KR"/>
        </w:rPr>
        <w:t>Обь-Иртышское</w:t>
      </w:r>
      <w:proofErr w:type="gramEnd"/>
      <w:r w:rsidRPr="005B0D7D">
        <w:rPr>
          <w:rFonts w:ascii="Times New Roman" w:eastAsia="Batang" w:hAnsi="Times New Roman" w:cs="Times New Roman"/>
          <w:sz w:val="28"/>
          <w:szCs w:val="28"/>
          <w:lang w:eastAsia="ko-KR"/>
        </w:rPr>
        <w:t xml:space="preserve"> речное пароходство». ОАО «</w:t>
      </w:r>
      <w:proofErr w:type="spellStart"/>
      <w:r w:rsidRPr="005B0D7D">
        <w:rPr>
          <w:rFonts w:ascii="Times New Roman" w:eastAsia="Batang" w:hAnsi="Times New Roman" w:cs="Times New Roman"/>
          <w:sz w:val="28"/>
          <w:szCs w:val="28"/>
          <w:lang w:eastAsia="ko-KR"/>
        </w:rPr>
        <w:t>Северречфлот</w:t>
      </w:r>
      <w:proofErr w:type="spellEnd"/>
      <w:r w:rsidRPr="005B0D7D">
        <w:rPr>
          <w:rFonts w:ascii="Times New Roman" w:eastAsia="Batang" w:hAnsi="Times New Roman" w:cs="Times New Roman"/>
          <w:sz w:val="28"/>
          <w:szCs w:val="28"/>
          <w:lang w:eastAsia="ko-KR"/>
        </w:rPr>
        <w:t xml:space="preserve">» обслуживает грузовые и пассажирские перевозки на 35 пассажирских маршрутах общей протяженностью пассажирских линий </w:t>
      </w:r>
      <w:smartTag w:uri="urn:schemas-microsoft-com:office:smarttags" w:element="metricconverter">
        <w:smartTagPr>
          <w:attr w:name="ProductID" w:val="8 178 км"/>
        </w:smartTagPr>
        <w:r w:rsidRPr="005B0D7D">
          <w:rPr>
            <w:rFonts w:ascii="Times New Roman" w:eastAsia="Batang" w:hAnsi="Times New Roman" w:cs="Times New Roman"/>
            <w:sz w:val="28"/>
            <w:szCs w:val="28"/>
            <w:lang w:eastAsia="ko-KR"/>
          </w:rPr>
          <w:t>8 178 км</w:t>
        </w:r>
      </w:smartTag>
      <w:r w:rsidRPr="005B0D7D">
        <w:rPr>
          <w:rFonts w:ascii="Times New Roman" w:eastAsia="Batang" w:hAnsi="Times New Roman" w:cs="Times New Roman"/>
          <w:sz w:val="28"/>
          <w:szCs w:val="28"/>
          <w:lang w:eastAsia="ko-KR"/>
        </w:rPr>
        <w:t>. В 2013 году с начала навигационного периода перевезено 224,8 тыс. т грузов (песок крупнозернистый, щебень, дизтопливо). Переработано 757,8 тыс. т грузов. Перевезено 306 000 пассажиров, при этом было выполнено 6 829 пассажирских рейсов. Компанией «</w:t>
      </w:r>
      <w:proofErr w:type="gramStart"/>
      <w:r w:rsidRPr="005B0D7D">
        <w:rPr>
          <w:rFonts w:ascii="Times New Roman" w:eastAsia="Batang" w:hAnsi="Times New Roman" w:cs="Times New Roman"/>
          <w:sz w:val="28"/>
          <w:szCs w:val="28"/>
          <w:lang w:eastAsia="ko-KR"/>
        </w:rPr>
        <w:t>Обь-Иртышское</w:t>
      </w:r>
      <w:proofErr w:type="gramEnd"/>
      <w:r w:rsidRPr="005B0D7D">
        <w:rPr>
          <w:rFonts w:ascii="Times New Roman" w:eastAsia="Batang" w:hAnsi="Times New Roman" w:cs="Times New Roman"/>
          <w:sz w:val="28"/>
          <w:szCs w:val="28"/>
          <w:lang w:eastAsia="ko-KR"/>
        </w:rPr>
        <w:t xml:space="preserve"> речное пароходство» перевезено 28 400 пассажиров на дачных линиях.</w:t>
      </w:r>
    </w:p>
    <w:p w:rsidR="005B0D7D" w:rsidRPr="005B0D7D" w:rsidRDefault="005B0D7D" w:rsidP="005B0D7D">
      <w:pPr>
        <w:spacing w:before="120" w:after="0" w:line="240" w:lineRule="auto"/>
        <w:ind w:right="-23" w:firstLine="709"/>
        <w:jc w:val="both"/>
        <w:rPr>
          <w:rFonts w:ascii="Times New Roman" w:eastAsia="Batang" w:hAnsi="Times New Roman" w:cs="Times New Roman"/>
          <w:i/>
          <w:sz w:val="28"/>
          <w:szCs w:val="28"/>
          <w:lang w:eastAsia="ko-KR"/>
        </w:rPr>
      </w:pPr>
      <w:r w:rsidRPr="005B0D7D">
        <w:rPr>
          <w:rFonts w:ascii="Times New Roman" w:eastAsia="Batang" w:hAnsi="Times New Roman" w:cs="Times New Roman"/>
          <w:i/>
          <w:sz w:val="28"/>
          <w:szCs w:val="28"/>
          <w:lang w:eastAsia="ko-KR"/>
        </w:rPr>
        <w:lastRenderedPageBreak/>
        <w:t>Воздушный транспорт</w:t>
      </w:r>
    </w:p>
    <w:p w:rsidR="005B0D7D" w:rsidRPr="005B0D7D" w:rsidRDefault="005B0D7D" w:rsidP="005B0D7D">
      <w:pPr>
        <w:spacing w:after="0" w:line="240" w:lineRule="auto"/>
        <w:ind w:right="-20"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Пропускная способность аэровокзального комплекса составляет до 300 пассажиров в час. В 2013 году из аэропорта отправлено 146,2 тыс. пассажиров и 259,8 т грузов. С учетом всех выполненных рейсов (прилетов, отлетов, транзитов) в 2013 году перевезено 281 256 тыс. пассажиров и 1 246,0 т грузов.</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42" w:name="_Toc392622951"/>
      <w:bookmarkStart w:id="143" w:name="_Toc395506394"/>
      <w:bookmarkStart w:id="144" w:name="_Toc404211532"/>
      <w:bookmarkStart w:id="145" w:name="_Toc404218166"/>
      <w:bookmarkStart w:id="146" w:name="_Toc410639479"/>
      <w:bookmarkStart w:id="147" w:name="_Toc392143772"/>
      <w:bookmarkStart w:id="148" w:name="_Toc392143771"/>
      <w:bookmarkStart w:id="149" w:name="_Toc392622950"/>
      <w:bookmarkStart w:id="150" w:name="_Toc395506393"/>
      <w:r w:rsidRPr="005B0D7D">
        <w:rPr>
          <w:rFonts w:ascii="Times New Roman" w:eastAsia="Batang" w:hAnsi="Times New Roman" w:cs="Times New Roman"/>
          <w:b/>
          <w:bCs/>
          <w:sz w:val="28"/>
          <w:szCs w:val="28"/>
          <w:lang w:eastAsia="ko-KR"/>
        </w:rPr>
        <w:t>3.2.6.2.Инженерное оборудование территории</w:t>
      </w:r>
      <w:bookmarkEnd w:id="142"/>
      <w:bookmarkEnd w:id="143"/>
      <w:bookmarkEnd w:id="144"/>
      <w:bookmarkEnd w:id="145"/>
      <w:bookmarkEnd w:id="146"/>
    </w:p>
    <w:p w:rsidR="005B0D7D" w:rsidRPr="005B0D7D" w:rsidRDefault="005B0D7D" w:rsidP="005B0D7D">
      <w:pPr>
        <w:spacing w:after="0" w:line="240" w:lineRule="auto"/>
        <w:ind w:firstLine="720"/>
        <w:jc w:val="both"/>
        <w:rPr>
          <w:rFonts w:ascii="Times New Roman" w:eastAsia="Batang" w:hAnsi="Times New Roman" w:cs="Times New Roman"/>
          <w:sz w:val="28"/>
          <w:szCs w:val="28"/>
          <w:u w:val="single"/>
          <w:lang w:eastAsia="ru-RU"/>
        </w:rPr>
      </w:pPr>
      <w:r w:rsidRPr="005B0D7D">
        <w:rPr>
          <w:rFonts w:ascii="Times New Roman" w:eastAsia="Batang" w:hAnsi="Times New Roman" w:cs="Times New Roman"/>
          <w:i/>
          <w:sz w:val="28"/>
          <w:szCs w:val="28"/>
          <w:lang w:eastAsia="ru-RU"/>
        </w:rPr>
        <w:t>Теплоснабжение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Протяженность тепловых сетей за последние три года увеличилась в 1,2 раза и составила </w:t>
      </w:r>
      <w:smartTag w:uri="urn:schemas-microsoft-com:office:smarttags" w:element="metricconverter">
        <w:smartTagPr>
          <w:attr w:name="ProductID" w:val="143,7 км"/>
        </w:smartTagPr>
        <w:r w:rsidRPr="005B0D7D">
          <w:rPr>
            <w:rFonts w:ascii="Times New Roman" w:eastAsia="Batang" w:hAnsi="Times New Roman" w:cs="Times New Roman"/>
            <w:sz w:val="28"/>
            <w:szCs w:val="28"/>
            <w:lang w:eastAsia="ru-RU"/>
          </w:rPr>
          <w:t>143,7 км</w:t>
        </w:r>
      </w:smartTag>
      <w:r w:rsidRPr="005B0D7D">
        <w:rPr>
          <w:rFonts w:ascii="Times New Roman" w:eastAsia="Batang" w:hAnsi="Times New Roman" w:cs="Times New Roman"/>
          <w:sz w:val="28"/>
          <w:szCs w:val="28"/>
          <w:lang w:eastAsia="ru-RU"/>
        </w:rPr>
        <w:t xml:space="preserve">. В то же время протяженность сетей, нуждающихся в замене, выросла в 2,1 раза (рис.22). </w:t>
      </w:r>
    </w:p>
    <w:tbl>
      <w:tblPr>
        <w:tblW w:w="0" w:type="auto"/>
        <w:jc w:val="center"/>
        <w:tblLook w:val="00A0" w:firstRow="1" w:lastRow="0" w:firstColumn="1" w:lastColumn="0" w:noHBand="0" w:noVBand="0"/>
      </w:tblPr>
      <w:tblGrid>
        <w:gridCol w:w="7701"/>
      </w:tblGrid>
      <w:tr w:rsidR="005B0D7D" w:rsidRPr="005B0D7D" w:rsidTr="005B0D7D">
        <w:trPr>
          <w:cantSplit/>
          <w:jc w:val="center"/>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4752975" cy="1543050"/>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5B0D7D" w:rsidRPr="005B0D7D" w:rsidTr="005B0D7D">
        <w:trPr>
          <w:cantSplit/>
          <w:jc w:val="center"/>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 xml:space="preserve">Рис.22. Протяженность тепловых сетей в двухтрубном исчислении, в том числе нуждающихся в замене, </w:t>
            </w:r>
            <w:proofErr w:type="gramStart"/>
            <w:r w:rsidRPr="005B0D7D">
              <w:rPr>
                <w:rFonts w:ascii="Times New Roman" w:eastAsia="Batang" w:hAnsi="Times New Roman" w:cs="Times New Roman"/>
                <w:b/>
                <w:sz w:val="24"/>
                <w:szCs w:val="24"/>
                <w:lang w:eastAsia="ko-KR"/>
              </w:rPr>
              <w:t>км</w:t>
            </w:r>
            <w:proofErr w:type="gramEnd"/>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Центральным отоплением оборудовано 89,8% площади домохозяйств (2012 год – 78,6%).</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 2013 году конечным потребителям было отпущено 415,436 тыс. Гкал тепловой энергии, что на 5% выше уровня 2012 года. Потери тепловой энергии в сетях составили 88,226 Гкал.</w:t>
      </w:r>
    </w:p>
    <w:p w:rsidR="005B0D7D" w:rsidRPr="005B0D7D" w:rsidRDefault="005B0D7D" w:rsidP="005B0D7D">
      <w:pPr>
        <w:spacing w:before="120" w:after="0" w:line="240" w:lineRule="auto"/>
        <w:ind w:firstLine="720"/>
        <w:jc w:val="both"/>
        <w:rPr>
          <w:rFonts w:ascii="Times New Roman" w:eastAsia="Batang" w:hAnsi="Times New Roman" w:cs="Times New Roman"/>
          <w:i/>
          <w:sz w:val="28"/>
          <w:szCs w:val="28"/>
          <w:lang w:eastAsia="ru-RU"/>
        </w:rPr>
      </w:pPr>
      <w:r w:rsidRPr="005B0D7D">
        <w:rPr>
          <w:rFonts w:ascii="Times New Roman" w:eastAsia="Batang" w:hAnsi="Times New Roman" w:cs="Times New Roman"/>
          <w:i/>
          <w:sz w:val="28"/>
          <w:szCs w:val="28"/>
          <w:lang w:eastAsia="ru-RU"/>
        </w:rPr>
        <w:t>Водоснабжение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 2013 году протяженность водопроводных сетей составила 140,3 км (рис.23).</w:t>
      </w:r>
      <w:r w:rsidRPr="005B0D7D">
        <w:rPr>
          <w:rFonts w:ascii="Times New Roman" w:eastAsia="Batang" w:hAnsi="Times New Roman" w:cs="Times New Roman"/>
          <w:sz w:val="28"/>
          <w:szCs w:val="28"/>
          <w:lang w:eastAsia="ko-KR"/>
        </w:rPr>
        <w:t xml:space="preserve"> 80% водопроводных сетей заменено </w:t>
      </w:r>
      <w:proofErr w:type="gramStart"/>
      <w:r w:rsidRPr="005B0D7D">
        <w:rPr>
          <w:rFonts w:ascii="Times New Roman" w:eastAsia="Batang" w:hAnsi="Times New Roman" w:cs="Times New Roman"/>
          <w:sz w:val="28"/>
          <w:szCs w:val="28"/>
          <w:lang w:eastAsia="ko-KR"/>
        </w:rPr>
        <w:t>на</w:t>
      </w:r>
      <w:proofErr w:type="gramEnd"/>
      <w:r w:rsidRPr="005B0D7D">
        <w:rPr>
          <w:rFonts w:ascii="Times New Roman" w:eastAsia="Batang" w:hAnsi="Times New Roman" w:cs="Times New Roman"/>
          <w:sz w:val="28"/>
          <w:szCs w:val="28"/>
          <w:lang w:eastAsia="ko-KR"/>
        </w:rPr>
        <w:t xml:space="preserve"> полиэтиленовые. </w:t>
      </w:r>
      <w:r w:rsidRPr="005B0D7D">
        <w:rPr>
          <w:rFonts w:ascii="Times New Roman" w:eastAsia="Batang" w:hAnsi="Times New Roman" w:cs="Times New Roman"/>
          <w:sz w:val="28"/>
          <w:szCs w:val="28"/>
          <w:lang w:eastAsia="ru-RU"/>
        </w:rPr>
        <w:t xml:space="preserve">В 2013 году произведена замена </w:t>
      </w:r>
      <w:smartTag w:uri="urn:schemas-microsoft-com:office:smarttags" w:element="metricconverter">
        <w:smartTagPr>
          <w:attr w:name="ProductID" w:val="3,4 км"/>
        </w:smartTagPr>
        <w:r w:rsidRPr="005B0D7D">
          <w:rPr>
            <w:rFonts w:ascii="Times New Roman" w:eastAsia="Batang" w:hAnsi="Times New Roman" w:cs="Times New Roman"/>
            <w:sz w:val="28"/>
            <w:szCs w:val="28"/>
            <w:lang w:eastAsia="ru-RU"/>
          </w:rPr>
          <w:t>3,4 км</w:t>
        </w:r>
      </w:smartTag>
      <w:r w:rsidRPr="005B0D7D">
        <w:rPr>
          <w:rFonts w:ascii="Times New Roman" w:eastAsia="Batang" w:hAnsi="Times New Roman" w:cs="Times New Roman"/>
          <w:sz w:val="28"/>
          <w:szCs w:val="28"/>
          <w:lang w:eastAsia="ru-RU"/>
        </w:rPr>
        <w:t xml:space="preserve"> ветхих и аварийных сетей, что составляет 2,4% от их общей протяженности.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Централизованным водоснабжением обеспечено 88,8% домохозяйств. Общий объем воды, отпущенный всем потребителям, в 2013 году составил 5 490,3 тыс. куб. м, или 14,8 тыс. куб. м в сутки, что превышает плановые показатели водоснабжения на 4,7%. В сравнении с 2012 годом объем подачи воды увеличился на 3,9%. Из этого объема населению было отпущено 51,7% воды.</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Доля потерь воды в жилищно-коммунальном хозяйстве составляет 12,83%, что существенно ниже среднероссийского показателя аналогичного периода (22,7%). Доля проб воды для коммунального водоснабжения, не соответствующих санитарным нормам питьевой воды, составляет 1,59% (в среднем по России – 7%).</w:t>
      </w:r>
    </w:p>
    <w:tbl>
      <w:tblPr>
        <w:tblW w:w="0" w:type="auto"/>
        <w:jc w:val="center"/>
        <w:tblLook w:val="00A0" w:firstRow="1" w:lastRow="0" w:firstColumn="1" w:lastColumn="0" w:noHBand="0" w:noVBand="0"/>
      </w:tblPr>
      <w:tblGrid>
        <w:gridCol w:w="8196"/>
      </w:tblGrid>
      <w:tr w:rsidR="005B0D7D" w:rsidRPr="005B0D7D" w:rsidTr="005B0D7D">
        <w:trPr>
          <w:cantSplit/>
          <w:jc w:val="center"/>
        </w:trPr>
        <w:tc>
          <w:tcPr>
            <w:tcW w:w="819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lastRenderedPageBreak/>
              <w:drawing>
                <wp:inline distT="0" distB="0" distL="0" distR="0">
                  <wp:extent cx="5067300" cy="1647825"/>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5B0D7D" w:rsidRPr="005B0D7D" w:rsidTr="005B0D7D">
        <w:trPr>
          <w:cantSplit/>
          <w:jc w:val="center"/>
        </w:trPr>
        <w:tc>
          <w:tcPr>
            <w:tcW w:w="819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 xml:space="preserve">Рис.23. Одиночное протяжение уличной водопроводной сети, в том числе нуждающейся в замене, </w:t>
            </w:r>
            <w:proofErr w:type="gramStart"/>
            <w:r w:rsidRPr="005B0D7D">
              <w:rPr>
                <w:rFonts w:ascii="Times New Roman" w:eastAsia="Batang" w:hAnsi="Times New Roman" w:cs="Times New Roman"/>
                <w:b/>
                <w:sz w:val="24"/>
                <w:szCs w:val="24"/>
                <w:lang w:eastAsia="ko-KR"/>
              </w:rPr>
              <w:t>км</w:t>
            </w:r>
            <w:proofErr w:type="gramEnd"/>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u w:val="single"/>
          <w:lang w:eastAsia="ru-RU"/>
        </w:rPr>
      </w:pPr>
    </w:p>
    <w:p w:rsidR="005B0D7D" w:rsidRPr="005B0D7D" w:rsidRDefault="005B0D7D" w:rsidP="005B0D7D">
      <w:pPr>
        <w:spacing w:before="120" w:after="0" w:line="240" w:lineRule="auto"/>
        <w:ind w:firstLine="720"/>
        <w:jc w:val="both"/>
        <w:rPr>
          <w:rFonts w:ascii="Times New Roman" w:eastAsia="Batang" w:hAnsi="Times New Roman" w:cs="Times New Roman"/>
          <w:i/>
          <w:sz w:val="28"/>
          <w:szCs w:val="28"/>
          <w:lang w:eastAsia="ru-RU"/>
        </w:rPr>
      </w:pPr>
      <w:r w:rsidRPr="005B0D7D">
        <w:rPr>
          <w:rFonts w:ascii="Times New Roman" w:eastAsia="Batang" w:hAnsi="Times New Roman" w:cs="Times New Roman"/>
          <w:i/>
          <w:sz w:val="28"/>
          <w:szCs w:val="28"/>
          <w:lang w:eastAsia="ru-RU"/>
        </w:rPr>
        <w:t>Водоотведение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Протяженность сетей водоотведения составляет </w:t>
      </w:r>
      <w:smartTag w:uri="urn:schemas-microsoft-com:office:smarttags" w:element="metricconverter">
        <w:smartTagPr>
          <w:attr w:name="ProductID" w:val="102,7 км"/>
        </w:smartTagPr>
        <w:r w:rsidRPr="005B0D7D">
          <w:rPr>
            <w:rFonts w:ascii="Times New Roman" w:eastAsia="Batang" w:hAnsi="Times New Roman" w:cs="Times New Roman"/>
            <w:sz w:val="28"/>
            <w:szCs w:val="28"/>
            <w:lang w:eastAsia="ru-RU"/>
          </w:rPr>
          <w:t>102,7 км</w:t>
        </w:r>
      </w:smartTag>
      <w:r w:rsidRPr="005B0D7D">
        <w:rPr>
          <w:rFonts w:ascii="Times New Roman" w:eastAsia="Batang" w:hAnsi="Times New Roman" w:cs="Times New Roman"/>
          <w:sz w:val="28"/>
          <w:szCs w:val="28"/>
          <w:lang w:eastAsia="ru-RU"/>
        </w:rPr>
        <w:t xml:space="preserve">, в том числе </w:t>
      </w:r>
      <w:smartTag w:uri="urn:schemas-microsoft-com:office:smarttags" w:element="metricconverter">
        <w:smartTagPr>
          <w:attr w:name="ProductID" w:val="2,2 км"/>
        </w:smartTagPr>
        <w:r w:rsidRPr="005B0D7D">
          <w:rPr>
            <w:rFonts w:ascii="Times New Roman" w:eastAsia="Batang" w:hAnsi="Times New Roman" w:cs="Times New Roman"/>
            <w:sz w:val="28"/>
            <w:szCs w:val="28"/>
            <w:lang w:eastAsia="ru-RU"/>
          </w:rPr>
          <w:t>2,2 км</w:t>
        </w:r>
      </w:smartTag>
      <w:r w:rsidRPr="005B0D7D">
        <w:rPr>
          <w:rFonts w:ascii="Times New Roman" w:eastAsia="Batang" w:hAnsi="Times New Roman" w:cs="Times New Roman"/>
          <w:sz w:val="28"/>
          <w:szCs w:val="28"/>
          <w:lang w:eastAsia="ru-RU"/>
        </w:rPr>
        <w:t xml:space="preserve"> нуждающихся в замене. В 2013 году построено </w:t>
      </w:r>
      <w:smartTag w:uri="urn:schemas-microsoft-com:office:smarttags" w:element="metricconverter">
        <w:smartTagPr>
          <w:attr w:name="ProductID" w:val="6,5 км"/>
        </w:smartTagPr>
        <w:r w:rsidRPr="005B0D7D">
          <w:rPr>
            <w:rFonts w:ascii="Times New Roman" w:eastAsia="Batang" w:hAnsi="Times New Roman" w:cs="Times New Roman"/>
            <w:sz w:val="28"/>
            <w:szCs w:val="28"/>
            <w:lang w:eastAsia="ru-RU"/>
          </w:rPr>
          <w:t>6,5 км</w:t>
        </w:r>
      </w:smartTag>
      <w:r w:rsidRPr="005B0D7D">
        <w:rPr>
          <w:rFonts w:ascii="Times New Roman" w:eastAsia="Batang" w:hAnsi="Times New Roman" w:cs="Times New Roman"/>
          <w:sz w:val="28"/>
          <w:szCs w:val="28"/>
          <w:lang w:eastAsia="ru-RU"/>
        </w:rPr>
        <w:t xml:space="preserve"> и заменено 0,3 км сетей. Город располагает раздельной системой канализации: часть домохозяйств оборудована централизованной системой канализации, а часть – септиками, вывоз из которых осуществляется ассенизаторскими машинами. Централизованным водоотведением обеспечено 87,4% площади домохозяйств (в 2012 году – 74,%). Сбор сточных вод от канализационных зданий и сооружений осуществляется по канализационным сетям на городские канализационные очистные сооружения.</w:t>
      </w:r>
    </w:p>
    <w:p w:rsidR="005B0D7D" w:rsidRPr="005B0D7D" w:rsidRDefault="005B0D7D" w:rsidP="005B0D7D">
      <w:pPr>
        <w:spacing w:before="120" w:after="0" w:line="240" w:lineRule="auto"/>
        <w:ind w:firstLine="720"/>
        <w:jc w:val="both"/>
        <w:rPr>
          <w:rFonts w:ascii="Times New Roman" w:eastAsia="Batang" w:hAnsi="Times New Roman" w:cs="Times New Roman"/>
          <w:i/>
          <w:sz w:val="28"/>
          <w:szCs w:val="28"/>
          <w:lang w:eastAsia="ru-RU"/>
        </w:rPr>
      </w:pPr>
      <w:r w:rsidRPr="005B0D7D">
        <w:rPr>
          <w:rFonts w:ascii="Times New Roman" w:eastAsia="Batang" w:hAnsi="Times New Roman" w:cs="Times New Roman"/>
          <w:i/>
          <w:sz w:val="28"/>
          <w:szCs w:val="28"/>
          <w:lang w:eastAsia="ru-RU"/>
        </w:rPr>
        <w:t>Газоснабжение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ru-RU"/>
        </w:rPr>
        <w:t xml:space="preserve">Общая протяженность газопроводов города составляет </w:t>
      </w:r>
      <w:smartTag w:uri="urn:schemas-microsoft-com:office:smarttags" w:element="metricconverter">
        <w:smartTagPr>
          <w:attr w:name="ProductID" w:val="232,7 км"/>
        </w:smartTagPr>
        <w:r w:rsidRPr="005B0D7D">
          <w:rPr>
            <w:rFonts w:ascii="Times New Roman" w:eastAsia="Batang" w:hAnsi="Times New Roman" w:cs="Times New Roman"/>
            <w:sz w:val="28"/>
            <w:szCs w:val="28"/>
            <w:lang w:eastAsia="ru-RU"/>
          </w:rPr>
          <w:t>232,7 км</w:t>
        </w:r>
      </w:smartTag>
      <w:r w:rsidRPr="005B0D7D">
        <w:rPr>
          <w:rFonts w:ascii="Times New Roman" w:eastAsia="Batang" w:hAnsi="Times New Roman" w:cs="Times New Roman"/>
          <w:sz w:val="28"/>
          <w:szCs w:val="28"/>
          <w:lang w:eastAsia="ru-RU"/>
        </w:rPr>
        <w:t xml:space="preserve">, на которых функционирует 170 газораспределительных пунктов. Обеспеченность жителей газоснабжением составила 73,6% (2012 год – 72,7%). Ведется проектирование газопроводов в микрорайонах </w:t>
      </w:r>
      <w:proofErr w:type="gramStart"/>
      <w:r w:rsidRPr="005B0D7D">
        <w:rPr>
          <w:rFonts w:ascii="Times New Roman" w:eastAsia="Batang" w:hAnsi="Times New Roman" w:cs="Times New Roman"/>
          <w:sz w:val="28"/>
          <w:szCs w:val="28"/>
          <w:lang w:eastAsia="ru-RU"/>
        </w:rPr>
        <w:t>Западный</w:t>
      </w:r>
      <w:proofErr w:type="gramEnd"/>
      <w:r w:rsidRPr="005B0D7D">
        <w:rPr>
          <w:rFonts w:ascii="Times New Roman" w:eastAsia="Batang" w:hAnsi="Times New Roman" w:cs="Times New Roman"/>
          <w:sz w:val="28"/>
          <w:szCs w:val="28"/>
          <w:lang w:eastAsia="ru-RU"/>
        </w:rPr>
        <w:t xml:space="preserve"> и Восточный. </w:t>
      </w:r>
      <w:r w:rsidRPr="005B0D7D">
        <w:rPr>
          <w:rFonts w:ascii="Times New Roman" w:eastAsia="Batang" w:hAnsi="Times New Roman" w:cs="Times New Roman"/>
          <w:sz w:val="28"/>
          <w:szCs w:val="28"/>
          <w:lang w:eastAsia="ko-KR"/>
        </w:rPr>
        <w:t>В 2013 году по удельному объему потребления природного газа в многоквартирных домах Ханты-Мансийск занимал первое место среди муниципальных образований Ханты-Мансийского автономного округа – Югры.</w:t>
      </w:r>
    </w:p>
    <w:p w:rsidR="005B0D7D" w:rsidRPr="005B0D7D" w:rsidRDefault="005B0D7D" w:rsidP="005B0D7D">
      <w:pPr>
        <w:spacing w:before="120" w:after="0" w:line="240" w:lineRule="auto"/>
        <w:ind w:firstLine="720"/>
        <w:jc w:val="both"/>
        <w:rPr>
          <w:rFonts w:ascii="Times New Roman" w:eastAsia="Batang" w:hAnsi="Times New Roman" w:cs="Times New Roman"/>
          <w:i/>
          <w:sz w:val="28"/>
          <w:szCs w:val="28"/>
          <w:lang w:eastAsia="ru-RU"/>
        </w:rPr>
      </w:pPr>
      <w:r w:rsidRPr="005B0D7D">
        <w:rPr>
          <w:rFonts w:ascii="Times New Roman" w:eastAsia="Batang" w:hAnsi="Times New Roman" w:cs="Times New Roman"/>
          <w:i/>
          <w:sz w:val="28"/>
          <w:szCs w:val="28"/>
          <w:lang w:eastAsia="ru-RU"/>
        </w:rPr>
        <w:t>Электроснабжение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 году было закуплено 451 298 тыс. кВт/</w:t>
      </w:r>
      <w:proofErr w:type="gramStart"/>
      <w:r w:rsidRPr="005B0D7D">
        <w:rPr>
          <w:rFonts w:ascii="Times New Roman" w:eastAsia="Batang" w:hAnsi="Times New Roman" w:cs="Times New Roman"/>
          <w:sz w:val="28"/>
          <w:szCs w:val="28"/>
          <w:lang w:eastAsia="ko-KR"/>
        </w:rPr>
        <w:t>ч</w:t>
      </w:r>
      <w:proofErr w:type="gramEnd"/>
      <w:r w:rsidRPr="005B0D7D">
        <w:rPr>
          <w:rFonts w:ascii="Times New Roman" w:eastAsia="Batang" w:hAnsi="Times New Roman" w:cs="Times New Roman"/>
          <w:sz w:val="28"/>
          <w:szCs w:val="28"/>
          <w:lang w:eastAsia="ko-KR"/>
        </w:rPr>
        <w:t xml:space="preserve"> электрической энергии. Полезный отпуск электроэнергии составил 407 134 тыс. кВт/ч, в том числе населению 34,2%. За год объемы реализации электроэнергии выросли на 1%. В 2013 году по удельному объему потребления электрической энергии в многоквартирных домах Ханты-Мансийск занимал первое место </w:t>
      </w:r>
      <w:proofErr w:type="gramStart"/>
      <w:r w:rsidRPr="005B0D7D">
        <w:rPr>
          <w:rFonts w:ascii="Times New Roman" w:eastAsia="Batang" w:hAnsi="Times New Roman" w:cs="Times New Roman"/>
          <w:sz w:val="28"/>
          <w:szCs w:val="28"/>
          <w:lang w:eastAsia="ko-KR"/>
        </w:rPr>
        <w:t>в</w:t>
      </w:r>
      <w:proofErr w:type="gramEnd"/>
      <w:r w:rsidRPr="005B0D7D">
        <w:rPr>
          <w:rFonts w:ascii="Times New Roman" w:eastAsia="Batang" w:hAnsi="Times New Roman" w:cs="Times New Roman"/>
          <w:sz w:val="28"/>
          <w:szCs w:val="28"/>
          <w:lang w:eastAsia="ko-KR"/>
        </w:rPr>
        <w:t xml:space="preserve"> </w:t>
      </w:r>
      <w:proofErr w:type="gramStart"/>
      <w:r w:rsidRPr="005B0D7D">
        <w:rPr>
          <w:rFonts w:ascii="Times New Roman" w:eastAsia="Batang" w:hAnsi="Times New Roman" w:cs="Times New Roman"/>
          <w:sz w:val="28"/>
          <w:szCs w:val="28"/>
          <w:lang w:eastAsia="ko-KR"/>
        </w:rPr>
        <w:t>Ханты-Мансийском</w:t>
      </w:r>
      <w:proofErr w:type="gramEnd"/>
      <w:r w:rsidRPr="005B0D7D">
        <w:rPr>
          <w:rFonts w:ascii="Times New Roman" w:eastAsia="Batang" w:hAnsi="Times New Roman" w:cs="Times New Roman"/>
          <w:sz w:val="28"/>
          <w:szCs w:val="28"/>
          <w:lang w:eastAsia="ko-KR"/>
        </w:rPr>
        <w:t xml:space="preserve"> автономном округе – Югре.</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51" w:name="_Toc410639480"/>
      <w:bookmarkEnd w:id="147"/>
      <w:r w:rsidRPr="005B0D7D">
        <w:rPr>
          <w:rFonts w:ascii="Times New Roman" w:eastAsia="Batang" w:hAnsi="Times New Roman" w:cs="Times New Roman"/>
          <w:b/>
          <w:bCs/>
          <w:sz w:val="28"/>
          <w:szCs w:val="28"/>
          <w:lang w:eastAsia="ko-KR"/>
        </w:rPr>
        <w:t>3.2.6.3. Связь</w:t>
      </w:r>
      <w:bookmarkEnd w:id="148"/>
      <w:bookmarkEnd w:id="149"/>
      <w:bookmarkEnd w:id="150"/>
      <w:r w:rsidRPr="005B0D7D">
        <w:rPr>
          <w:rFonts w:ascii="Times New Roman" w:eastAsia="Batang" w:hAnsi="Times New Roman" w:cs="Times New Roman"/>
          <w:b/>
          <w:bCs/>
          <w:sz w:val="28"/>
          <w:szCs w:val="28"/>
          <w:lang w:eastAsia="ko-KR"/>
        </w:rPr>
        <w:t xml:space="preserve"> и информатизация</w:t>
      </w:r>
      <w:bookmarkEnd w:id="151"/>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2013-2014 годы в Ханты-Мансийске развертываются цифровые наземные сети, запущен первый мультиплекс сети цифрового эфирного вещания, включающий 10 федеральных телевизионных каналов и 3 радиоканала.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Проводную телефонную связь обеспечивают 4 оператора, сотовую связь – также 4 оператора. Предприятия электросвязи обеспечивают внедрение широкополосных сетей доступа к сети Интернет по технологии FTTH (оптика в </w:t>
      </w:r>
      <w:r w:rsidRPr="005B0D7D">
        <w:rPr>
          <w:rFonts w:ascii="Times New Roman" w:eastAsia="Batang" w:hAnsi="Times New Roman" w:cs="Times New Roman"/>
          <w:sz w:val="28"/>
          <w:szCs w:val="28"/>
          <w:lang w:eastAsia="ko-KR"/>
        </w:rPr>
        <w:lastRenderedPageBreak/>
        <w:t>квартиру) и предоставление услуг цифрового телевидения IP TV (2012 год – 5400 абонентов, 2013 год – 7664 абонента).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Наблюдается ускоренный рост числа пользователей сети Интернет, которых в 2011 году было 13 937, в 2012 году – 17 839, а в 2013 году – 30 900.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Деятельность в сфере информатизации направлена на повышение эффективности муниципального управления. В настоящее время в Администрации города Ханты-Мансийска во взаимодействии с исполнительными органами власти Ханты-Мансийского автономного округа – Югры проделана значительная работа по переводу в электронный вид муниципальных услуг, а также государственных услуг, переданных на исполнение органам местного самоуправления. На сегодняшний день на Едином портале государственных и муниципальных услуг (функций) доступны для получения в электронном виде 28 услуг, предоставляемых органами Администрации города Ханты-Мансийска. В рамках Системы межведомственного электронного взаимодействия в 2013 году гражданам и организациям оказывалось порядка 60 услуг. Охват органов Администрации города Ханты-Мансийска электронным документооборотом составил 75 %.</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152" w:name="_Toc410639481"/>
      <w:bookmarkStart w:id="153" w:name="_Toc392143773"/>
      <w:bookmarkStart w:id="154" w:name="_Toc392622959"/>
      <w:bookmarkStart w:id="155" w:name="_Toc395506402"/>
      <w:bookmarkStart w:id="156" w:name="_Toc404211533"/>
      <w:bookmarkStart w:id="157" w:name="_Toc404218167"/>
      <w:r w:rsidRPr="005B0D7D">
        <w:rPr>
          <w:rFonts w:ascii="Times New Roman" w:eastAsia="Batang" w:hAnsi="Times New Roman" w:cs="Times New Roman"/>
          <w:b/>
          <w:bCs/>
          <w:sz w:val="28"/>
          <w:szCs w:val="28"/>
          <w:lang w:eastAsia="ko-KR"/>
        </w:rPr>
        <w:t>3.2.7. Состояние потребительского рынка</w:t>
      </w:r>
      <w:bookmarkEnd w:id="152"/>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58" w:name="_Toc410639482"/>
      <w:r w:rsidRPr="005B0D7D">
        <w:rPr>
          <w:rFonts w:ascii="Times New Roman" w:eastAsia="Batang" w:hAnsi="Times New Roman" w:cs="Times New Roman"/>
          <w:b/>
          <w:bCs/>
          <w:sz w:val="28"/>
          <w:szCs w:val="28"/>
          <w:lang w:eastAsia="ko-KR"/>
        </w:rPr>
        <w:t>3.2.7.1. Торговля</w:t>
      </w:r>
      <w:bookmarkEnd w:id="158"/>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Оборот розничной торговли по всем формам проявления за 2013 год составил 15 989,9 млн. руб., что в 1,35 раза превышает уровень 2010 года. Реализация товаров на душу населения в 2013 году составила 181,7 тыс. руб., что в 1,2 раза выше, чем в 2010 году (рис.24а и 24б). В 2014 году данные показатели продолжают увеличиваться. </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структуре оборота розничной торговли доля пищевых продуктов, включая напитки и табачные изделия, составляет 48,0%, доля непродовольственных товаров – 52%.</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2209800"/>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76550" cy="201930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Рис.24а. Оборот розничной торговли, млн. руб.</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Рис.24б. Оборот розничной торговли на душу населения, тыс. руб.</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Сфера торговли оказывает активное влияние на развитие экономики города, содействует повышению конкурентоспособности хозяйствующих субъектов и </w:t>
      </w:r>
      <w:r w:rsidRPr="005B0D7D">
        <w:rPr>
          <w:rFonts w:ascii="Times New Roman" w:eastAsia="Batang" w:hAnsi="Times New Roman" w:cs="Times New Roman"/>
          <w:sz w:val="28"/>
          <w:szCs w:val="28"/>
          <w:lang w:eastAsia="ko-KR"/>
        </w:rPr>
        <w:lastRenderedPageBreak/>
        <w:t xml:space="preserve">удовлетворению спроса населения на товары и услуги, улучшению качества жизни населения.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городе сформирована инфраструктура потребительского рынка, представленная предприятиями различных типов, видов, форм и форматов.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 приходом в город сетевых операторов совершенствуются форматы торговли, создаются новые рабочие места, расширяется ассортимент товаров и снижается их цена, создаются условия для совершения комплексных покупок. Наряду с активным развитием федеральных и местных торговых сетей, открываются магазины «шаговой доступности» малого формата.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Фактическая обеспеченность населения города Ханты-Мансийска стационарными объектами торговли на начало 2014 года составляет 810,0 кв. м на 1000 жителей, что превышает установленный норматив (515  кв. м)</w:t>
      </w:r>
      <w:r w:rsidRPr="005B0D7D">
        <w:rPr>
          <w:rFonts w:ascii="Times New Roman" w:eastAsia="Batang" w:hAnsi="Times New Roman" w:cs="Times New Roman"/>
          <w:sz w:val="28"/>
          <w:szCs w:val="28"/>
          <w:vertAlign w:val="superscript"/>
          <w:lang w:eastAsia="ko-KR"/>
        </w:rPr>
        <w:t xml:space="preserve"> </w:t>
      </w:r>
      <w:r w:rsidRPr="005B0D7D">
        <w:rPr>
          <w:rFonts w:ascii="Times New Roman" w:eastAsia="Batang" w:hAnsi="Times New Roman" w:cs="Times New Roman"/>
          <w:sz w:val="24"/>
          <w:szCs w:val="24"/>
          <w:vertAlign w:val="superscript"/>
          <w:lang w:eastAsia="ko-KR"/>
        </w:rPr>
        <w:footnoteReference w:id="1"/>
      </w:r>
      <w:r w:rsidRPr="005B0D7D">
        <w:rPr>
          <w:rFonts w:ascii="Times New Roman" w:eastAsia="Batang" w:hAnsi="Times New Roman" w:cs="Times New Roman"/>
          <w:sz w:val="28"/>
          <w:szCs w:val="28"/>
          <w:lang w:eastAsia="ko-KR"/>
        </w:rPr>
        <w:t xml:space="preserve"> на 157,3 %, а также среднее значение по округу.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Сверхнормативная обеспеченность города торговыми площадями является следствием высокого уровня инвестиционной привлекательности сферы торговли.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 счет ввода в эксплуатацию новых площадей, открытия новых предприятий потребительского рынка было трудоустроено 356 человек (в 2012 году – 284 человека).</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59" w:name="_Toc410639483"/>
      <w:r w:rsidRPr="005B0D7D">
        <w:rPr>
          <w:rFonts w:ascii="Times New Roman" w:eastAsia="Batang" w:hAnsi="Times New Roman" w:cs="Times New Roman"/>
          <w:b/>
          <w:bCs/>
          <w:sz w:val="28"/>
          <w:szCs w:val="28"/>
          <w:lang w:eastAsia="ko-KR"/>
        </w:rPr>
        <w:t>3.2.7.2. Общественное питание</w:t>
      </w:r>
      <w:bookmarkEnd w:id="159"/>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2010-20</w:t>
      </w:r>
      <w:r w:rsidRPr="005B0D7D">
        <w:rPr>
          <w:rFonts w:ascii="Times New Roman" w:eastAsia="Batang" w:hAnsi="Times New Roman" w:cs="Times New Roman"/>
          <w:sz w:val="28"/>
          <w:szCs w:val="28"/>
          <w:lang w:val="x-none" w:eastAsia="ko-KR"/>
        </w:rPr>
        <w:t xml:space="preserve">13 </w:t>
      </w:r>
      <w:r w:rsidRPr="005B0D7D">
        <w:rPr>
          <w:rFonts w:ascii="Times New Roman" w:eastAsia="Batang" w:hAnsi="Times New Roman" w:cs="Times New Roman"/>
          <w:sz w:val="28"/>
          <w:szCs w:val="28"/>
          <w:lang w:eastAsia="ko-KR"/>
        </w:rPr>
        <w:t xml:space="preserve">годы наблюдался опережающий рост </w:t>
      </w:r>
      <w:r w:rsidRPr="005B0D7D">
        <w:rPr>
          <w:rFonts w:ascii="Times New Roman" w:eastAsia="Batang" w:hAnsi="Times New Roman" w:cs="Times New Roman"/>
          <w:sz w:val="28"/>
          <w:szCs w:val="28"/>
          <w:lang w:val="x-none" w:eastAsia="ko-KR"/>
        </w:rPr>
        <w:t xml:space="preserve">оборота </w:t>
      </w:r>
      <w:r w:rsidRPr="005B0D7D">
        <w:rPr>
          <w:rFonts w:ascii="Times New Roman" w:eastAsia="Batang" w:hAnsi="Times New Roman" w:cs="Times New Roman"/>
          <w:sz w:val="28"/>
          <w:szCs w:val="28"/>
          <w:lang w:eastAsia="ko-KR"/>
        </w:rPr>
        <w:t xml:space="preserve">общественного питания, который в 2013 году составил 2 166,8 млн. руб., или 164,9% к уровню 2010 года. Оборот общественного питания на душу населения достиг 24,6 тыс. руб. против 16,7 тыс. руб. в 2010 году (рис.25а и 25б). </w:t>
      </w:r>
    </w:p>
    <w:tbl>
      <w:tblPr>
        <w:tblW w:w="0" w:type="auto"/>
        <w:tblLook w:val="00A0" w:firstRow="1" w:lastRow="0" w:firstColumn="1" w:lastColumn="0" w:noHBand="0" w:noVBand="0"/>
      </w:tblPr>
      <w:tblGrid>
        <w:gridCol w:w="4785"/>
        <w:gridCol w:w="4786"/>
      </w:tblGrid>
      <w:tr w:rsidR="005B0D7D" w:rsidRPr="005B0D7D" w:rsidTr="005B0D7D">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201930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76550" cy="2019300"/>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5B0D7D" w:rsidRPr="005B0D7D" w:rsidTr="005B0D7D">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Рис.25а. Оборот общественного питания, млн. руб.</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Рис.25б. Оборот общественного питания на душу населения, тыс. руб.</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 обороту общественного питания на душу населения Ханты-Мансийск находится на 3 месте в автономном округе, уступая Когалыму и </w:t>
      </w:r>
      <w:proofErr w:type="spellStart"/>
      <w:r w:rsidRPr="005B0D7D">
        <w:rPr>
          <w:rFonts w:ascii="Times New Roman" w:eastAsia="Batang" w:hAnsi="Times New Roman" w:cs="Times New Roman"/>
          <w:sz w:val="28"/>
          <w:szCs w:val="28"/>
          <w:lang w:eastAsia="ko-KR"/>
        </w:rPr>
        <w:t>Мегиону</w:t>
      </w:r>
      <w:proofErr w:type="spellEnd"/>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городе Ханты-Мансийске сформирована рациональная сеть предприятий общественного питания, позволяющая полноценно удовлетворять потребность в данной сфере услуг. Развитие данной отрасли и совершенствование ее качества </w:t>
      </w:r>
      <w:r w:rsidRPr="005B0D7D">
        <w:rPr>
          <w:rFonts w:ascii="Times New Roman" w:eastAsia="Batang" w:hAnsi="Times New Roman" w:cs="Times New Roman"/>
          <w:sz w:val="28"/>
          <w:szCs w:val="28"/>
          <w:lang w:eastAsia="ko-KR"/>
        </w:rPr>
        <w:lastRenderedPageBreak/>
        <w:t>подтверждается показателем обеспеченности посадочными местами: при нормативе 40 посадочных мест на 1 тыс. жителей в городе этот показатель превышен в 2,1 раза и составил 83 посадочных места.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Значительная часть предприятий общественного питания становится местом отдыха и проведения досуга горожан. В рамках развития туризма и туристской индустрии в городе Ханты-Мансийске перспективным направлением развития сферы общественного питания является вхождение на рынок востребованных сетевых брендовых предприятий быстрого питания (фаст-фуд, стрит-</w:t>
      </w:r>
      <w:proofErr w:type="spellStart"/>
      <w:r w:rsidRPr="005B0D7D">
        <w:rPr>
          <w:rFonts w:ascii="Times New Roman" w:eastAsia="Batang" w:hAnsi="Times New Roman" w:cs="Times New Roman"/>
          <w:sz w:val="28"/>
          <w:szCs w:val="28"/>
          <w:lang w:eastAsia="ko-KR"/>
        </w:rPr>
        <w:t>фуд</w:t>
      </w:r>
      <w:proofErr w:type="spellEnd"/>
      <w:r w:rsidRPr="005B0D7D">
        <w:rPr>
          <w:rFonts w:ascii="Times New Roman" w:eastAsia="Batang" w:hAnsi="Times New Roman" w:cs="Times New Roman"/>
          <w:sz w:val="28"/>
          <w:szCs w:val="28"/>
          <w:lang w:eastAsia="ko-KR"/>
        </w:rPr>
        <w:t xml:space="preserve"> и др.), развитие сети семейных и молодежных кафе, кондитерских, кофеин и других форматов. </w:t>
      </w:r>
    </w:p>
    <w:p w:rsidR="005B0D7D" w:rsidRPr="005B0D7D" w:rsidRDefault="005B0D7D" w:rsidP="005B0D7D">
      <w:pPr>
        <w:keepNext/>
        <w:spacing w:before="240" w:after="60" w:line="240" w:lineRule="auto"/>
        <w:outlineLvl w:val="2"/>
        <w:rPr>
          <w:rFonts w:ascii="Times New Roman" w:eastAsia="Batang" w:hAnsi="Times New Roman" w:cs="Times New Roman"/>
          <w:b/>
          <w:bCs/>
          <w:sz w:val="28"/>
          <w:szCs w:val="28"/>
          <w:lang w:eastAsia="ko-KR"/>
        </w:rPr>
      </w:pPr>
      <w:bookmarkStart w:id="160" w:name="_Toc410639484"/>
      <w:r w:rsidRPr="005B0D7D">
        <w:rPr>
          <w:rFonts w:ascii="Times New Roman" w:eastAsia="Batang" w:hAnsi="Times New Roman" w:cs="Times New Roman"/>
          <w:b/>
          <w:bCs/>
          <w:sz w:val="28"/>
          <w:szCs w:val="28"/>
          <w:lang w:eastAsia="ko-KR"/>
        </w:rPr>
        <w:t>3.2.7.3. Платные услуги</w:t>
      </w:r>
      <w:bookmarkEnd w:id="160"/>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2013 году объем платных услуг, оказываемых населению города Ханты-Мансийска, достиг 5 177,56 млн. руб.; за четырехлетний период платные услуги выросли в 1,35 раз (2010 год – 3 834,6 млн. руб., 2011 год – 4 205,1 млн. руб., 2012 год – 4 561,8 млн. руб.).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структуре платных услуг самыми востребованными являются услуги обязательного характера: жилищно-коммунальные услуги (33,7%), услуги связи (21,4%) и услуги пассажирского транспорта (11,6%).</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общем объеме платных услуг, оказанных населению города в 2013 году, бытовые услуги составили 7,0 %. </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начале 2014 года на территории Ханты-Мансийска функционировало 369 объектов бытового обслуживания населения, которые оказывали более 800 видов учитываемых услуг. Объем оказанных бытовых услуг на одного жителя за четыре года вырос на 15,3% и в 2013 году составил 4 017 руб. (рис.26а) Число предприятий бытового обслуживания с каждым годом также уверенно растет (рис.26б).</w:t>
      </w:r>
    </w:p>
    <w:tbl>
      <w:tblPr>
        <w:tblW w:w="9570" w:type="dxa"/>
        <w:tblLook w:val="00A0" w:firstRow="1" w:lastRow="0" w:firstColumn="1" w:lastColumn="0" w:noHBand="0" w:noVBand="0"/>
      </w:tblPr>
      <w:tblGrid>
        <w:gridCol w:w="4785"/>
        <w:gridCol w:w="4785"/>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86075" cy="201930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876550" cy="201930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Рис.26а. Объем оказанных бытовых услуг на одного жителя, руб.</w:t>
            </w:r>
          </w:p>
        </w:tc>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Рис.26б. Число предприятий бытового обслуживания, ед.</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Наибольшую долю бытовых услуг в общей структуре в течение ряда лет занимают услуги автосервиса (26,3%), парикмахерские услуги (26,3%), услуги по пошиву и ремонту одежды (12,5%), по ремонту обуви (9,5%), по ремонту бытовой, </w:t>
      </w:r>
      <w:proofErr w:type="gramStart"/>
      <w:r w:rsidRPr="005B0D7D">
        <w:rPr>
          <w:rFonts w:ascii="Times New Roman" w:eastAsia="Batang" w:hAnsi="Times New Roman" w:cs="Times New Roman"/>
          <w:sz w:val="28"/>
          <w:szCs w:val="28"/>
          <w:lang w:eastAsia="ko-KR"/>
        </w:rPr>
        <w:t>теле-радиоаппаратуры</w:t>
      </w:r>
      <w:proofErr w:type="gramEnd"/>
      <w:r w:rsidRPr="005B0D7D">
        <w:rPr>
          <w:rFonts w:ascii="Times New Roman" w:eastAsia="Batang" w:hAnsi="Times New Roman" w:cs="Times New Roman"/>
          <w:sz w:val="28"/>
          <w:szCs w:val="28"/>
          <w:lang w:eastAsia="ko-KR"/>
        </w:rPr>
        <w:t xml:space="preserve"> (7,0%), которые являются более востребованными и социально значимыми. </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161" w:name="_Toc410639485"/>
      <w:r w:rsidRPr="005B0D7D">
        <w:rPr>
          <w:rFonts w:ascii="Times New Roman" w:eastAsia="Batang" w:hAnsi="Times New Roman" w:cs="Times New Roman"/>
          <w:b/>
          <w:bCs/>
          <w:sz w:val="28"/>
          <w:szCs w:val="28"/>
          <w:lang w:eastAsia="ko-KR"/>
        </w:rPr>
        <w:lastRenderedPageBreak/>
        <w:t xml:space="preserve">3.2.8. </w:t>
      </w:r>
      <w:bookmarkEnd w:id="153"/>
      <w:bookmarkEnd w:id="154"/>
      <w:bookmarkEnd w:id="155"/>
      <w:bookmarkEnd w:id="156"/>
      <w:bookmarkEnd w:id="157"/>
      <w:r w:rsidRPr="005B0D7D">
        <w:rPr>
          <w:rFonts w:ascii="Times New Roman" w:eastAsia="Batang" w:hAnsi="Times New Roman" w:cs="Times New Roman"/>
          <w:b/>
          <w:bCs/>
          <w:sz w:val="28"/>
          <w:szCs w:val="28"/>
          <w:lang w:eastAsia="ko-KR"/>
        </w:rPr>
        <w:t>Состояние природной среды</w:t>
      </w:r>
      <w:bookmarkEnd w:id="161"/>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Ханты-Мансийск является экологически чистым населенным пунктом, где нет тяжелой промышленности и, как следствие, сильных выбросов в атмосферу.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Зеленые насаждения, хвойные и кедровые леса превышают четверть площади города и находятся в самом центре. Площадь особо охраняемых природных территорий составляет 33,03 кв. км. Улучшению природной среды способствует высадка зеленых насаждений. Так, если в 2013 году на территории Ханты-Мансийска было высажено 737 деревьев и кустарников, то в 2014 году объем высадки зеленых насаждений составил 16 100 ед., увеличившись более чем в 20 раз.</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Число хозяйствующих субъектов, осуществляющих выбросы в атмосферу из стационарных источников, сократилось с 28 единиц в 2012 году до 26 единиц в 2013 году. Из стационарных источников, расположенных на территории города, в 2013 году было выброшено 1,475 тонн вредных (загрязняющих) веществ, что на 5% ниже уровня 2012 года.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Существенным фактором загрязнения окружающей среды является рост числа зарегистрированных автомототранспортных средств (см.п.3.2.5.1). За год на 6% выросла протяженность маршрутов общественного транспорта.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Объем образования твердых бытовых отходов в 2013 году составил 42,73 тыс. тонн, или 127% от уровня 2012 года. В рейтинге Министерства природных ресурсов и экологии Российской Федерации за 2013 год Ханты-Мансийск занимает 34-е место среди 87 российских городов. При этом самые сильные позиции у столицы Югры – это качество воздушной среды – 13-е место, использование территорий – 21-е место и обращение с отходами – 32-е место. </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162" w:name="_Toc392622960"/>
      <w:bookmarkStart w:id="163" w:name="_Toc395506403"/>
      <w:bookmarkStart w:id="164" w:name="_Toc404211534"/>
      <w:bookmarkStart w:id="165" w:name="_Toc404218168"/>
      <w:bookmarkStart w:id="166" w:name="_Toc410639486"/>
      <w:r w:rsidRPr="005B0D7D">
        <w:rPr>
          <w:rFonts w:ascii="Times New Roman" w:eastAsia="Batang" w:hAnsi="Times New Roman" w:cs="Times New Roman"/>
          <w:b/>
          <w:bCs/>
          <w:sz w:val="28"/>
          <w:szCs w:val="28"/>
          <w:lang w:eastAsia="ko-KR"/>
        </w:rPr>
        <w:t>3.2.9. Общественная безопасность</w:t>
      </w:r>
      <w:bookmarkEnd w:id="162"/>
      <w:bookmarkEnd w:id="163"/>
      <w:bookmarkEnd w:id="164"/>
      <w:bookmarkEnd w:id="165"/>
      <w:bookmarkEnd w:id="166"/>
    </w:p>
    <w:p w:rsidR="005B0D7D" w:rsidRPr="005B0D7D" w:rsidRDefault="005B0D7D" w:rsidP="005B0D7D">
      <w:pPr>
        <w:spacing w:after="120" w:line="240" w:lineRule="auto"/>
        <w:ind w:right="-23"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последние три года в городе в 1,3 раза уменьшилось число зарегистрированных преступлений (рис.27а), при этом доля тяжких и особо тяжких преступлений остается примерно на одном и том же уровне (рис.27б).</w:t>
      </w:r>
    </w:p>
    <w:tbl>
      <w:tblPr>
        <w:tblW w:w="0" w:type="auto"/>
        <w:tblLook w:val="00A0" w:firstRow="1" w:lastRow="0" w:firstColumn="1" w:lastColumn="0" w:noHBand="0" w:noVBand="0"/>
      </w:tblPr>
      <w:tblGrid>
        <w:gridCol w:w="4785"/>
        <w:gridCol w:w="4786"/>
      </w:tblGrid>
      <w:tr w:rsidR="005B0D7D" w:rsidRPr="005B0D7D" w:rsidTr="005B0D7D">
        <w:trPr>
          <w:cantSplit/>
        </w:trPr>
        <w:tc>
          <w:tcPr>
            <w:tcW w:w="4785"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533650" cy="160972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786" w:type="dxa"/>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533650" cy="160972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5B0D7D" w:rsidRPr="005B0D7D" w:rsidTr="005B0D7D">
        <w:trPr>
          <w:cantSplit/>
        </w:trPr>
        <w:tc>
          <w:tcPr>
            <w:tcW w:w="4785"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Рис.27а. Число зарегистрированных преступлений, ед.</w:t>
            </w:r>
          </w:p>
        </w:tc>
        <w:tc>
          <w:tcPr>
            <w:tcW w:w="4786" w:type="dxa"/>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Рис.27б. Доля тяжких и особо тяжких преступлений, %</w:t>
            </w:r>
          </w:p>
        </w:tc>
      </w:tr>
    </w:tbl>
    <w:p w:rsidR="005B0D7D" w:rsidRPr="005B0D7D" w:rsidRDefault="005B0D7D" w:rsidP="005B0D7D">
      <w:pPr>
        <w:spacing w:after="120" w:line="240" w:lineRule="auto"/>
        <w:ind w:right="-23"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Анализ структуры преступности показывает, что в наибольшей степени снижается количество преступлений против собственности: краж – в 1,46 раза и угонов автомобилей – в 2,0 раза (рис.28а и 28б). </w:t>
      </w:r>
    </w:p>
    <w:tbl>
      <w:tblPr>
        <w:tblW w:w="4147" w:type="pct"/>
        <w:tblInd w:w="534" w:type="dxa"/>
        <w:tblLook w:val="00A0" w:firstRow="1" w:lastRow="0" w:firstColumn="1" w:lastColumn="0" w:noHBand="0" w:noVBand="0"/>
      </w:tblPr>
      <w:tblGrid>
        <w:gridCol w:w="4172"/>
        <w:gridCol w:w="4236"/>
      </w:tblGrid>
      <w:tr w:rsidR="005B0D7D" w:rsidRPr="005B0D7D" w:rsidTr="005B0D7D">
        <w:trPr>
          <w:cantSplit/>
        </w:trPr>
        <w:tc>
          <w:tcPr>
            <w:tcW w:w="2679" w:type="pct"/>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lastRenderedPageBreak/>
              <w:drawing>
                <wp:inline distT="0" distB="0" distL="0" distR="0">
                  <wp:extent cx="2438400" cy="167640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2321" w:type="pct"/>
            <w:tcBorders>
              <w:right w:val="single" w:sz="4" w:space="0" w:color="FFFFFF"/>
            </w:tcBorders>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552700" cy="167640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5B0D7D" w:rsidRPr="005B0D7D" w:rsidTr="005B0D7D">
        <w:trPr>
          <w:cantSplit/>
        </w:trPr>
        <w:tc>
          <w:tcPr>
            <w:tcW w:w="2679" w:type="pct"/>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w:t>
            </w:r>
            <w:r w:rsidRPr="005B0D7D">
              <w:rPr>
                <w:rFonts w:ascii="Times New Roman" w:eastAsia="Batang" w:hAnsi="Times New Roman" w:cs="Times New Roman"/>
                <w:sz w:val="24"/>
                <w:szCs w:val="24"/>
                <w:lang w:eastAsia="ko-KR"/>
              </w:rPr>
              <w:t xml:space="preserve"> </w:t>
            </w:r>
            <w:r w:rsidRPr="005B0D7D">
              <w:rPr>
                <w:rFonts w:ascii="Times New Roman" w:eastAsia="Batang" w:hAnsi="Times New Roman" w:cs="Times New Roman"/>
                <w:b/>
                <w:sz w:val="24"/>
                <w:szCs w:val="24"/>
                <w:lang w:eastAsia="ko-KR"/>
              </w:rPr>
              <w:t>28а. Динамика краж, случаев</w:t>
            </w:r>
          </w:p>
        </w:tc>
        <w:tc>
          <w:tcPr>
            <w:tcW w:w="2321" w:type="pct"/>
            <w:tcBorders>
              <w:right w:val="single" w:sz="4" w:space="0" w:color="FFFFFF"/>
            </w:tcBorders>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Рис.28б. Динамика угонов автомобилей, случаев</w:t>
            </w:r>
          </w:p>
        </w:tc>
      </w:tr>
    </w:tbl>
    <w:p w:rsidR="005B0D7D" w:rsidRPr="005B0D7D" w:rsidRDefault="005B0D7D" w:rsidP="005B0D7D">
      <w:pPr>
        <w:spacing w:after="120" w:line="240" w:lineRule="auto"/>
        <w:ind w:right="-23"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Неустойчивую динамику имеют зарегистрированные случаи мошенничества, экономические преступления, факты коррупции (рис.29в</w:t>
      </w:r>
      <w:proofErr w:type="gramStart"/>
      <w:r w:rsidRPr="005B0D7D">
        <w:rPr>
          <w:rFonts w:ascii="Times New Roman" w:eastAsia="Batang" w:hAnsi="Times New Roman" w:cs="Times New Roman"/>
          <w:sz w:val="28"/>
          <w:szCs w:val="28"/>
          <w:lang w:eastAsia="ko-KR"/>
        </w:rPr>
        <w:t>,г</w:t>
      </w:r>
      <w:proofErr w:type="gramEnd"/>
      <w:r w:rsidRPr="005B0D7D">
        <w:rPr>
          <w:rFonts w:ascii="Times New Roman" w:eastAsia="Batang" w:hAnsi="Times New Roman" w:cs="Times New Roman"/>
          <w:sz w:val="28"/>
          <w:szCs w:val="28"/>
          <w:lang w:eastAsia="ko-KR"/>
        </w:rPr>
        <w:t>,д).</w:t>
      </w:r>
    </w:p>
    <w:tbl>
      <w:tblPr>
        <w:tblW w:w="5040" w:type="pct"/>
        <w:tblLook w:val="00A0" w:firstRow="1" w:lastRow="0" w:firstColumn="1" w:lastColumn="0" w:noHBand="0" w:noVBand="0"/>
      </w:tblPr>
      <w:tblGrid>
        <w:gridCol w:w="3406"/>
        <w:gridCol w:w="3407"/>
        <w:gridCol w:w="3405"/>
      </w:tblGrid>
      <w:tr w:rsidR="005B0D7D" w:rsidRPr="005B0D7D" w:rsidTr="005B0D7D">
        <w:trPr>
          <w:cantSplit/>
        </w:trPr>
        <w:tc>
          <w:tcPr>
            <w:tcW w:w="1667" w:type="pct"/>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1905000" cy="143827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1667" w:type="pct"/>
            <w:tcBorders>
              <w:right w:val="single" w:sz="4" w:space="0" w:color="FFFFFF"/>
            </w:tcBorders>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1905000" cy="143827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1667" w:type="pct"/>
            <w:tcBorders>
              <w:left w:val="single" w:sz="4" w:space="0" w:color="FFFFFF"/>
            </w:tcBorders>
          </w:tcPr>
          <w:p w:rsidR="005B0D7D" w:rsidRPr="005B0D7D" w:rsidRDefault="005B0D7D" w:rsidP="005B0D7D">
            <w:pPr>
              <w:spacing w:after="120" w:line="240" w:lineRule="auto"/>
              <w:jc w:val="both"/>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1905000" cy="143827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5B0D7D" w:rsidRPr="005B0D7D" w:rsidTr="005B0D7D">
        <w:trPr>
          <w:cantSplit/>
        </w:trPr>
        <w:tc>
          <w:tcPr>
            <w:tcW w:w="1667" w:type="pct"/>
          </w:tcPr>
          <w:p w:rsidR="005B0D7D" w:rsidRPr="005B0D7D" w:rsidRDefault="005B0D7D" w:rsidP="005B0D7D">
            <w:pPr>
              <w:spacing w:after="120" w:line="240" w:lineRule="auto"/>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t>Рис. 29в. Динамика мошенничества, случаев</w:t>
            </w:r>
          </w:p>
        </w:tc>
        <w:tc>
          <w:tcPr>
            <w:tcW w:w="1667" w:type="pct"/>
            <w:tcBorders>
              <w:right w:val="single" w:sz="4" w:space="0" w:color="FFFFFF"/>
            </w:tcBorders>
          </w:tcPr>
          <w:p w:rsidR="005B0D7D" w:rsidRPr="005B0D7D" w:rsidRDefault="005B0D7D" w:rsidP="005B0D7D">
            <w:pPr>
              <w:spacing w:after="120" w:line="240" w:lineRule="auto"/>
              <w:jc w:val="center"/>
              <w:rPr>
                <w:rFonts w:ascii="Times New Roman" w:eastAsia="Batang" w:hAnsi="Times New Roman" w:cs="Times New Roman"/>
                <w:sz w:val="28"/>
                <w:szCs w:val="28"/>
                <w:lang w:eastAsia="ko-KR"/>
              </w:rPr>
            </w:pPr>
            <w:r w:rsidRPr="005B0D7D">
              <w:rPr>
                <w:rFonts w:ascii="Times New Roman" w:eastAsia="Batang" w:hAnsi="Times New Roman" w:cs="Times New Roman"/>
                <w:b/>
                <w:sz w:val="24"/>
                <w:szCs w:val="24"/>
                <w:lang w:eastAsia="ko-KR"/>
              </w:rPr>
              <w:t>Рис.29г. Динамика экономических преступлений, случаев</w:t>
            </w:r>
          </w:p>
        </w:tc>
        <w:tc>
          <w:tcPr>
            <w:tcW w:w="1667" w:type="pct"/>
            <w:tcBorders>
              <w:left w:val="single" w:sz="4" w:space="0" w:color="FFFFFF"/>
            </w:tcBorders>
          </w:tcPr>
          <w:p w:rsidR="005B0D7D" w:rsidRPr="005B0D7D" w:rsidRDefault="005B0D7D" w:rsidP="005B0D7D">
            <w:pPr>
              <w:spacing w:after="120" w:line="240" w:lineRule="auto"/>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t>Рис. 29д. Динамика случаев коррупции</w:t>
            </w:r>
          </w:p>
        </w:tc>
      </w:tr>
    </w:tbl>
    <w:p w:rsidR="005B0D7D" w:rsidRPr="005B0D7D" w:rsidRDefault="005B0D7D" w:rsidP="005B0D7D">
      <w:pPr>
        <w:spacing w:after="0" w:line="240" w:lineRule="auto"/>
        <w:ind w:right="-23"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Благоприятной тенденцией является снижение подростковой преступности (2011 год – 54 случая, 2012 год – 47 случаев, 2013 год – 31 случай). Уличная преступность имеет неустойчивую, но в целом позитивную динамику (2011 год – 398 случаев, 2012 год – 426 случаев, 2013 год – 296 случаев). </w:t>
      </w:r>
    </w:p>
    <w:p w:rsidR="005B0D7D" w:rsidRPr="005B0D7D" w:rsidRDefault="005B0D7D" w:rsidP="005B0D7D">
      <w:pPr>
        <w:spacing w:after="120" w:line="240" w:lineRule="auto"/>
        <w:ind w:right="-23"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Успехи правоохранительных органов в деле борьбы с преступностью характеризует рост уровня раскрываемости преступлений за трехлетний период почти в два раза (рис.30).</w:t>
      </w:r>
    </w:p>
    <w:p w:rsidR="005B0D7D" w:rsidRPr="005B0D7D" w:rsidRDefault="005B0D7D" w:rsidP="005B0D7D">
      <w:pPr>
        <w:spacing w:after="0" w:line="240" w:lineRule="auto"/>
        <w:ind w:firstLine="720"/>
        <w:jc w:val="center"/>
        <w:rPr>
          <w:rFonts w:ascii="Times New Roman" w:eastAsia="Batang" w:hAnsi="Times New Roman" w:cs="Times New Roman"/>
          <w:sz w:val="28"/>
          <w:szCs w:val="28"/>
          <w:lang w:eastAsia="ko-KR"/>
        </w:rPr>
      </w:pPr>
      <w:r>
        <w:rPr>
          <w:rFonts w:ascii="Times New Roman" w:eastAsia="Batang" w:hAnsi="Times New Roman" w:cs="Times New Roman"/>
          <w:noProof/>
          <w:sz w:val="28"/>
          <w:szCs w:val="28"/>
          <w:lang w:eastAsia="ru-RU"/>
        </w:rPr>
        <w:drawing>
          <wp:inline distT="0" distB="0" distL="0" distR="0">
            <wp:extent cx="2686050" cy="9144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B0D7D" w:rsidRPr="005B0D7D" w:rsidRDefault="005B0D7D" w:rsidP="005B0D7D">
      <w:pPr>
        <w:spacing w:before="120" w:after="120" w:line="240" w:lineRule="auto"/>
        <w:ind w:firstLine="720"/>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t>Рис.30. Уровень раскрываемости преступлений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Таким образом, в целом можно говорить о достаточно высоком уровне общественной безопасности, обеспечивающим комфортность жизни в городе Ханты-Мансийске.</w:t>
      </w:r>
      <w:r w:rsidRPr="005B0D7D">
        <w:rPr>
          <w:rFonts w:ascii="Times New Roman" w:eastAsia="Batang" w:hAnsi="Times New Roman" w:cs="Times New Roman"/>
          <w:sz w:val="28"/>
          <w:szCs w:val="28"/>
          <w:lang w:eastAsia="ko-KR"/>
        </w:rPr>
        <w:br w:type="page"/>
      </w:r>
    </w:p>
    <w:p w:rsidR="005B0D7D" w:rsidRPr="005B0D7D" w:rsidRDefault="005B0D7D" w:rsidP="005B0D7D">
      <w:pPr>
        <w:keepNext/>
        <w:spacing w:before="240" w:after="60" w:line="240" w:lineRule="auto"/>
        <w:jc w:val="center"/>
        <w:outlineLvl w:val="0"/>
        <w:rPr>
          <w:rFonts w:ascii="Times New Roman" w:eastAsia="Batang" w:hAnsi="Times New Roman" w:cs="Times New Roman"/>
          <w:b/>
          <w:bCs/>
          <w:kern w:val="32"/>
          <w:sz w:val="28"/>
          <w:szCs w:val="32"/>
          <w:lang w:eastAsia="ko-KR"/>
        </w:rPr>
      </w:pPr>
      <w:bookmarkStart w:id="167" w:name="_Toc410639487"/>
      <w:r w:rsidRPr="005B0D7D">
        <w:rPr>
          <w:rFonts w:ascii="Times New Roman" w:eastAsia="Batang" w:hAnsi="Times New Roman" w:cs="Times New Roman"/>
          <w:b/>
          <w:bCs/>
          <w:kern w:val="32"/>
          <w:sz w:val="28"/>
          <w:szCs w:val="32"/>
          <w:lang w:eastAsia="ko-KR"/>
        </w:rPr>
        <w:lastRenderedPageBreak/>
        <w:t>4. ОЦЕНКА ИМЕЮЩЕГОСЯ ПОТЕНЦИАЛА И КОНКУРЕНТОСПОСОБНОСТИ ЭКОНОМИКИ ГОРОДА</w:t>
      </w:r>
      <w:bookmarkEnd w:id="167"/>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168" w:name="_Toc410639488"/>
      <w:r w:rsidRPr="005B0D7D">
        <w:rPr>
          <w:rFonts w:ascii="Times New Roman" w:eastAsia="Batang" w:hAnsi="Times New Roman" w:cs="Times New Roman"/>
          <w:b/>
          <w:bCs/>
          <w:sz w:val="28"/>
          <w:szCs w:val="28"/>
          <w:lang w:eastAsia="ko-KR"/>
        </w:rPr>
        <w:t>4.1. Природно-ресурсный потенциал</w:t>
      </w:r>
      <w:bookmarkEnd w:id="168"/>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Под природно-ресурсным потенциалом понимается совокупность природных ресурсов, которые могут быть использованы в развитии экономики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Земельные ресурсы города при соответствующей их подготовке будут использованы для расширения объемов жилищного строительства, а также для размещения небольших производств.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Умеренно-континентальный климат с продолжительной холодной зимой позволяет развивать город Ханты-Мансийск как центр зимних видов спорта, особенно в весенний период – более снежный по сравнению с городами-конкурентами.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Богатая природа и, в частности, национальный парк «</w:t>
      </w:r>
      <w:proofErr w:type="spellStart"/>
      <w:r w:rsidRPr="005B0D7D">
        <w:rPr>
          <w:rFonts w:ascii="Times New Roman" w:eastAsia="Batang" w:hAnsi="Times New Roman" w:cs="Times New Roman"/>
          <w:sz w:val="28"/>
          <w:szCs w:val="28"/>
          <w:lang w:eastAsia="ko-KR"/>
        </w:rPr>
        <w:t>Самаровский</w:t>
      </w:r>
      <w:proofErr w:type="spellEnd"/>
      <w:r w:rsidRPr="005B0D7D">
        <w:rPr>
          <w:rFonts w:ascii="Times New Roman" w:eastAsia="Batang" w:hAnsi="Times New Roman" w:cs="Times New Roman"/>
          <w:sz w:val="28"/>
          <w:szCs w:val="28"/>
          <w:lang w:eastAsia="ko-KR"/>
        </w:rPr>
        <w:t xml:space="preserve"> </w:t>
      </w:r>
      <w:proofErr w:type="spellStart"/>
      <w:r w:rsidRPr="005B0D7D">
        <w:rPr>
          <w:rFonts w:ascii="Times New Roman" w:eastAsia="Batang" w:hAnsi="Times New Roman" w:cs="Times New Roman"/>
          <w:sz w:val="28"/>
          <w:szCs w:val="28"/>
          <w:lang w:eastAsia="ko-KR"/>
        </w:rPr>
        <w:t>чугас</w:t>
      </w:r>
      <w:proofErr w:type="spellEnd"/>
      <w:r w:rsidRPr="005B0D7D">
        <w:rPr>
          <w:rFonts w:ascii="Times New Roman" w:eastAsia="Batang" w:hAnsi="Times New Roman" w:cs="Times New Roman"/>
          <w:sz w:val="28"/>
          <w:szCs w:val="28"/>
          <w:lang w:eastAsia="ko-KR"/>
        </w:rPr>
        <w:t xml:space="preserve">» формирует экологическую устойчивость города и является фактором развития рекреационного туризма.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Наличие источников термальных вод создает условия для строительства бальнеологических центров с термальными комплексами, SPA-салонами, водолечебницами. Так, на территории отеля </w:t>
      </w:r>
      <w:proofErr w:type="spellStart"/>
      <w:r w:rsidRPr="005B0D7D">
        <w:rPr>
          <w:rFonts w:ascii="Times New Roman" w:eastAsia="Batang" w:hAnsi="Times New Roman" w:cs="Times New Roman"/>
          <w:sz w:val="28"/>
          <w:szCs w:val="28"/>
          <w:lang w:eastAsia="ko-KR"/>
        </w:rPr>
        <w:t>Cronwell</w:t>
      </w:r>
      <w:proofErr w:type="spellEnd"/>
      <w:r w:rsidRPr="005B0D7D">
        <w:rPr>
          <w:rFonts w:ascii="Times New Roman" w:eastAsia="Batang" w:hAnsi="Times New Roman" w:cs="Times New Roman"/>
          <w:sz w:val="28"/>
          <w:szCs w:val="28"/>
          <w:lang w:eastAsia="ko-KR"/>
        </w:rPr>
        <w:t xml:space="preserve"> </w:t>
      </w:r>
      <w:proofErr w:type="spellStart"/>
      <w:r w:rsidRPr="005B0D7D">
        <w:rPr>
          <w:rFonts w:ascii="Times New Roman" w:eastAsia="Batang" w:hAnsi="Times New Roman" w:cs="Times New Roman"/>
          <w:sz w:val="28"/>
          <w:szCs w:val="28"/>
          <w:lang w:eastAsia="ko-KR"/>
        </w:rPr>
        <w:t>Resort</w:t>
      </w:r>
      <w:proofErr w:type="spellEnd"/>
      <w:r w:rsidRPr="005B0D7D">
        <w:rPr>
          <w:rFonts w:ascii="Times New Roman" w:eastAsia="Batang" w:hAnsi="Times New Roman" w:cs="Times New Roman"/>
          <w:sz w:val="28"/>
          <w:szCs w:val="28"/>
          <w:lang w:eastAsia="ko-KR"/>
        </w:rPr>
        <w:t xml:space="preserve"> Югорская Долина расположен знаменитый термальный комплекс.</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Природные запасы песка и глины создают условия для развития производства стройматериалов, а в перспективе – и керамики.</w:t>
      </w:r>
    </w:p>
    <w:p w:rsidR="005B0D7D" w:rsidRPr="005B0D7D" w:rsidRDefault="005B0D7D" w:rsidP="005B0D7D">
      <w:pPr>
        <w:keepNext/>
        <w:numPr>
          <w:ilvl w:val="1"/>
          <w:numId w:val="9"/>
        </w:numPr>
        <w:spacing w:before="240" w:after="60" w:line="240" w:lineRule="auto"/>
        <w:jc w:val="center"/>
        <w:outlineLvl w:val="1"/>
        <w:rPr>
          <w:rFonts w:ascii="Times New Roman" w:eastAsia="Batang" w:hAnsi="Times New Roman" w:cs="Times New Roman"/>
          <w:b/>
          <w:bCs/>
          <w:sz w:val="28"/>
          <w:szCs w:val="28"/>
          <w:lang w:eastAsia="ko-KR"/>
        </w:rPr>
      </w:pPr>
      <w:bookmarkStart w:id="169" w:name="_Toc410639489"/>
      <w:r w:rsidRPr="005B0D7D">
        <w:rPr>
          <w:rFonts w:ascii="Times New Roman" w:eastAsia="Batang" w:hAnsi="Times New Roman" w:cs="Times New Roman"/>
          <w:b/>
          <w:bCs/>
          <w:sz w:val="28"/>
          <w:szCs w:val="28"/>
          <w:lang w:eastAsia="ko-KR"/>
        </w:rPr>
        <w:t>Трудовой потенциал</w:t>
      </w:r>
      <w:bookmarkEnd w:id="16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Важным фактором, определяющим трудовой потенциал города, является высокая доля населения трудоспособного возраста.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Благодаря интенсивному развитию малого и среднего предпринимательства ежегодно в Ханты-Мансийске создается по нескольку сотен новых рабочих мест. Набольшее увеличение среднесписочной численности работников наблюдается в сельском хозяйстве, рыболовстве и рыбоводстве, гостиничном и ресторанном бизнесе.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Предложение рабочих мест зачастую опережает спрос на рабочую силу, что предопределяет низкие значения коэффициента напряженности на рынке труда. В результате в городе уровень безработицы является самым низким в автономном округе.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Город имеет возможность создавать временные рабочие места для трудоустройства молодых людей. Формируются трудовые отряды, в том числе городской молодежный сервисный отряд, функция которого – обеспечивать проведение массовых мероприятий на территории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Особую часть трудового потенциала города составляют мигранты. Так, только за один год (2012-2013) масштабы трудовой миграции увеличились почти на четверть. Среди мигрантов немалую долю составляют лица с высшим и средним специальным образованием, что усиливает трудовой потенциал территории.</w:t>
      </w:r>
    </w:p>
    <w:p w:rsidR="005B0D7D" w:rsidRPr="005B0D7D" w:rsidRDefault="005B0D7D" w:rsidP="005B0D7D">
      <w:pPr>
        <w:keepNext/>
        <w:numPr>
          <w:ilvl w:val="1"/>
          <w:numId w:val="9"/>
        </w:numPr>
        <w:spacing w:before="240" w:after="60" w:line="240" w:lineRule="auto"/>
        <w:jc w:val="center"/>
        <w:outlineLvl w:val="1"/>
        <w:rPr>
          <w:rFonts w:ascii="Times New Roman" w:eastAsia="Batang" w:hAnsi="Times New Roman" w:cs="Times New Roman"/>
          <w:b/>
          <w:bCs/>
          <w:sz w:val="28"/>
          <w:szCs w:val="28"/>
          <w:lang w:eastAsia="ko-KR"/>
        </w:rPr>
      </w:pPr>
      <w:bookmarkStart w:id="170" w:name="_Toc410639490"/>
      <w:r w:rsidRPr="005B0D7D">
        <w:rPr>
          <w:rFonts w:ascii="Times New Roman" w:eastAsia="Batang" w:hAnsi="Times New Roman" w:cs="Times New Roman"/>
          <w:b/>
          <w:bCs/>
          <w:sz w:val="28"/>
          <w:szCs w:val="28"/>
          <w:lang w:eastAsia="ko-KR"/>
        </w:rPr>
        <w:lastRenderedPageBreak/>
        <w:t>Экономический потенциал</w:t>
      </w:r>
      <w:bookmarkEnd w:id="170"/>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Экономика города Ханты-Мансийска носит социально-ориентированный характер, обслуживая потребности населения и хозяйствующих субъектов. Вместе с тем в городе создается благоприятная среда для модернизации предприятий коммунального сектора и создания небольших обрабатывающих производств.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2013 году наблюдается рост объемов производства по виду деятельности «производство и распределение электроэнергии, газа и воды», что объясняется увеличением численности населения, вводом дополнительных помещений жилых домов и объектов социальной сферы.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Среди обрабатывающих производств растут показатели по отрасли обработки древесины и производства изделий из дерева.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Наращивает свою деятельность рыбокомбинат. Увеличивается площадь фирменных магазинов комбината, строится тепличное хозяйство.</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Большой вклад в реализацию экономического потенциала территории вносит строительная отрасль, о чем говорит систематическое увеличение объемов выполненных работ и услуг на протяжении последних лет. Ввод в эксплуатацию больших объемов жилья (</w:t>
      </w:r>
      <w:smartTag w:uri="urn:schemas-microsoft-com:office:smarttags" w:element="metricconverter">
        <w:smartTagPr>
          <w:attr w:name="ProductID" w:val="1,21 кв. м"/>
        </w:smartTagPr>
        <w:r w:rsidRPr="005B0D7D">
          <w:rPr>
            <w:rFonts w:ascii="Times New Roman" w:eastAsia="Batang" w:hAnsi="Times New Roman" w:cs="Times New Roman"/>
            <w:sz w:val="28"/>
            <w:szCs w:val="28"/>
            <w:lang w:eastAsia="ko-KR"/>
          </w:rPr>
          <w:t>1,21 кв. м</w:t>
        </w:r>
      </w:smartTag>
      <w:r w:rsidRPr="005B0D7D">
        <w:rPr>
          <w:rFonts w:ascii="Times New Roman" w:eastAsia="Batang" w:hAnsi="Times New Roman" w:cs="Times New Roman"/>
          <w:sz w:val="28"/>
          <w:szCs w:val="28"/>
          <w:lang w:eastAsia="ko-KR"/>
        </w:rPr>
        <w:t xml:space="preserve"> на человека) позволяет строительным организациям создавать большие объемы добавленной стоимости и реинвестировать часть выручки в новые строительные проекты.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Ханты-Мансийске создана благоприятная инвестиционная среда. В рейтинге инвестиционной привлекательности город занимает лидирующие позиции среди муниципальных образований автономного округа. В настоящее время инвестиционный портфель города Ханты-Мансийска включает 112 инвестиционных проектов, большая часть которых относится к отраслям жилищного строительства (40,2%) и коммунального хозяйства (22,3%). Реализация инвестиционных проектов способствует интенсификации развития банковской сферы и сопутствующих услуг. Среди инвестиционных проектов 90% реализуются за счет привлеченных средств, т.е. на 1 рубль бюджетных вложений привлекается более 9 рублей частных инвестиций – это говорит о высокой финансовой отдаче инвестиционной политики. </w:t>
      </w:r>
    </w:p>
    <w:p w:rsidR="005B0D7D" w:rsidRPr="005B0D7D" w:rsidRDefault="005B0D7D" w:rsidP="005B0D7D">
      <w:pPr>
        <w:tabs>
          <w:tab w:val="left" w:pos="993"/>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Значимым фактором развития экономического потенциала является транспортная система города. </w:t>
      </w:r>
      <w:proofErr w:type="gramStart"/>
      <w:r w:rsidRPr="005B0D7D">
        <w:rPr>
          <w:rFonts w:ascii="Times New Roman" w:eastAsia="Batang" w:hAnsi="Times New Roman" w:cs="Times New Roman"/>
          <w:sz w:val="28"/>
          <w:szCs w:val="28"/>
          <w:lang w:eastAsia="ko-KR"/>
        </w:rPr>
        <w:t>Предпринятое в последние 18 лет строительство автомобильной дороги в восточном направлении от Ханты-Мансийска, а также строительство моста через реку Иртыш в западной части города позволило обеспечить регулярное транспортное сообщение между окружной столицей и другими территориями Ханты-Мансийского автономного округа – Югры, а также городами Урала и Сибири.</w:t>
      </w:r>
      <w:proofErr w:type="gramEnd"/>
      <w:r w:rsidRPr="005B0D7D">
        <w:rPr>
          <w:rFonts w:ascii="Times New Roman" w:eastAsia="Batang" w:hAnsi="Times New Roman" w:cs="Times New Roman"/>
          <w:sz w:val="28"/>
          <w:szCs w:val="28"/>
          <w:lang w:eastAsia="ko-KR"/>
        </w:rPr>
        <w:t xml:space="preserve"> Дальнейшее расширение транспортной сети и строительство логистических центров может дать городу определенный потенциал развития, однако в части планируемых объемов грузоперевозок следует устанавливать пределы роста, чтобы не нарушить благоприятную экологическую обстановку и комфортность проживания в городе. Возможно, в Ханты-Мансийске в большей мере следует развивать водную логистику, учитывая имеющиеся мощности речного порта и слабую конкуренцию в этом отношении со стороны других городов Ханты-Мансийского автономного округа – Югры.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В целом реализация экономического потенциала города Ханты-Мансийска создает условия для роста доходов местного бюджета. Сбалансированность бюджета позволяет городу не просто реализовывать полномочия по решению вопросов местного значения, но и обеспечивать развитие всех ключевых сфер жизнедеятельности.</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171" w:name="_Toc410639491"/>
      <w:r w:rsidRPr="005B0D7D">
        <w:rPr>
          <w:rFonts w:ascii="Times New Roman" w:eastAsia="Batang" w:hAnsi="Times New Roman" w:cs="Times New Roman"/>
          <w:b/>
          <w:bCs/>
          <w:sz w:val="28"/>
          <w:szCs w:val="28"/>
          <w:lang w:eastAsia="ko-KR"/>
        </w:rPr>
        <w:t>4.4. Градостроительный потенциал</w:t>
      </w:r>
      <w:bookmarkEnd w:id="171"/>
    </w:p>
    <w:p w:rsidR="005B0D7D" w:rsidRPr="005B0D7D" w:rsidRDefault="005B0D7D" w:rsidP="005B0D7D">
      <w:pPr>
        <w:spacing w:after="0" w:line="240" w:lineRule="auto"/>
        <w:ind w:firstLine="720"/>
        <w:jc w:val="both"/>
        <w:rPr>
          <w:rFonts w:ascii="Times New Roman" w:eastAsia="Batang" w:hAnsi="Times New Roman" w:cs="Times New Roman"/>
          <w:sz w:val="28"/>
          <w:szCs w:val="24"/>
          <w:lang w:eastAsia="ko-KR"/>
        </w:rPr>
      </w:pPr>
      <w:r w:rsidRPr="005B0D7D">
        <w:rPr>
          <w:rFonts w:ascii="Times New Roman" w:eastAsia="Batang" w:hAnsi="Times New Roman" w:cs="Times New Roman"/>
          <w:sz w:val="28"/>
          <w:szCs w:val="24"/>
          <w:lang w:eastAsia="ko-KR"/>
        </w:rPr>
        <w:t>Ханты-Мансийск, в отличие от других городов Ханты-Мансийского автономного округа – Югры, характеризуется устойчивостью градообразующей базы, независимостью вектора развития города от конкретных нефтегазовых месторождений.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Градостроительный потенциал Ханты-Мансийска недостаточен в плане развития вширь по причине ограничений природного характера. Практически с трех сторон город окружает река Иртыш, относительно большие территории в городской черте являются поймой реки. В данной ситуации перспективным представляется уплотнение застройки центральной части города в результате сноса деревянных домов и освоения новых территорий (микрорайон Восточный).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Повышению градостроительного потенциала города Ханты-Мансийска будет способствовать работа по пяти направлениям.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Во-первых, следует обеспечивать гармоничное развитие всей территории города. Этому будет способствовать </w:t>
      </w:r>
      <w:r w:rsidRPr="005B0D7D">
        <w:rPr>
          <w:rFonts w:ascii="Times New Roman" w:eastAsia="Batang" w:hAnsi="Times New Roman" w:cs="Times New Roman"/>
          <w:sz w:val="28"/>
          <w:szCs w:val="24"/>
          <w:lang w:eastAsia="ko-KR"/>
        </w:rPr>
        <w:t xml:space="preserve">стимулирование инвесторов и предпринимателей к созданию новых рабочих мест в периферийных жилых микрорайонах, а также строительство объектов социальной </w:t>
      </w:r>
      <w:proofErr w:type="gramStart"/>
      <w:r w:rsidRPr="005B0D7D">
        <w:rPr>
          <w:rFonts w:ascii="Times New Roman" w:eastAsia="Batang" w:hAnsi="Times New Roman" w:cs="Times New Roman"/>
          <w:sz w:val="28"/>
          <w:szCs w:val="24"/>
          <w:lang w:eastAsia="ko-KR"/>
        </w:rPr>
        <w:t>сферы</w:t>
      </w:r>
      <w:proofErr w:type="gramEnd"/>
      <w:r w:rsidRPr="005B0D7D">
        <w:rPr>
          <w:rFonts w:ascii="Times New Roman" w:eastAsia="Batang" w:hAnsi="Times New Roman" w:cs="Times New Roman"/>
          <w:sz w:val="28"/>
          <w:szCs w:val="24"/>
          <w:lang w:eastAsia="ko-KR"/>
        </w:rPr>
        <w:t xml:space="preserve"> в том числе и на отдаленных территориях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ko-KR"/>
        </w:rPr>
        <w:t xml:space="preserve">Во-вторых, предполагается повышение функциональности городской среды. Необходимо делать ставку на создание </w:t>
      </w:r>
      <w:r w:rsidRPr="005B0D7D">
        <w:rPr>
          <w:rFonts w:ascii="Times New Roman" w:eastAsia="Batang" w:hAnsi="Times New Roman" w:cs="Times New Roman"/>
          <w:sz w:val="28"/>
          <w:szCs w:val="24"/>
          <w:lang w:eastAsia="ko-KR"/>
        </w:rPr>
        <w:t xml:space="preserve">многофункциональной городской среды путем размещения торговых объектов, небольших безвредных производств. Освоению периферийных территорий города и в то же время улучшению жилищных условий будет способствовать индивидуальное жилищное строительство. Актуальной задачей сегодняшнего дня является оптимизация парковочного пространства и строительство развязок, поскольку ежегодное увеличение числа автомобилей может отрицательно повлиять на городскую среду. Важным направлением градостроительного развития является создание условий для комфортного перемещения по городу маломобильных групп граждан. Повышению функциональности территории будет способствовать </w:t>
      </w:r>
      <w:r w:rsidRPr="005B0D7D">
        <w:rPr>
          <w:rFonts w:ascii="Times New Roman" w:eastAsia="Batang" w:hAnsi="Times New Roman" w:cs="Times New Roman"/>
          <w:sz w:val="28"/>
          <w:szCs w:val="28"/>
          <w:lang w:eastAsia="ko-KR"/>
        </w:rPr>
        <w:t xml:space="preserve">прокладка новых и замена изношенных коммунальных сетей. Конкретным </w:t>
      </w:r>
      <w:r w:rsidRPr="005B0D7D">
        <w:rPr>
          <w:rFonts w:ascii="Times New Roman" w:eastAsia="Batang" w:hAnsi="Times New Roman" w:cs="Times New Roman"/>
          <w:sz w:val="28"/>
          <w:szCs w:val="28"/>
          <w:lang w:eastAsia="ru-RU"/>
        </w:rPr>
        <w:t>результатом повышенного внимания муниципалитета и коммунальных предприятий к состоянию инженерных сетей должно стать отсутствие крупных аварий.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В-третьих, потенциал города будет прирастать за счет дальнейшей </w:t>
      </w:r>
      <w:proofErr w:type="spellStart"/>
      <w:r w:rsidRPr="005B0D7D">
        <w:rPr>
          <w:rFonts w:ascii="Times New Roman" w:eastAsia="Batang" w:hAnsi="Times New Roman" w:cs="Times New Roman"/>
          <w:sz w:val="28"/>
          <w:szCs w:val="28"/>
          <w:lang w:eastAsia="ko-KR"/>
        </w:rPr>
        <w:t>эстетизации</w:t>
      </w:r>
      <w:proofErr w:type="spellEnd"/>
      <w:r w:rsidRPr="005B0D7D">
        <w:rPr>
          <w:rFonts w:ascii="Times New Roman" w:eastAsia="Batang" w:hAnsi="Times New Roman" w:cs="Times New Roman"/>
          <w:sz w:val="28"/>
          <w:szCs w:val="28"/>
          <w:lang w:eastAsia="ko-KR"/>
        </w:rPr>
        <w:t xml:space="preserve"> городской среды. В данном направлении рекомендуется</w:t>
      </w:r>
    </w:p>
    <w:p w:rsidR="005B0D7D" w:rsidRPr="005B0D7D" w:rsidRDefault="005B0D7D" w:rsidP="005B0D7D">
      <w:pPr>
        <w:spacing w:after="0" w:line="240" w:lineRule="auto"/>
        <w:ind w:firstLine="720"/>
        <w:jc w:val="both"/>
        <w:rPr>
          <w:rFonts w:ascii="Times New Roman" w:eastAsia="Batang" w:hAnsi="Times New Roman" w:cs="Times New Roman"/>
          <w:sz w:val="28"/>
          <w:szCs w:val="24"/>
          <w:lang w:eastAsia="ko-KR"/>
        </w:rPr>
      </w:pPr>
      <w:r w:rsidRPr="005B0D7D">
        <w:rPr>
          <w:rFonts w:ascii="Times New Roman" w:eastAsia="Batang" w:hAnsi="Times New Roman" w:cs="Times New Roman"/>
          <w:sz w:val="28"/>
          <w:szCs w:val="24"/>
          <w:lang w:eastAsia="ko-KR"/>
        </w:rPr>
        <w:t>ландшафтное обустройство и озеленение охранных зон высоковольтных линий электропередачи на территории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разработка концепции визуального восприятия основных градостроительных узлов, а также маршрутов визуального осмотра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 xml:space="preserve">продолжение работы по архитектурно-ландшафтному обустройству объектов и малых общественных территорий.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Градостроительный потенциал территории, безусловно, повысит разработка </w:t>
      </w:r>
      <w:proofErr w:type="gramStart"/>
      <w:r w:rsidRPr="005B0D7D">
        <w:rPr>
          <w:rFonts w:ascii="Times New Roman" w:eastAsia="Batang" w:hAnsi="Times New Roman" w:cs="Times New Roman"/>
          <w:sz w:val="28"/>
          <w:szCs w:val="28"/>
          <w:lang w:eastAsia="ko-KR"/>
        </w:rPr>
        <w:t>проектов зон охраны объектов культурного наследия</w:t>
      </w:r>
      <w:proofErr w:type="gramEnd"/>
      <w:r w:rsidRPr="005B0D7D">
        <w:rPr>
          <w:rFonts w:ascii="Times New Roman" w:eastAsia="Batang" w:hAnsi="Times New Roman" w:cs="Times New Roman"/>
          <w:sz w:val="28"/>
          <w:szCs w:val="28"/>
          <w:lang w:eastAsia="ko-KR"/>
        </w:rPr>
        <w:t xml:space="preserve"> и придание особо ценным фрагментам исторической застройки статуса достопримечательных мест.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Преодолеть ограниченность территории города и тем самым расширить его потенциал возможно за счет развития агломерации. Стратегия социально-экономического развития Ханты-Мансийского автономного округа – Югры </w:t>
      </w:r>
      <w:r w:rsidRPr="005B0D7D">
        <w:rPr>
          <w:rFonts w:ascii="Times New Roman" w:eastAsia="Batang" w:hAnsi="Times New Roman" w:cs="Times New Roman"/>
          <w:sz w:val="28"/>
          <w:szCs w:val="24"/>
          <w:lang w:eastAsia="ko-KR"/>
        </w:rPr>
        <w:t xml:space="preserve">до 2020 года и на период </w:t>
      </w:r>
      <w:r w:rsidRPr="005B0D7D">
        <w:rPr>
          <w:rFonts w:ascii="Times New Roman" w:eastAsia="Batang" w:hAnsi="Times New Roman" w:cs="Times New Roman"/>
          <w:sz w:val="28"/>
          <w:szCs w:val="28"/>
          <w:lang w:eastAsia="ko-KR"/>
        </w:rPr>
        <w:t>до 2030 года предусматривает преобразование пространства округа в 7 агломераций, в том числе создание «Большого Ханты-Мансийска», в который войдут сам город и все окрестные поселения в стокилометровой зоне автотранспортной доступности от столицы Югры.</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172" w:name="_Toc410639492"/>
      <w:r w:rsidRPr="005B0D7D">
        <w:rPr>
          <w:rFonts w:ascii="Times New Roman" w:eastAsia="Batang" w:hAnsi="Times New Roman" w:cs="Times New Roman"/>
          <w:b/>
          <w:bCs/>
          <w:sz w:val="28"/>
          <w:szCs w:val="28"/>
          <w:lang w:eastAsia="ko-KR"/>
        </w:rPr>
        <w:t>4.5. Социальный потенциал</w:t>
      </w:r>
      <w:bookmarkEnd w:id="172"/>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Социальный потенциал города складывается из образовательного, культурного, спортивного, туристического потенциалов, а также включает в себя потенциал молодежной политики и социальной поддержки населения.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Образовательный потенциал составляет совершенная материально-техническая база образовательных организаций, интенсивное строительство новых детских садов и школ. Перед системой образования ставится задача создать предпосылки для инновационного развития города.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Реализация культурного потенциала обеспечивается тем, что в настоящее время Ханты-Мансийск по праву считается ведущим культурным центром Ханты-Мансийского автономного округа – Югры, учитывая обилие культурных мероприятий и эстетичную культурную среду. О росте культурных потребностей жителей говорит усиление их интереса к массовым мероприятиям и пользованию библиотеками.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Потенциал Ханты-Мансийска в сфере спорта определяется имиджем города как столицы зимних видов спорта, известностью проходящих в столице Югры спортивных событий далеко за ее пределами.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Потенциал молодежной политики определяется уровнем гражданской, деловой и социальной активности ханты-мансийской молодежи, ее готовностью вносить свой вклад в стратегическое развитие города. Сформированная система молодежной политики позволяет обеспечивать временную занятость подростков и молодых людей, вовлекать молодежь в интеллектуальные, патриотические, спортивные и социально-значимые мероприятия. Потенциал талантливой молодежи учитывается в специальной базе данных. Большой социальный потенциал имеет волонтерское движение.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Потенциал сферы социальной защиты населения определяется тем, что соответствующий орган Администрации города, помимо реализации переданных государственных полномочий (своевременные выплаты пособий отдельным категориям населения), ведет деятельность по активизации социального потенциала территории. За счет муниципального ресурса граждане получают дополнительную материальную поддержку. Поддержка социально-ориентированных некоммерческих организаций позволяет им реализовывать </w:t>
      </w:r>
      <w:r w:rsidRPr="005B0D7D">
        <w:rPr>
          <w:rFonts w:ascii="Times New Roman" w:eastAsia="Batang" w:hAnsi="Times New Roman" w:cs="Times New Roman"/>
          <w:sz w:val="28"/>
          <w:szCs w:val="28"/>
          <w:lang w:eastAsia="ko-KR"/>
        </w:rPr>
        <w:lastRenderedPageBreak/>
        <w:t xml:space="preserve">социально-значимые проекты, а также обеспечить интеграцию в общество социально-уязвимых групп населения. Программа «Доступная среда» способствует созданию </w:t>
      </w:r>
      <w:proofErr w:type="spellStart"/>
      <w:r w:rsidRPr="005B0D7D">
        <w:rPr>
          <w:rFonts w:ascii="Times New Roman" w:eastAsia="Batang" w:hAnsi="Times New Roman" w:cs="Times New Roman"/>
          <w:sz w:val="28"/>
          <w:szCs w:val="28"/>
          <w:lang w:eastAsia="ko-KR"/>
        </w:rPr>
        <w:t>безбарьерной</w:t>
      </w:r>
      <w:proofErr w:type="spellEnd"/>
      <w:r w:rsidRPr="005B0D7D">
        <w:rPr>
          <w:rFonts w:ascii="Times New Roman" w:eastAsia="Batang" w:hAnsi="Times New Roman" w:cs="Times New Roman"/>
          <w:sz w:val="28"/>
          <w:szCs w:val="28"/>
          <w:lang w:eastAsia="ko-KR"/>
        </w:rPr>
        <w:t xml:space="preserve"> среды для инвалидов.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Значительный социальный потенциал города составляют семьи, готовые принять на воспитание ребенка из детского дома.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Субъекты малого предпринимательства реализуют свой социальный потенциал, в частности, в рамках Соглашения социального партнерства по оказанию бытовых услуг, заключенного Администрацией города, муниципальным казенным учреждением «Служба социальной поддержки населения» и субъектами бытового обслуживания. Соглашение предусматривает предоставление 30% скидки на социально-значимые бытовые услуги для льготной категории граждан. В сфере дошкольного образования социальный потенциал реализуется за счет открытия частных детских садов и групп по уходу и присмотру за детьми при финансовой и имущественной поддержке муниципального образования. </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173" w:name="_Toc410639493"/>
      <w:r w:rsidRPr="005B0D7D">
        <w:rPr>
          <w:rFonts w:ascii="Times New Roman" w:eastAsia="Batang" w:hAnsi="Times New Roman" w:cs="Times New Roman"/>
          <w:b/>
          <w:bCs/>
          <w:sz w:val="28"/>
          <w:szCs w:val="28"/>
          <w:lang w:eastAsia="ko-KR"/>
        </w:rPr>
        <w:t>4.6. Инновационный потенциал</w:t>
      </w:r>
      <w:bookmarkEnd w:id="173"/>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Важным элементом развития инновационной деятельности является созданная  на территории города Ханты-Мансийска инфраструктура развития, укрепления и поддержки инновационного предпринимательства, которая представлена следующими организациями: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Бюджетное учреждение «Региональный центр инвестиций»;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 Фонд поддержки предпринимательства Югры;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ООО «Окружной Бизнес-Инкубатор»;</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Торгово-промышленная палата Ханты-Мансийского автономного округа – Югры;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Фонд развития Ханты-Мансийского автономного округа – Югры;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Автономное учреждение «Технопарк высоких технологий Ханты-Мансийского автономного округа – Югры»;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 Фонд микрофинансирования Ханты-Мансийского автономного округа – Югры;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 Фонд «Центр поддержки экспорта Югры».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Организации инновационной инфраструктуры оказывают разнообразные виды поддержки инновационным компаниям.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Научный потенциал инновационной деятельности реализуют Югорский государственный университет и Югорский научно-исследовательский институт информационных технологий.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Генератором инновационной деятельности в городе Ханты-Мансийске являются малые инновационные предприятия, число которых ежегодно увеличивается на несколько десятков. Успешная деятельность инновационных предприятий позволила создать сотни новых рабочих мест, наращивать объемы реализации своей продукции, </w:t>
      </w:r>
      <w:proofErr w:type="spellStart"/>
      <w:r w:rsidRPr="005B0D7D">
        <w:rPr>
          <w:rFonts w:ascii="Times New Roman" w:eastAsia="Batang" w:hAnsi="Times New Roman" w:cs="Times New Roman"/>
          <w:sz w:val="28"/>
          <w:szCs w:val="28"/>
          <w:lang w:eastAsia="ko-KR"/>
        </w:rPr>
        <w:t>коммерциализировать</w:t>
      </w:r>
      <w:proofErr w:type="spellEnd"/>
      <w:r w:rsidRPr="005B0D7D">
        <w:rPr>
          <w:rFonts w:ascii="Times New Roman" w:eastAsia="Batang" w:hAnsi="Times New Roman" w:cs="Times New Roman"/>
          <w:sz w:val="28"/>
          <w:szCs w:val="28"/>
          <w:lang w:eastAsia="ko-KR"/>
        </w:rPr>
        <w:t xml:space="preserve"> научные разработки. Существенным условием капитализации инновационных разработок малых инновационных предприятий и научных организаций является патентная </w:t>
      </w:r>
      <w:r w:rsidRPr="005B0D7D">
        <w:rPr>
          <w:rFonts w:ascii="Times New Roman" w:eastAsia="Batang" w:hAnsi="Times New Roman" w:cs="Times New Roman"/>
          <w:sz w:val="28"/>
          <w:szCs w:val="28"/>
          <w:lang w:eastAsia="ko-KR"/>
        </w:rPr>
        <w:lastRenderedPageBreak/>
        <w:t>деятельность. В этой связи увеличение числа подаваемых заявок на патенты способствует реализации инновационного потенциала территории.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Одним из важнейших факторов реализации инновационного потенциала территории Ханты-Мансийска является формирование устойчивого спроса на инновационную продукцию. Учитывая отраслевую структуру экономики города, спрос на </w:t>
      </w:r>
      <w:proofErr w:type="spellStart"/>
      <w:r w:rsidRPr="005B0D7D">
        <w:rPr>
          <w:rFonts w:ascii="Times New Roman" w:eastAsia="Batang" w:hAnsi="Times New Roman" w:cs="Times New Roman"/>
          <w:sz w:val="28"/>
          <w:szCs w:val="28"/>
          <w:lang w:eastAsia="ko-KR"/>
        </w:rPr>
        <w:t>коммерциализированные</w:t>
      </w:r>
      <w:proofErr w:type="spellEnd"/>
      <w:r w:rsidRPr="005B0D7D">
        <w:rPr>
          <w:rFonts w:ascii="Times New Roman" w:eastAsia="Batang" w:hAnsi="Times New Roman" w:cs="Times New Roman"/>
          <w:sz w:val="28"/>
          <w:szCs w:val="28"/>
          <w:lang w:eastAsia="ko-KR"/>
        </w:rPr>
        <w:t xml:space="preserve"> инновационные разработки может возникать, помимо предприятий коммунального комплекса и связи, со стороны обрабатывающих производств, </w:t>
      </w:r>
      <w:proofErr w:type="spellStart"/>
      <w:r w:rsidRPr="005B0D7D">
        <w:rPr>
          <w:rFonts w:ascii="Times New Roman" w:eastAsia="Batang" w:hAnsi="Times New Roman" w:cs="Times New Roman"/>
          <w:sz w:val="28"/>
          <w:szCs w:val="28"/>
          <w:lang w:eastAsia="ko-KR"/>
        </w:rPr>
        <w:t>нефтесервисных</w:t>
      </w:r>
      <w:proofErr w:type="spellEnd"/>
      <w:r w:rsidRPr="005B0D7D">
        <w:rPr>
          <w:rFonts w:ascii="Times New Roman" w:eastAsia="Batang" w:hAnsi="Times New Roman" w:cs="Times New Roman"/>
          <w:sz w:val="28"/>
          <w:szCs w:val="28"/>
          <w:lang w:eastAsia="ko-KR"/>
        </w:rPr>
        <w:t xml:space="preserve"> и </w:t>
      </w:r>
      <w:proofErr w:type="spellStart"/>
      <w:r w:rsidRPr="005B0D7D">
        <w:rPr>
          <w:rFonts w:ascii="Times New Roman" w:eastAsia="Batang" w:hAnsi="Times New Roman" w:cs="Times New Roman"/>
          <w:sz w:val="28"/>
          <w:szCs w:val="28"/>
          <w:lang w:eastAsia="ko-KR"/>
        </w:rPr>
        <w:t>танспортно</w:t>
      </w:r>
      <w:proofErr w:type="spellEnd"/>
      <w:r w:rsidRPr="005B0D7D">
        <w:rPr>
          <w:rFonts w:ascii="Times New Roman" w:eastAsia="Batang" w:hAnsi="Times New Roman" w:cs="Times New Roman"/>
          <w:sz w:val="28"/>
          <w:szCs w:val="28"/>
          <w:lang w:eastAsia="ko-KR"/>
        </w:rPr>
        <w:t>-логистических компаний.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Успешность инновационного развития экономики во многом зависит от вовлечения в процесс создания инноваций молодого поколения. В городе в рамках системы дополнительного образования должны внедряться программы, направленные на обеспечение необходимых навыков инновационной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Значимым фактором формирования инновационного потенциала города является развитие информационно-коммуникационных технологий и популяризация их среди населения. Этому способствует, в частности, обучение жителей города по программам «Электронный гражданин» и «Электронная коммерция», предусмотренное Стратегией социально-экономического развития Ханты-Мансийского автономного округа – Югры до 2020 года и на период до 2030 года.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Помимо различных институтов, потенциал инновационного развития города наращивают сами жители, выступающие в следующих социальных ролях:</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родители и учителя, заинтересованные в интеллектуальном развитии детей, подбирающие одаренным детям соответствующие программы дополнительного образования;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журналисты, культивирующие привлекательный образ ученого и изобретателя;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активисты общественных организаций, волонтеры, готовые работать в команде с изобретателями, обеспечивать их деятельность;</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потребители, готовые покупать инновационную продукцию;</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меценаты, готовые оказывать финансовую поддержку </w:t>
      </w:r>
      <w:proofErr w:type="spellStart"/>
      <w:r w:rsidRPr="005B0D7D">
        <w:rPr>
          <w:rFonts w:ascii="Times New Roman" w:eastAsia="Batang" w:hAnsi="Times New Roman" w:cs="Times New Roman"/>
          <w:sz w:val="28"/>
          <w:szCs w:val="28"/>
          <w:lang w:eastAsia="ko-KR"/>
        </w:rPr>
        <w:t>инноваторам</w:t>
      </w:r>
      <w:proofErr w:type="spellEnd"/>
      <w:r w:rsidRPr="005B0D7D">
        <w:rPr>
          <w:rFonts w:ascii="Times New Roman" w:eastAsia="Batang" w:hAnsi="Times New Roman" w:cs="Times New Roman"/>
          <w:sz w:val="28"/>
          <w:szCs w:val="28"/>
          <w:lang w:eastAsia="ko-KR"/>
        </w:rPr>
        <w:t>, обеспечивать их участие в научных и презентационных мероприятиях.</w:t>
      </w:r>
    </w:p>
    <w:p w:rsidR="005B0D7D" w:rsidRPr="005B0D7D" w:rsidRDefault="005B0D7D" w:rsidP="005B0D7D">
      <w:pPr>
        <w:keepNext/>
        <w:spacing w:before="360" w:after="120" w:line="240" w:lineRule="auto"/>
        <w:jc w:val="center"/>
        <w:outlineLvl w:val="1"/>
        <w:rPr>
          <w:rFonts w:ascii="Times New Roman" w:eastAsia="Batang" w:hAnsi="Times New Roman" w:cs="Times New Roman"/>
          <w:b/>
          <w:bCs/>
          <w:iCs/>
          <w:sz w:val="28"/>
          <w:szCs w:val="28"/>
          <w:lang w:eastAsia="ko-KR"/>
        </w:rPr>
      </w:pPr>
      <w:bookmarkStart w:id="174" w:name="_Toc410639494"/>
      <w:r w:rsidRPr="005B0D7D">
        <w:rPr>
          <w:rFonts w:ascii="Times New Roman" w:eastAsia="Batang" w:hAnsi="Times New Roman" w:cs="Times New Roman"/>
          <w:b/>
          <w:bCs/>
          <w:iCs/>
          <w:sz w:val="28"/>
          <w:szCs w:val="28"/>
          <w:lang w:eastAsia="ko-KR"/>
        </w:rPr>
        <w:t>4.7. Стратегия Ханты-Мансийского автономного округа – Югры как источник возможностей для города Ханты-Мансийска</w:t>
      </w:r>
      <w:bookmarkEnd w:id="174"/>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Стратегия социально-экономического развития Ханты-Мансийского автономного округа – Югры до 2020 года и на период до 2030 года задает базовые ориентиры развития города Ханты-Мансийска, которые учитываются в настоящем документе стратегического планирования.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Соответствие между </w:t>
      </w:r>
      <w:proofErr w:type="gramStart"/>
      <w:r w:rsidRPr="005B0D7D">
        <w:rPr>
          <w:rFonts w:ascii="Times New Roman" w:eastAsia="Batang" w:hAnsi="Times New Roman" w:cs="Times New Roman"/>
          <w:sz w:val="28"/>
          <w:szCs w:val="28"/>
          <w:lang w:eastAsia="ko-KR"/>
        </w:rPr>
        <w:t xml:space="preserve">направлениями достижения долгосрочных целей, обозначенными в окружной Стратегии и задачами Стратегии социально-экономического развития города Ханты-Мансийска до </w:t>
      </w:r>
      <w:r w:rsidRPr="005B0D7D">
        <w:rPr>
          <w:rFonts w:ascii="Times New Roman" w:eastAsia="Batang" w:hAnsi="Times New Roman" w:cs="Times New Roman"/>
          <w:sz w:val="28"/>
          <w:szCs w:val="24"/>
          <w:lang w:eastAsia="ko-KR"/>
        </w:rPr>
        <w:t xml:space="preserve">2020 года и на период </w:t>
      </w:r>
      <w:r w:rsidRPr="005B0D7D">
        <w:rPr>
          <w:rFonts w:ascii="Times New Roman" w:eastAsia="Batang" w:hAnsi="Times New Roman" w:cs="Times New Roman"/>
          <w:sz w:val="28"/>
          <w:szCs w:val="28"/>
          <w:lang w:eastAsia="ko-KR"/>
        </w:rPr>
        <w:t>до 2030 года раскрыто</w:t>
      </w:r>
      <w:proofErr w:type="gramEnd"/>
      <w:r w:rsidRPr="005B0D7D">
        <w:rPr>
          <w:rFonts w:ascii="Times New Roman" w:eastAsia="Batang" w:hAnsi="Times New Roman" w:cs="Times New Roman"/>
          <w:sz w:val="28"/>
          <w:szCs w:val="28"/>
          <w:lang w:eastAsia="ko-KR"/>
        </w:rPr>
        <w:t xml:space="preserve"> в таблице 9.</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Таблица 9</w:t>
      </w:r>
    </w:p>
    <w:p w:rsidR="005B0D7D" w:rsidRPr="005B0D7D" w:rsidRDefault="005B0D7D" w:rsidP="005B0D7D">
      <w:pPr>
        <w:spacing w:after="120" w:line="240" w:lineRule="auto"/>
        <w:ind w:firstLine="720"/>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Соответствие между направлениями достижения долгосрочных целей, обозначенными в Стратегии социально-экономического развития Ханты-Мансийского автономного округа – Югры до 2020 года и на период до 2030 года, и задачами Стратегии социально-экономического развития города Ханты-Мансийска до 2020 года и на период до 2030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
        <w:gridCol w:w="1898"/>
        <w:gridCol w:w="4111"/>
        <w:gridCol w:w="3084"/>
      </w:tblGrid>
      <w:tr w:rsidR="005B0D7D" w:rsidRPr="005B0D7D" w:rsidTr="005B0D7D">
        <w:trPr>
          <w:jc w:val="center"/>
        </w:trPr>
        <w:tc>
          <w:tcPr>
            <w:tcW w:w="47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w:t>
            </w: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Основные направления достижения долгосрочных целей (раздел 4 Стратегии социально-экономического развития Ханты-Мансийского автономного округа – Югры до 2020 года и на период до 2030 года)</w:t>
            </w:r>
          </w:p>
        </w:tc>
        <w:tc>
          <w:tcPr>
            <w:tcW w:w="4111"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Задачи и направления деятельности, определяемые Стратегией социально-экономического развития Ханты-Мансийского автономного округа – Югры до 2020 года и на период до 2030 года, наиболее актуальные для города Ханты-Мансийска</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Соответствующие задачи Стратегии социально-экономического развития города Ханты-Мансийска до 2020 года и на период до 2030 года</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4.1. Развитие реального сектора экономики</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Содействие развитию </w:t>
            </w:r>
            <w:proofErr w:type="gramStart"/>
            <w:r w:rsidRPr="005B0D7D">
              <w:rPr>
                <w:rFonts w:ascii="Times New Roman" w:eastAsia="Batang" w:hAnsi="Times New Roman" w:cs="Times New Roman"/>
                <w:sz w:val="20"/>
                <w:szCs w:val="20"/>
                <w:lang w:eastAsia="ko-KR"/>
              </w:rPr>
              <w:t>научно-инновационного</w:t>
            </w:r>
            <w:proofErr w:type="gramEnd"/>
            <w:r w:rsidRPr="005B0D7D">
              <w:rPr>
                <w:rFonts w:ascii="Times New Roman" w:eastAsia="Batang" w:hAnsi="Times New Roman" w:cs="Times New Roman"/>
                <w:sz w:val="20"/>
                <w:szCs w:val="20"/>
                <w:lang w:eastAsia="ko-KR"/>
              </w:rPr>
              <w:t xml:space="preserve"> и других кластеров. </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Обеспечение доступа компаний к новейшим продуктам и технологиям. Создание благоприятного инвестиционного климата.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Институциональная поддержка кластеров, в частности для окружного центра актуально формирование туристско-рекреационного кластера</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w:t>
            </w:r>
            <w:r w:rsidRPr="005B0D7D">
              <w:rPr>
                <w:rFonts w:ascii="Times New Roman" w:eastAsia="Batang" w:hAnsi="Times New Roman" w:cs="Times New Roman"/>
                <w:sz w:val="20"/>
                <w:szCs w:val="20"/>
                <w:lang w:eastAsia="ko-KR"/>
              </w:rPr>
              <w:t xml:space="preserve"> (создание условий для формирования диверсифицированной экономики; использование в производстве местного сырья; взаимодействие с Центром кластерного развития Технопарка высоких технологий)</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5</w:t>
            </w:r>
            <w:r w:rsidRPr="005B0D7D">
              <w:rPr>
                <w:rFonts w:ascii="Times New Roman" w:eastAsia="Batang" w:hAnsi="Times New Roman" w:cs="Times New Roman"/>
                <w:sz w:val="20"/>
                <w:szCs w:val="20"/>
                <w:lang w:eastAsia="ko-KR"/>
              </w:rPr>
              <w:t xml:space="preserve"> (развитие событийного, рекреационного и иных видов туризма)</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4.2. Реализация демографической, миграционной политики и политики по развитию рынка труда</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Социальная поддержка многодетных семей, в том числе путем расширения круга мер немонетарного и непрямого экономического характера.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Социально-экономическая и этнокультурная интеграция мигрантов в принимающий социум, в тои </w:t>
            </w:r>
            <w:proofErr w:type="gramStart"/>
            <w:r w:rsidRPr="005B0D7D">
              <w:rPr>
                <w:rFonts w:ascii="Times New Roman" w:eastAsia="Batang" w:hAnsi="Times New Roman" w:cs="Times New Roman"/>
                <w:sz w:val="20"/>
                <w:szCs w:val="20"/>
                <w:lang w:eastAsia="ko-KR"/>
              </w:rPr>
              <w:t>числе</w:t>
            </w:r>
            <w:proofErr w:type="gramEnd"/>
            <w:r w:rsidRPr="005B0D7D">
              <w:rPr>
                <w:rFonts w:ascii="Times New Roman" w:eastAsia="Batang" w:hAnsi="Times New Roman" w:cs="Times New Roman"/>
                <w:sz w:val="20"/>
                <w:szCs w:val="20"/>
                <w:lang w:eastAsia="ko-KR"/>
              </w:rPr>
              <w:t xml:space="preserve"> с участием ресурса общественных организаций.</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Развитие </w:t>
            </w:r>
            <w:proofErr w:type="spellStart"/>
            <w:r w:rsidRPr="005B0D7D">
              <w:rPr>
                <w:rFonts w:ascii="Times New Roman" w:eastAsia="Batang" w:hAnsi="Times New Roman" w:cs="Times New Roman"/>
                <w:sz w:val="20"/>
                <w:szCs w:val="20"/>
                <w:lang w:eastAsia="ko-KR"/>
              </w:rPr>
              <w:t>самозанятости</w:t>
            </w:r>
            <w:proofErr w:type="spellEnd"/>
            <w:r w:rsidRPr="005B0D7D">
              <w:rPr>
                <w:rFonts w:ascii="Times New Roman" w:eastAsia="Batang" w:hAnsi="Times New Roman" w:cs="Times New Roman"/>
                <w:sz w:val="20"/>
                <w:szCs w:val="20"/>
                <w:lang w:eastAsia="ko-KR"/>
              </w:rPr>
              <w:t>; гибких форм занятости (дистанционная работа); интеграция в трудовую занятость лиц с ограниченными возможностями.</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Обеспечение условий для дистанционного обучения детей с ограниченными возможностями; создание </w:t>
            </w:r>
            <w:proofErr w:type="spellStart"/>
            <w:r w:rsidRPr="005B0D7D">
              <w:rPr>
                <w:rFonts w:ascii="Times New Roman" w:eastAsia="Batang" w:hAnsi="Times New Roman" w:cs="Times New Roman"/>
                <w:sz w:val="20"/>
                <w:szCs w:val="20"/>
                <w:lang w:eastAsia="ko-KR"/>
              </w:rPr>
              <w:t>безбарьерной</w:t>
            </w:r>
            <w:proofErr w:type="spellEnd"/>
            <w:r w:rsidRPr="005B0D7D">
              <w:rPr>
                <w:rFonts w:ascii="Times New Roman" w:eastAsia="Batang" w:hAnsi="Times New Roman" w:cs="Times New Roman"/>
                <w:sz w:val="20"/>
                <w:szCs w:val="20"/>
                <w:lang w:eastAsia="ko-KR"/>
              </w:rPr>
              <w:t xml:space="preserve"> среды в образовательных организациях</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7</w:t>
            </w:r>
            <w:r w:rsidRPr="005B0D7D">
              <w:rPr>
                <w:rFonts w:ascii="Times New Roman" w:eastAsia="Batang" w:hAnsi="Times New Roman" w:cs="Times New Roman"/>
                <w:sz w:val="20"/>
                <w:szCs w:val="20"/>
                <w:lang w:eastAsia="ko-KR"/>
              </w:rPr>
              <w:t xml:space="preserve"> (стимулирование работодателей к созданию рабочих мест для инвалидов)</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8</w:t>
            </w:r>
            <w:r w:rsidRPr="005B0D7D">
              <w:rPr>
                <w:rFonts w:ascii="Times New Roman" w:eastAsia="Batang" w:hAnsi="Times New Roman" w:cs="Times New Roman"/>
                <w:sz w:val="20"/>
                <w:szCs w:val="20"/>
                <w:lang w:eastAsia="ko-KR"/>
              </w:rPr>
              <w:t xml:space="preserve"> (обеспечение жильем многодетных семей)</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9</w:t>
            </w:r>
            <w:r w:rsidRPr="005B0D7D">
              <w:rPr>
                <w:rFonts w:ascii="Times New Roman" w:eastAsia="Batang" w:hAnsi="Times New Roman" w:cs="Times New Roman"/>
                <w:sz w:val="20"/>
                <w:szCs w:val="20"/>
                <w:lang w:eastAsia="ko-KR"/>
              </w:rPr>
              <w:t xml:space="preserve"> (поддержка социально-ориентированных некоммерческих организаций); </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10</w:t>
            </w:r>
            <w:r w:rsidRPr="005B0D7D">
              <w:rPr>
                <w:rFonts w:ascii="Times New Roman" w:eastAsia="Batang" w:hAnsi="Times New Roman" w:cs="Times New Roman"/>
                <w:sz w:val="20"/>
                <w:szCs w:val="20"/>
                <w:lang w:eastAsia="ko-KR"/>
              </w:rPr>
              <w:t xml:space="preserve"> (развитие дистанционного, специального и инклюзивного образования)</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4.3. Развитие человеческого капитала</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Приведение образования в соответствие с планируемыми изменениями в экономике города.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Развитие информационного обеспечения современных образовательных технологий, широкое внедрение программ дистанционного обучения, современных цифровых и электронных средств обучения.</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Поддержка муниципальных проектов социокультурного развития муниципальной образовательной сети.</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Сделать Ханты-Мансийск центром </w:t>
            </w:r>
            <w:r w:rsidRPr="005B0D7D">
              <w:rPr>
                <w:rFonts w:ascii="Times New Roman" w:eastAsia="Batang" w:hAnsi="Times New Roman" w:cs="Times New Roman"/>
                <w:sz w:val="20"/>
                <w:szCs w:val="20"/>
                <w:lang w:eastAsia="ko-KR"/>
              </w:rPr>
              <w:lastRenderedPageBreak/>
              <w:t>одного из трех образовательных округов региона, определить его специализацию.</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Расширение независимости муниципальных образовательных систем.</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Создание Единого центра высоких медицинских технологий.</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Повышение оздоровительной роли спорта. Развитие инфраструктуры для занятий массовым спортом в образовательных учреждениях и по месту жительства.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Строительство и реконструкция муниципальных учреждений культуры. Создание электронных версий коллекций культурного наследия.</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Развитие системы </w:t>
            </w:r>
            <w:proofErr w:type="spellStart"/>
            <w:r w:rsidRPr="005B0D7D">
              <w:rPr>
                <w:rFonts w:ascii="Times New Roman" w:eastAsia="Batang" w:hAnsi="Times New Roman" w:cs="Times New Roman"/>
                <w:sz w:val="20"/>
                <w:szCs w:val="20"/>
                <w:lang w:eastAsia="ko-KR"/>
              </w:rPr>
              <w:t>грантовой</w:t>
            </w:r>
            <w:proofErr w:type="spellEnd"/>
            <w:r w:rsidRPr="005B0D7D">
              <w:rPr>
                <w:rFonts w:ascii="Times New Roman" w:eastAsia="Batang" w:hAnsi="Times New Roman" w:cs="Times New Roman"/>
                <w:sz w:val="20"/>
                <w:szCs w:val="20"/>
                <w:lang w:eastAsia="ko-KR"/>
              </w:rPr>
              <w:t xml:space="preserve"> поддержки творческих проектов в области культуры. </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Культурно-познавательный туризм на базе реконструкции старинных городских поселений. </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Активизация фестивальной и гастрольной деятельности</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lastRenderedPageBreak/>
              <w:t>Задача 10</w:t>
            </w:r>
            <w:r w:rsidRPr="005B0D7D">
              <w:rPr>
                <w:rFonts w:ascii="Times New Roman" w:eastAsia="Batang" w:hAnsi="Times New Roman" w:cs="Times New Roman"/>
                <w:sz w:val="20"/>
                <w:szCs w:val="20"/>
                <w:lang w:eastAsia="ko-KR"/>
              </w:rPr>
              <w:t xml:space="preserve"> (нацеливание системы образования на удовлетворение потребностей рынка труда, ознакомление учащихся с инвестиционными проектами в рамках </w:t>
            </w:r>
            <w:proofErr w:type="spellStart"/>
            <w:r w:rsidRPr="005B0D7D">
              <w:rPr>
                <w:rFonts w:ascii="Times New Roman" w:eastAsia="Batang" w:hAnsi="Times New Roman" w:cs="Times New Roman"/>
                <w:sz w:val="20"/>
                <w:szCs w:val="20"/>
                <w:lang w:eastAsia="ko-KR"/>
              </w:rPr>
              <w:t>профориентационной</w:t>
            </w:r>
            <w:proofErr w:type="spellEnd"/>
            <w:r w:rsidRPr="005B0D7D">
              <w:rPr>
                <w:rFonts w:ascii="Times New Roman" w:eastAsia="Batang" w:hAnsi="Times New Roman" w:cs="Times New Roman"/>
                <w:sz w:val="20"/>
                <w:szCs w:val="20"/>
                <w:lang w:eastAsia="ko-KR"/>
              </w:rPr>
              <w:t xml:space="preserve"> работы)</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11</w:t>
            </w:r>
            <w:r w:rsidRPr="005B0D7D">
              <w:rPr>
                <w:rFonts w:ascii="Times New Roman" w:eastAsia="Batang" w:hAnsi="Times New Roman" w:cs="Times New Roman"/>
                <w:sz w:val="20"/>
                <w:szCs w:val="20"/>
                <w:lang w:eastAsia="ko-KR"/>
              </w:rPr>
              <w:t xml:space="preserve"> (развитие профилактической медицины)</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12</w:t>
            </w:r>
            <w:r w:rsidRPr="005B0D7D">
              <w:rPr>
                <w:rFonts w:ascii="Times New Roman" w:eastAsia="Batang" w:hAnsi="Times New Roman" w:cs="Times New Roman"/>
                <w:sz w:val="20"/>
                <w:szCs w:val="20"/>
                <w:lang w:eastAsia="ko-KR"/>
              </w:rPr>
              <w:t xml:space="preserve"> (сохранение единого культурного и воспитательного пространства города, </w:t>
            </w:r>
            <w:r w:rsidRPr="005B0D7D">
              <w:rPr>
                <w:rFonts w:ascii="Times New Roman" w:eastAsia="Batang" w:hAnsi="Times New Roman" w:cs="Times New Roman"/>
                <w:sz w:val="20"/>
                <w:szCs w:val="20"/>
                <w:lang w:eastAsia="ko-KR"/>
              </w:rPr>
              <w:lastRenderedPageBreak/>
              <w:t>активизация фестивальной и гастрольной деятельности)</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13</w:t>
            </w:r>
            <w:r w:rsidRPr="005B0D7D">
              <w:rPr>
                <w:rFonts w:ascii="Times New Roman" w:eastAsia="Batang" w:hAnsi="Times New Roman" w:cs="Times New Roman"/>
                <w:sz w:val="20"/>
                <w:szCs w:val="20"/>
                <w:lang w:eastAsia="ko-KR"/>
              </w:rPr>
              <w:t xml:space="preserve"> (развитие культурно-познавательного туризма путем организации событий)</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14</w:t>
            </w:r>
            <w:r w:rsidRPr="005B0D7D">
              <w:rPr>
                <w:rFonts w:ascii="Times New Roman" w:eastAsia="Batang" w:hAnsi="Times New Roman" w:cs="Times New Roman"/>
                <w:sz w:val="20"/>
                <w:szCs w:val="20"/>
                <w:lang w:eastAsia="ko-KR"/>
              </w:rPr>
              <w:t xml:space="preserve"> (приобщение жителей города к занятиям физической культурой и спортом)</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4.4. Развитие инфраструктурного сектора</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Реконструкция автомобильных дорог. Строительство железной дороги. </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Развитие информационно-коммуникационного сектора, обучение граждан информационным технологиям.</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Развитие рынка арендного жилья.</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Внедрение ресурсосберегающих технологий в сфере жилищно-коммунального хозяйства.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Постепенная ликвидация ветхого и аварийного жилья</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8</w:t>
            </w:r>
            <w:r w:rsidRPr="005B0D7D">
              <w:rPr>
                <w:rFonts w:ascii="Times New Roman" w:eastAsia="Batang" w:hAnsi="Times New Roman" w:cs="Times New Roman"/>
                <w:sz w:val="20"/>
                <w:szCs w:val="20"/>
                <w:lang w:eastAsia="ko-KR"/>
              </w:rPr>
              <w:t xml:space="preserve"> (переселение граждан из ветхого и аварийного жилья, строительство арендного жилья)</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16</w:t>
            </w:r>
            <w:r w:rsidRPr="005B0D7D">
              <w:rPr>
                <w:rFonts w:ascii="Times New Roman" w:eastAsia="Batang" w:hAnsi="Times New Roman" w:cs="Times New Roman"/>
                <w:sz w:val="20"/>
                <w:szCs w:val="20"/>
                <w:lang w:eastAsia="ko-KR"/>
              </w:rPr>
              <w:t xml:space="preserve"> (формирование транспортного узла регионального значения, строительство логистических центров)</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17</w:t>
            </w:r>
            <w:r w:rsidRPr="005B0D7D">
              <w:rPr>
                <w:rFonts w:ascii="Times New Roman" w:eastAsia="Batang" w:hAnsi="Times New Roman" w:cs="Times New Roman"/>
                <w:sz w:val="20"/>
                <w:szCs w:val="20"/>
                <w:lang w:eastAsia="ko-KR"/>
              </w:rPr>
              <w:t xml:space="preserve"> (реконструкция инженерных сетей с использованием механизмов государственно-частного партнерства)</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4.5. Инновационное развитие</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Повышение инновационной активности бизнеса и ускорение появления новых инновационных компаний.</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Развитие науки и технологий, создание инфраструктуры ИЦ РАН – Югра.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Развитие кадрового потенциала в сфере науки, образования, технологий и инноваций.</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Активизация деятельности по реализации инновационной политики, осуществляемой муниципальными образованиями.</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Стимулирование развития малого и среднего инновационного бизнеса с целью формирования рынка инновационных товаров, работ, услуг.</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Стимулирование участия инновационного бизнеса в межрегиональных и международных проектах.</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Формирование инновационного центра «</w:t>
            </w:r>
            <w:proofErr w:type="spellStart"/>
            <w:r w:rsidRPr="005B0D7D">
              <w:rPr>
                <w:rFonts w:ascii="Times New Roman" w:eastAsia="Batang" w:hAnsi="Times New Roman" w:cs="Times New Roman"/>
                <w:sz w:val="20"/>
                <w:szCs w:val="20"/>
                <w:lang w:eastAsia="ko-KR"/>
              </w:rPr>
              <w:t>Технополис</w:t>
            </w:r>
            <w:proofErr w:type="spellEnd"/>
            <w:r w:rsidRPr="005B0D7D">
              <w:rPr>
                <w:rFonts w:ascii="Times New Roman" w:eastAsia="Batang" w:hAnsi="Times New Roman" w:cs="Times New Roman"/>
                <w:sz w:val="20"/>
                <w:szCs w:val="20"/>
                <w:lang w:eastAsia="ko-KR"/>
              </w:rPr>
              <w:t xml:space="preserve"> Югры».</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Создание сети испытательных полигонов и технологических площадок, в том числе в Ханты-Мансийске.</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Предоставление субсидий на приобретение машин и оборудования, связанных с технологическими инновациями</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5</w:t>
            </w:r>
            <w:r w:rsidRPr="005B0D7D">
              <w:rPr>
                <w:rFonts w:ascii="Times New Roman" w:eastAsia="Batang" w:hAnsi="Times New Roman" w:cs="Times New Roman"/>
                <w:sz w:val="20"/>
                <w:szCs w:val="20"/>
                <w:lang w:eastAsia="ko-KR"/>
              </w:rPr>
              <w:t xml:space="preserve"> (учет инновационной деятельности; стимулирование инновационной деятельности молодежи через систему дополнительного образования; строительство Индустриального парка; обеспечение спроса на продукцию малых инновационных предприятий)</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4.6. Обеспечение </w:t>
            </w:r>
            <w:r w:rsidRPr="005B0D7D">
              <w:rPr>
                <w:rFonts w:ascii="Times New Roman" w:eastAsia="Batang" w:hAnsi="Times New Roman" w:cs="Times New Roman"/>
                <w:sz w:val="20"/>
                <w:szCs w:val="20"/>
                <w:lang w:eastAsia="ko-KR"/>
              </w:rPr>
              <w:lastRenderedPageBreak/>
              <w:t>благоприятного инвестиционного климата</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lastRenderedPageBreak/>
              <w:t xml:space="preserve">Повышение инвестиционной активности </w:t>
            </w:r>
            <w:r w:rsidRPr="005B0D7D">
              <w:rPr>
                <w:rFonts w:ascii="Times New Roman" w:eastAsia="Batang" w:hAnsi="Times New Roman" w:cs="Times New Roman"/>
                <w:sz w:val="20"/>
                <w:szCs w:val="20"/>
                <w:lang w:eastAsia="ko-KR"/>
              </w:rPr>
              <w:lastRenderedPageBreak/>
              <w:t>хозяйствующих субъектов.</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Выявление инфраструктурных возможностей для реализации инвестиционных проектов.</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Вовлечение природно-ресурсного потенциала в инвестиционный процесс.</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Развитие кадрового потенциала для обеспечения инвестиционных процессов</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Поддержка инвестиционных проектов, направленных на ресурсосберегающие технологии в агропромышленном комплексе; производство стройматериалов, изделий и конструкций из местного сырья; переработку вторичного сырья. Реализация проекта «Реконструкция рыборазводного завода по воспроизводству ценных видов рыб в средней Оби в городе Ханты-Мансийске»</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lastRenderedPageBreak/>
              <w:t>Задача 3</w:t>
            </w:r>
            <w:r w:rsidRPr="005B0D7D">
              <w:rPr>
                <w:rFonts w:ascii="Times New Roman" w:eastAsia="Batang" w:hAnsi="Times New Roman" w:cs="Times New Roman"/>
                <w:sz w:val="20"/>
                <w:szCs w:val="20"/>
                <w:lang w:eastAsia="ko-KR"/>
              </w:rPr>
              <w:t xml:space="preserve"> (поддержка </w:t>
            </w:r>
            <w:r w:rsidRPr="005B0D7D">
              <w:rPr>
                <w:rFonts w:ascii="Times New Roman" w:eastAsia="Batang" w:hAnsi="Times New Roman" w:cs="Times New Roman"/>
                <w:sz w:val="20"/>
                <w:szCs w:val="20"/>
                <w:lang w:eastAsia="ko-KR"/>
              </w:rPr>
              <w:lastRenderedPageBreak/>
              <w:t>перспективных инвестиционных проектов на всех стадиях; устранение административных барьеров, вовлечение в процесс поддержки инвесторов отраслевых и функциональных структур Администрации, разработка Карты операций по заключению инвестиционного соглашения; осуществление бюджетных инвестиций в значимые для города объекты)</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4.7. Повышение роли малого и среднего предпринимательства</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Стимулирование малого предпринимательства к созданию «умной» инфраструктуры.</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Поддержка малого и среднего бизнеса на всех стадиях становления и развития.</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proofErr w:type="gramStart"/>
            <w:r w:rsidRPr="005B0D7D">
              <w:rPr>
                <w:rFonts w:ascii="Times New Roman" w:eastAsia="Batang" w:hAnsi="Times New Roman" w:cs="Times New Roman"/>
                <w:sz w:val="20"/>
                <w:szCs w:val="20"/>
                <w:lang w:eastAsia="ko-KR"/>
              </w:rPr>
              <w:t>Приоритетная поддержка следующих видов деятельности: инновационное производство; крестьянские (фермерские) хозяйства, внутренний туризм; ремесленническая деятельность; социальные услуги; строительство арендного жилья.</w:t>
            </w:r>
            <w:proofErr w:type="gramEnd"/>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Повышение общественного статуса и значимости предпринимательства.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Устранение административных ограничений, преодоление ограничений сбыта продукции</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4</w:t>
            </w:r>
            <w:r w:rsidRPr="005B0D7D">
              <w:rPr>
                <w:rFonts w:ascii="Times New Roman" w:eastAsia="Batang" w:hAnsi="Times New Roman" w:cs="Times New Roman"/>
                <w:sz w:val="20"/>
                <w:szCs w:val="20"/>
                <w:lang w:eastAsia="ko-KR"/>
              </w:rPr>
              <w:t xml:space="preserve"> (установление зависимости видов и объемов поддержки предпринимателей от соответствия их деятельности заданным критериям, учитывающим потребности города и его жителей; поддержка местных товаропроизводителей; продвижение социального предпринимательства)</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4.8. Обеспечение безопасности</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Предотвращение внутренних и внешних угроз продовольственной безопасности.</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Совершенствование систем мониторинга и прогнозирования чрезвычайных ситуаций.</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Разработка и внедрение новых форм и методов защиты населения и территорий от чрезвычайных ситуаций природного и техногенного характера.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Создание толерантной среды на основе ценностей многонационального российского общества.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Обеспечение массового формирования народных дружин</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2</w:t>
            </w:r>
            <w:r w:rsidRPr="005B0D7D">
              <w:rPr>
                <w:rFonts w:ascii="Times New Roman" w:eastAsia="Batang" w:hAnsi="Times New Roman" w:cs="Times New Roman"/>
                <w:sz w:val="20"/>
                <w:szCs w:val="20"/>
                <w:lang w:eastAsia="ko-KR"/>
              </w:rPr>
              <w:t xml:space="preserve"> (первоочередная поддержка агропромышленного комплекса в целях обеспечения продовольственной безопасности)</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18</w:t>
            </w:r>
            <w:r w:rsidRPr="005B0D7D">
              <w:rPr>
                <w:rFonts w:ascii="Times New Roman" w:eastAsia="Batang" w:hAnsi="Times New Roman" w:cs="Times New Roman"/>
                <w:sz w:val="20"/>
                <w:szCs w:val="20"/>
                <w:lang w:eastAsia="ko-KR"/>
              </w:rPr>
              <w:t xml:space="preserve"> (создание единой дежурно-диспетчерской службы)</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19</w:t>
            </w:r>
            <w:r w:rsidRPr="005B0D7D">
              <w:rPr>
                <w:rFonts w:ascii="Times New Roman" w:eastAsia="Batang" w:hAnsi="Times New Roman" w:cs="Times New Roman"/>
                <w:sz w:val="20"/>
                <w:szCs w:val="20"/>
                <w:lang w:eastAsia="ko-KR"/>
              </w:rPr>
              <w:t xml:space="preserve"> (обеспечение деятельности народных дружин)</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4.9. Обеспечение эффективности системы государственного и муниципального управления</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Предоставление государственных и муниципальных услуг в режиме «одного окна».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Эффективное управление муниципальной собственностью. Недопущение извлечения прибыли муниципальными предприятиями на равных началах с иными участниками коммерческого оборота.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Развитие институтов гражданского общества. Оказание </w:t>
            </w:r>
            <w:proofErr w:type="spellStart"/>
            <w:r w:rsidRPr="005B0D7D">
              <w:rPr>
                <w:rFonts w:ascii="Times New Roman" w:eastAsia="Batang" w:hAnsi="Times New Roman" w:cs="Times New Roman"/>
                <w:sz w:val="20"/>
                <w:szCs w:val="20"/>
                <w:lang w:eastAsia="ko-KR"/>
              </w:rPr>
              <w:t>грантовой</w:t>
            </w:r>
            <w:proofErr w:type="spellEnd"/>
            <w:r w:rsidRPr="005B0D7D">
              <w:rPr>
                <w:rFonts w:ascii="Times New Roman" w:eastAsia="Batang" w:hAnsi="Times New Roman" w:cs="Times New Roman"/>
                <w:sz w:val="20"/>
                <w:szCs w:val="20"/>
                <w:lang w:eastAsia="ko-KR"/>
              </w:rPr>
              <w:t xml:space="preserve"> поддержки социально-ориентированным некоммерческим организациям</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9</w:t>
            </w:r>
            <w:r w:rsidRPr="005B0D7D">
              <w:rPr>
                <w:rFonts w:ascii="Times New Roman" w:eastAsia="Batang" w:hAnsi="Times New Roman" w:cs="Times New Roman"/>
                <w:sz w:val="20"/>
                <w:szCs w:val="20"/>
                <w:lang w:eastAsia="ko-KR"/>
              </w:rPr>
              <w:t xml:space="preserve"> (делегирование общественным объединениям вопросов реализации социальных инициатив, активизации человеческого потенциала территории)</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20</w:t>
            </w:r>
            <w:r w:rsidRPr="005B0D7D">
              <w:rPr>
                <w:rFonts w:ascii="Times New Roman" w:eastAsia="Batang" w:hAnsi="Times New Roman" w:cs="Times New Roman"/>
                <w:sz w:val="20"/>
                <w:szCs w:val="20"/>
                <w:lang w:eastAsia="ko-KR"/>
              </w:rPr>
              <w:t xml:space="preserve"> (повышение эффективности муниципального управления на основе использования информационно-коммуникационных технологий)</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21</w:t>
            </w:r>
            <w:r w:rsidRPr="005B0D7D">
              <w:rPr>
                <w:rFonts w:ascii="Times New Roman" w:eastAsia="Batang" w:hAnsi="Times New Roman" w:cs="Times New Roman"/>
                <w:sz w:val="20"/>
                <w:szCs w:val="20"/>
                <w:lang w:eastAsia="ko-KR"/>
              </w:rPr>
              <w:t xml:space="preserve"> (повышение профессионализма муниципальных кадров на основе индивидуальных планов профессионального развития)</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4.10. Устойчивое экологическое развитие</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Рациональное и безопасное использование имеющегося природно-ресурсного потенциала на основе применения инновационных средств «зеленой» экономики.</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Распространение среди всех групп населения экологических знаний и формирование экологически мотивированных культурных навыков.</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Обеспечение полноты и достоверности информации о состоянии окружающей среды и здоровья населения.</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 xml:space="preserve">Рациональное использование водных ресурсов. </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Повторное использование отходов. Организация системы сбора и переработки вторичного сырья.</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Осуществление рациональной хозяйственной деятельности на особо охраняемых природных территориях</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18</w:t>
            </w:r>
            <w:r w:rsidRPr="005B0D7D">
              <w:rPr>
                <w:rFonts w:ascii="Times New Roman" w:eastAsia="Batang" w:hAnsi="Times New Roman" w:cs="Times New Roman"/>
                <w:sz w:val="20"/>
                <w:szCs w:val="20"/>
                <w:lang w:eastAsia="ko-KR"/>
              </w:rPr>
              <w:t xml:space="preserve"> (расширение площади зеленых насаждений, экологическое просвещение школьников, содействие расширению деятельности центров наблюдений за выбросами в атмосферу; содействие организации сортировки и переработки твердых бытовых отходов)</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4.11. Гармоничное развитие коренных малочисленных народов Севера</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Создание условий для сохранения и поддержки самобытного этнокультурного развития малочисленных народов Югры</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12</w:t>
            </w:r>
            <w:r w:rsidRPr="005B0D7D">
              <w:rPr>
                <w:rFonts w:ascii="Times New Roman" w:eastAsia="Batang" w:hAnsi="Times New Roman" w:cs="Times New Roman"/>
                <w:sz w:val="20"/>
                <w:szCs w:val="20"/>
                <w:lang w:eastAsia="ko-KR"/>
              </w:rPr>
              <w:t xml:space="preserve"> (организация участия сферы культуры города в национальных праздниках)</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24</w:t>
            </w:r>
            <w:r w:rsidRPr="005B0D7D">
              <w:rPr>
                <w:rFonts w:ascii="Times New Roman" w:eastAsia="Batang" w:hAnsi="Times New Roman" w:cs="Times New Roman"/>
                <w:sz w:val="20"/>
                <w:szCs w:val="20"/>
                <w:lang w:eastAsia="ko-KR"/>
              </w:rPr>
              <w:t xml:space="preserve"> (поддержка средств массовой коммуникации на языках коренных малочисленных народов)</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4.12. Сбалансированное пространственное развитие</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Формирование «полюсов роста» - опорных территорий роста экономики, способных принять значительные инвестиции и развиваться ускоренными темпами.</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Формирование агломерации Большой Ханты-Мансийск.</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Формирование научно-инновационного кластера, туристско-рекреационного и медицинского кластеров</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1</w:t>
            </w:r>
            <w:r w:rsidRPr="005B0D7D">
              <w:rPr>
                <w:rFonts w:ascii="Times New Roman" w:eastAsia="Batang" w:hAnsi="Times New Roman" w:cs="Times New Roman"/>
                <w:sz w:val="20"/>
                <w:szCs w:val="20"/>
                <w:lang w:eastAsia="ko-KR"/>
              </w:rPr>
              <w:t xml:space="preserve"> (выявление территорий города, на которых могут быть сформированы инвестиционные площадки под заданные виды деятельности)</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23</w:t>
            </w:r>
            <w:r w:rsidRPr="005B0D7D">
              <w:rPr>
                <w:rFonts w:ascii="Times New Roman" w:eastAsia="Batang" w:hAnsi="Times New Roman" w:cs="Times New Roman"/>
                <w:sz w:val="20"/>
                <w:szCs w:val="20"/>
                <w:lang w:eastAsia="ko-KR"/>
              </w:rPr>
              <w:t xml:space="preserve"> (заключение соглашений о межмуниципальном сотрудничестве в рамках агломерации)</w:t>
            </w:r>
          </w:p>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5</w:t>
            </w:r>
            <w:r w:rsidRPr="005B0D7D">
              <w:rPr>
                <w:rFonts w:ascii="Times New Roman" w:eastAsia="Batang" w:hAnsi="Times New Roman" w:cs="Times New Roman"/>
                <w:sz w:val="20"/>
                <w:szCs w:val="20"/>
                <w:lang w:eastAsia="ko-KR"/>
              </w:rPr>
              <w:t xml:space="preserve"> (содействие развитию туристических компаний, ориентированных на внутренний туризм; поддержка малых инновационных предприятий в сфере фармации и медицинских технологий)</w:t>
            </w:r>
          </w:p>
        </w:tc>
      </w:tr>
      <w:tr w:rsidR="005B0D7D" w:rsidRPr="005B0D7D" w:rsidTr="005B0D7D">
        <w:trPr>
          <w:jc w:val="center"/>
        </w:trPr>
        <w:tc>
          <w:tcPr>
            <w:tcW w:w="478" w:type="dxa"/>
          </w:tcPr>
          <w:p w:rsidR="005B0D7D" w:rsidRPr="005B0D7D" w:rsidRDefault="005B0D7D" w:rsidP="005B0D7D">
            <w:pPr>
              <w:numPr>
                <w:ilvl w:val="0"/>
                <w:numId w:val="22"/>
              </w:numPr>
              <w:spacing w:after="0" w:line="240" w:lineRule="auto"/>
              <w:ind w:left="372"/>
              <w:contextualSpacing/>
              <w:jc w:val="both"/>
              <w:rPr>
                <w:rFonts w:ascii="Times New Roman" w:eastAsia="Batang" w:hAnsi="Times New Roman" w:cs="Times New Roman"/>
                <w:sz w:val="20"/>
                <w:szCs w:val="20"/>
                <w:lang w:eastAsia="ru-RU"/>
              </w:rPr>
            </w:pPr>
          </w:p>
        </w:tc>
        <w:tc>
          <w:tcPr>
            <w:tcW w:w="1898"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4.13. Внешние связи с другими регионами</w:t>
            </w:r>
          </w:p>
        </w:tc>
        <w:tc>
          <w:tcPr>
            <w:tcW w:w="4111" w:type="dxa"/>
          </w:tcPr>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Укрепление межрегионального сотрудничества.</w:t>
            </w:r>
          </w:p>
          <w:p w:rsidR="005B0D7D" w:rsidRPr="005B0D7D" w:rsidRDefault="005B0D7D" w:rsidP="005B0D7D">
            <w:pPr>
              <w:spacing w:after="0" w:line="240" w:lineRule="auto"/>
              <w:ind w:firstLine="317"/>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Вовлечение во внешние связи представителей малого и среднего бизнеса</w:t>
            </w:r>
          </w:p>
        </w:tc>
        <w:tc>
          <w:tcPr>
            <w:tcW w:w="3084"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i/>
                <w:sz w:val="20"/>
                <w:szCs w:val="20"/>
                <w:lang w:eastAsia="ko-KR"/>
              </w:rPr>
              <w:t>Задача 23</w:t>
            </w:r>
            <w:r w:rsidRPr="005B0D7D">
              <w:rPr>
                <w:rFonts w:ascii="Times New Roman" w:eastAsia="Batang" w:hAnsi="Times New Roman" w:cs="Times New Roman"/>
                <w:sz w:val="20"/>
                <w:szCs w:val="20"/>
                <w:lang w:eastAsia="ko-KR"/>
              </w:rPr>
              <w:t xml:space="preserve"> (переход от рамочных соглашений с другими городами к сотрудничеству в конкретных отраслях; организация участия города Ханты-Мансийска в деятельности Всероссийского совета по местному самоуправлению и других организаций межмуниципального сотрудничества; закрепление за Ханты-Мансийском роли методической площадки по управленческим инновациям в муниципальной сфере)</w:t>
            </w:r>
          </w:p>
        </w:tc>
      </w:tr>
    </w:tbl>
    <w:p w:rsidR="005B0D7D" w:rsidRPr="005B0D7D" w:rsidRDefault="005B0D7D" w:rsidP="005B0D7D">
      <w:pPr>
        <w:spacing w:after="0" w:line="240" w:lineRule="auto"/>
        <w:rPr>
          <w:rFonts w:ascii="Times New Roman" w:eastAsia="Batang" w:hAnsi="Times New Roman" w:cs="Times New Roman"/>
          <w:sz w:val="24"/>
          <w:szCs w:val="24"/>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Итак, Стратегия социально-экономического развития Ханты-Мансийского автономного округа – Югры до 2020 года и на период до 2030 года определяет </w:t>
      </w:r>
      <w:r w:rsidRPr="005B0D7D">
        <w:rPr>
          <w:rFonts w:ascii="Times New Roman" w:eastAsia="Batang" w:hAnsi="Times New Roman" w:cs="Times New Roman"/>
          <w:sz w:val="28"/>
          <w:szCs w:val="28"/>
          <w:lang w:eastAsia="ko-KR"/>
        </w:rPr>
        <w:lastRenderedPageBreak/>
        <w:t>значимые для региона приоритеты развития города Ханты-Мансийска, которые будут учитываться в процессе стратегического планирования деятельности муниципального образования.</w:t>
      </w: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75" w:name="_Toc404211547"/>
      <w:bookmarkStart w:id="176" w:name="_Toc404218181"/>
      <w:bookmarkStart w:id="177" w:name="_Toc410639495"/>
      <w:bookmarkStart w:id="178" w:name="_Toc395506362"/>
      <w:bookmarkStart w:id="179" w:name="_Toc404211539"/>
      <w:bookmarkStart w:id="180" w:name="_Toc404218173"/>
      <w:bookmarkStart w:id="181" w:name="_Toc395506408"/>
      <w:bookmarkEnd w:id="133"/>
      <w:bookmarkEnd w:id="134"/>
      <w:bookmarkEnd w:id="135"/>
      <w:bookmarkEnd w:id="136"/>
      <w:bookmarkEnd w:id="137"/>
      <w:r w:rsidRPr="005B0D7D">
        <w:rPr>
          <w:rFonts w:ascii="Times New Roman" w:eastAsia="Batang" w:hAnsi="Times New Roman" w:cs="Times New Roman"/>
          <w:b/>
          <w:bCs/>
          <w:sz w:val="28"/>
          <w:szCs w:val="28"/>
          <w:lang w:eastAsia="ko-KR"/>
        </w:rPr>
        <w:t>4.8. Основные конкурентные преимущества города Ханты-Мансийска по сравнению с другими городами округа</w:t>
      </w:r>
      <w:bookmarkEnd w:id="175"/>
      <w:bookmarkEnd w:id="176"/>
      <w:bookmarkEnd w:id="177"/>
    </w:p>
    <w:p w:rsidR="005B0D7D" w:rsidRPr="005B0D7D" w:rsidRDefault="005B0D7D" w:rsidP="005B0D7D">
      <w:p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Выделение конкурентных преимуществ города базируется на его экономико-географическом положении, месте в региональном разделении труда, природно-ресурсном и производственном потенциале, социальном ресурсе населения, достижениях в развитии социальной сферы, туристической привлекательности и эстетики места.</w:t>
      </w:r>
    </w:p>
    <w:p w:rsidR="005B0D7D" w:rsidRPr="005B0D7D" w:rsidRDefault="005B0D7D" w:rsidP="002D6BC3">
      <w:pPr>
        <w:numPr>
          <w:ilvl w:val="1"/>
          <w:numId w:val="10"/>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Статус административного центра при отсутствии функций промышленного города. Именно благодаря статусу административного центра Ханты-Мансийского автономного округа – Югры город Ханты-Мансийск имеет возможность развивать свой природно-ресурсный, градостроительный, социальный и иной потенциал при сохранении небольших размеров города и благоприятной экологической обстановки. К тому же, у субъектов развития города имеется возможность непосредственного общения и оперативного взаимодействия с Администрацией Губернатора региона.</w:t>
      </w:r>
    </w:p>
    <w:p w:rsidR="005B0D7D" w:rsidRPr="005B0D7D" w:rsidRDefault="005B0D7D" w:rsidP="002D6BC3">
      <w:pPr>
        <w:numPr>
          <w:ilvl w:val="1"/>
          <w:numId w:val="10"/>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Географическое положение в центре округа, удобство транспортных сообщений, возможность контактировать как с восточной, так и с западной частью Ханты-Мансийского автономного округа – Югры и быть посредником в обеспечении контактов между этими территориями.</w:t>
      </w:r>
    </w:p>
    <w:p w:rsidR="005B0D7D" w:rsidRPr="005B0D7D" w:rsidRDefault="005B0D7D" w:rsidP="002D6BC3">
      <w:pPr>
        <w:numPr>
          <w:ilvl w:val="1"/>
          <w:numId w:val="10"/>
        </w:numPr>
        <w:tabs>
          <w:tab w:val="left" w:pos="0"/>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Небольшие размеры города, компактная застройка центральной части, развитая социальная инфраструктура обусловливают комфортность и достаточно высокое качество жизни населения. Расположение большинства необходимых объектов в относительной близости друг от друга особенно важно в условиях холодного климата.</w:t>
      </w:r>
    </w:p>
    <w:p w:rsidR="005B0D7D" w:rsidRPr="005B0D7D" w:rsidRDefault="005B0D7D" w:rsidP="002D6BC3">
      <w:pPr>
        <w:numPr>
          <w:ilvl w:val="1"/>
          <w:numId w:val="10"/>
        </w:numPr>
        <w:tabs>
          <w:tab w:val="left" w:pos="0"/>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Отсутствие крупных производств. Недостаточная развитость реального сектора экономики хотя и создает проблему </w:t>
      </w:r>
      <w:proofErr w:type="spellStart"/>
      <w:r w:rsidRPr="005B0D7D">
        <w:rPr>
          <w:rFonts w:ascii="Times New Roman" w:eastAsia="Batang" w:hAnsi="Times New Roman" w:cs="Times New Roman"/>
          <w:sz w:val="28"/>
          <w:szCs w:val="28"/>
          <w:lang w:eastAsia="ru-RU"/>
        </w:rPr>
        <w:t>несамодостаточности</w:t>
      </w:r>
      <w:proofErr w:type="spellEnd"/>
      <w:r w:rsidRPr="005B0D7D">
        <w:rPr>
          <w:rFonts w:ascii="Times New Roman" w:eastAsia="Batang" w:hAnsi="Times New Roman" w:cs="Times New Roman"/>
          <w:sz w:val="28"/>
          <w:szCs w:val="28"/>
          <w:lang w:eastAsia="ru-RU"/>
        </w:rPr>
        <w:t xml:space="preserve"> города, но в то же время это компенсируется благоприятной экологической обстановкой, экономией городского земельного фонда, в определенной мере – эстетикой.</w:t>
      </w:r>
    </w:p>
    <w:p w:rsidR="005B0D7D" w:rsidRPr="005B0D7D" w:rsidRDefault="005B0D7D" w:rsidP="002D6BC3">
      <w:pPr>
        <w:numPr>
          <w:ilvl w:val="1"/>
          <w:numId w:val="10"/>
        </w:numPr>
        <w:tabs>
          <w:tab w:val="left" w:pos="0"/>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Наличие развитой инфраструктуры для проведения на территории города масштабных мероприятий, в том числе международных: научных и деловых конгрессов, концертов, олимпиад, спортивных соревнований высокого уровня.</w:t>
      </w:r>
    </w:p>
    <w:p w:rsidR="005B0D7D" w:rsidRPr="005B0D7D" w:rsidRDefault="005B0D7D" w:rsidP="002D6BC3">
      <w:pPr>
        <w:numPr>
          <w:ilvl w:val="1"/>
          <w:numId w:val="10"/>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Наличие устойчивого бренда российского и международного уровня в сфере спорта. Ханты-Мансийск имеет славу одного из ведущих спортивных центров России по целому ряду видов спорта. Благодаря периодически проводимым в столице Югры спортивным событиям город имеет развитую туристическую инфраструктуру: множество торговых предприятий, гостиниц, кафе, объектов бытового обслуживания.</w:t>
      </w:r>
    </w:p>
    <w:p w:rsidR="005B0D7D" w:rsidRPr="005B0D7D" w:rsidRDefault="005B0D7D" w:rsidP="002D6BC3">
      <w:pPr>
        <w:numPr>
          <w:ilvl w:val="1"/>
          <w:numId w:val="10"/>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lastRenderedPageBreak/>
        <w:t>Высокая доля жителей трудоспособного возраста в общей численности постоянного населения, в том числе активной молодежи до 30 лет, способной вносить свой вклад в развитие города.</w:t>
      </w:r>
    </w:p>
    <w:p w:rsidR="005B0D7D" w:rsidRPr="005B0D7D" w:rsidRDefault="005B0D7D" w:rsidP="005B0D7D">
      <w:pPr>
        <w:tabs>
          <w:tab w:val="left" w:pos="1134"/>
        </w:tabs>
        <w:spacing w:after="0" w:line="240" w:lineRule="auto"/>
        <w:ind w:left="709"/>
        <w:contextualSpacing/>
        <w:jc w:val="both"/>
        <w:rPr>
          <w:rFonts w:ascii="Times New Roman" w:eastAsia="Batang" w:hAnsi="Times New Roman" w:cs="Times New Roman"/>
          <w:sz w:val="28"/>
          <w:szCs w:val="28"/>
          <w:lang w:eastAsia="ru-RU"/>
        </w:rPr>
      </w:pP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82" w:name="_Toc410639496"/>
      <w:r w:rsidRPr="005B0D7D">
        <w:rPr>
          <w:rFonts w:ascii="Times New Roman" w:eastAsia="Batang" w:hAnsi="Times New Roman" w:cs="Times New Roman"/>
          <w:b/>
          <w:bCs/>
          <w:sz w:val="28"/>
          <w:szCs w:val="28"/>
          <w:lang w:eastAsia="ko-KR"/>
        </w:rPr>
        <w:t>4.9. Основные риски развития города</w:t>
      </w:r>
      <w:bookmarkEnd w:id="182"/>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общем виде </w:t>
      </w:r>
      <w:r w:rsidRPr="005B0D7D">
        <w:rPr>
          <w:rFonts w:ascii="Times New Roman" w:eastAsia="Batang" w:hAnsi="Times New Roman" w:cs="Times New Roman"/>
          <w:b/>
          <w:sz w:val="28"/>
          <w:szCs w:val="28"/>
          <w:lang w:eastAsia="ko-KR"/>
        </w:rPr>
        <w:t>риски</w:t>
      </w:r>
      <w:r w:rsidRPr="005B0D7D">
        <w:rPr>
          <w:rFonts w:ascii="Times New Roman" w:eastAsia="Batang" w:hAnsi="Times New Roman" w:cs="Times New Roman"/>
          <w:sz w:val="28"/>
          <w:szCs w:val="28"/>
          <w:lang w:eastAsia="ko-KR"/>
        </w:rPr>
        <w:t xml:space="preserve"> развития города Ханты-Мансийска определяются вероятностью несвоевременного либо неадекватного ответа на внешние вызовы. Отсюда своевременное обнаружение складывания ситуации, связанной с тем или иным риском, позволяет не допустить его наступления либо минимизировать отрицательные последствия.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Описание основных видов рисков в увязке с ожидаемыми последствиями и способами их предотвращения представлено в таблице 10.</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Таблица 10</w:t>
      </w:r>
    </w:p>
    <w:p w:rsidR="005B0D7D" w:rsidRPr="005B0D7D" w:rsidRDefault="005B0D7D" w:rsidP="005B0D7D">
      <w:pPr>
        <w:spacing w:before="120" w:after="120" w:line="240" w:lineRule="auto"/>
        <w:ind w:firstLine="720"/>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sz w:val="24"/>
          <w:szCs w:val="24"/>
          <w:lang w:eastAsia="ko-KR"/>
        </w:rPr>
        <w:t>Основные риски социально-экономического развития города Ханты-Мансийска</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3"/>
        <w:gridCol w:w="4927"/>
      </w:tblGrid>
      <w:tr w:rsidR="005B0D7D" w:rsidRPr="005B0D7D" w:rsidTr="005B0D7D">
        <w:trPr>
          <w:cantSplit/>
          <w:jc w:val="center"/>
        </w:trPr>
        <w:tc>
          <w:tcPr>
            <w:tcW w:w="4233" w:type="dxa"/>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lang w:eastAsia="ko-KR"/>
              </w:rPr>
              <w:t>Ожидаемые последствия наступления риска</w:t>
            </w:r>
          </w:p>
        </w:tc>
        <w:tc>
          <w:tcPr>
            <w:tcW w:w="4927" w:type="dxa"/>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lang w:eastAsia="ko-KR"/>
              </w:rPr>
              <w:t>Условия недопущения риска либо минимизации последствий</w:t>
            </w:r>
          </w:p>
        </w:tc>
      </w:tr>
      <w:tr w:rsidR="005B0D7D" w:rsidRPr="005B0D7D" w:rsidTr="005B0D7D">
        <w:trPr>
          <w:cantSplit/>
          <w:jc w:val="center"/>
        </w:trPr>
        <w:tc>
          <w:tcPr>
            <w:tcW w:w="9160" w:type="dxa"/>
            <w:gridSpan w:val="2"/>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Риск 1. Ухудшение социально-экономической ситуации в России, нарастание кризисных явлений в экономике</w:t>
            </w:r>
          </w:p>
        </w:tc>
      </w:tr>
      <w:tr w:rsidR="005B0D7D" w:rsidRPr="005B0D7D" w:rsidTr="005B0D7D">
        <w:trPr>
          <w:cantSplit/>
          <w:jc w:val="center"/>
        </w:trPr>
        <w:tc>
          <w:tcPr>
            <w:tcW w:w="4233" w:type="dxa"/>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налоговых поступлений в местный бюджет, свертывание муниципальных программ, приостановка реализации инвестиционных проектов, снижение покупательной способности и ухудшение уровня жизни населения</w:t>
            </w:r>
          </w:p>
        </w:tc>
        <w:tc>
          <w:tcPr>
            <w:tcW w:w="4927" w:type="dxa"/>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lang w:eastAsia="ko-KR"/>
              </w:rPr>
              <w:t>Реализация Перечня мер по обеспечению стратегического развития города Ханты-Мансийска в условиях экономического кризиса (Приложение 5)</w:t>
            </w:r>
          </w:p>
        </w:tc>
      </w:tr>
      <w:tr w:rsidR="005B0D7D" w:rsidRPr="005B0D7D" w:rsidTr="005B0D7D">
        <w:trPr>
          <w:cantSplit/>
          <w:jc w:val="center"/>
        </w:trPr>
        <w:tc>
          <w:tcPr>
            <w:tcW w:w="9160" w:type="dxa"/>
            <w:gridSpan w:val="2"/>
          </w:tcPr>
          <w:p w:rsidR="005B0D7D" w:rsidRPr="005B0D7D" w:rsidRDefault="005B0D7D" w:rsidP="005B0D7D">
            <w:pPr>
              <w:spacing w:after="0" w:line="240" w:lineRule="auto"/>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Риск 2. Ухудшение снабжения города качественными и полезными для здоровья продуктами по причине недостаточной развитости системы обеспечения продовольственной безопасности</w:t>
            </w:r>
          </w:p>
        </w:tc>
      </w:tr>
      <w:tr w:rsidR="005B0D7D" w:rsidRPr="005B0D7D" w:rsidTr="005B0D7D">
        <w:trPr>
          <w:cantSplit/>
          <w:jc w:val="center"/>
        </w:trPr>
        <w:tc>
          <w:tcPr>
            <w:tcW w:w="4233"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Зависимость обеспечения населения товарами первой необходимости от внешних поставок</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Поставки продуктов с содержанием генетически модифицированных организмов и вредных веществ, наносящих вред здоровью человека</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Вероятность неожиданного перекрытия каналов поставок необходимой продукции</w:t>
            </w:r>
          </w:p>
        </w:tc>
        <w:tc>
          <w:tcPr>
            <w:tcW w:w="4927"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Наделение особым льготным статусом инвесторов, проекты которые направлены на создание небольших обрабатывающих производств, а также крестьянских (фермерских) хозяйств</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Поддержка местных производителей, в том числе символическая поддержка – формирование на основе их продуктов производственного бренда города</w:t>
            </w:r>
          </w:p>
        </w:tc>
      </w:tr>
      <w:tr w:rsidR="005B0D7D" w:rsidRPr="005B0D7D" w:rsidTr="005B0D7D">
        <w:trPr>
          <w:cantSplit/>
          <w:jc w:val="center"/>
        </w:trPr>
        <w:tc>
          <w:tcPr>
            <w:tcW w:w="9160" w:type="dxa"/>
            <w:gridSpan w:val="2"/>
          </w:tcPr>
          <w:p w:rsidR="005B0D7D" w:rsidRPr="005B0D7D" w:rsidRDefault="005B0D7D" w:rsidP="005B0D7D">
            <w:pPr>
              <w:spacing w:after="0" w:line="240" w:lineRule="auto"/>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Риск 3. Нехватка квалифицированных кадров для реализации перспективных инвестиционных / инновационных проектов</w:t>
            </w:r>
          </w:p>
        </w:tc>
      </w:tr>
      <w:tr w:rsidR="005B0D7D" w:rsidRPr="005B0D7D" w:rsidTr="005B0D7D">
        <w:trPr>
          <w:cantSplit/>
          <w:jc w:val="center"/>
        </w:trPr>
        <w:tc>
          <w:tcPr>
            <w:tcW w:w="4233"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у местных специалистов достаточной квалификации для разработки и запуска инновационных проектов</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Сложность организации процесса воспроизводства кадров</w:t>
            </w:r>
          </w:p>
          <w:p w:rsidR="005B0D7D" w:rsidRPr="005B0D7D" w:rsidRDefault="005B0D7D" w:rsidP="005B0D7D">
            <w:pPr>
              <w:spacing w:after="6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lang w:eastAsia="ko-KR"/>
              </w:rPr>
              <w:t>Неудовлетворенные потребности местного сообщества в услугах квалифицированных специалистов</w:t>
            </w:r>
          </w:p>
        </w:tc>
        <w:tc>
          <w:tcPr>
            <w:tcW w:w="4927"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Создание механизмов обеспечения доступным жильем местных и приезжих высококвалифицированных специалистов (льготная ипотека, новые экономичные технологии строительства, новые организационные технологии в сфере строительства)</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Организация регулярных обучающих программ различного профиля с участием приглашенных преподавателей </w:t>
            </w:r>
          </w:p>
        </w:tc>
      </w:tr>
      <w:tr w:rsidR="005B0D7D" w:rsidRPr="005B0D7D" w:rsidTr="005B0D7D">
        <w:trPr>
          <w:cantSplit/>
          <w:jc w:val="center"/>
        </w:trPr>
        <w:tc>
          <w:tcPr>
            <w:tcW w:w="9160" w:type="dxa"/>
            <w:gridSpan w:val="2"/>
          </w:tcPr>
          <w:p w:rsidR="005B0D7D" w:rsidRPr="005B0D7D" w:rsidRDefault="005B0D7D" w:rsidP="005B0D7D">
            <w:pPr>
              <w:spacing w:after="0" w:line="240" w:lineRule="auto"/>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lastRenderedPageBreak/>
              <w:t xml:space="preserve">Риск 4. Недоступность рынков сбыта интеллектуальной продукции, </w:t>
            </w:r>
          </w:p>
          <w:p w:rsidR="005B0D7D" w:rsidRPr="005B0D7D" w:rsidRDefault="005B0D7D" w:rsidP="005B0D7D">
            <w:pPr>
              <w:spacing w:after="0" w:line="240" w:lineRule="auto"/>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в том числе по причине их территориальной удаленности</w:t>
            </w:r>
          </w:p>
        </w:tc>
      </w:tr>
      <w:tr w:rsidR="005B0D7D" w:rsidRPr="005B0D7D" w:rsidTr="005B0D7D">
        <w:trPr>
          <w:cantSplit/>
          <w:jc w:val="center"/>
        </w:trPr>
        <w:tc>
          <w:tcPr>
            <w:tcW w:w="4233"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прагматического интереса молодежи к инновационной деятельности</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Невозможность развития инновационного сектора экономики до масштабов, способных определять будущее города Ханты-Мансийска</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Незаинтересованность потребителей в инновационных разработках </w:t>
            </w:r>
          </w:p>
        </w:tc>
        <w:tc>
          <w:tcPr>
            <w:tcW w:w="4927"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Нацеливание </w:t>
            </w:r>
            <w:proofErr w:type="spellStart"/>
            <w:r w:rsidRPr="005B0D7D">
              <w:rPr>
                <w:rFonts w:ascii="Times New Roman" w:eastAsia="Batang" w:hAnsi="Times New Roman" w:cs="Times New Roman"/>
                <w:lang w:eastAsia="ko-KR"/>
              </w:rPr>
              <w:t>инноваторов</w:t>
            </w:r>
            <w:proofErr w:type="spellEnd"/>
            <w:r w:rsidRPr="005B0D7D">
              <w:rPr>
                <w:rFonts w:ascii="Times New Roman" w:eastAsia="Batang" w:hAnsi="Times New Roman" w:cs="Times New Roman"/>
                <w:lang w:eastAsia="ko-KR"/>
              </w:rPr>
              <w:t xml:space="preserve"> на создание нематериальных активов, для которых фактор удаленности не имеет значения – например, программного обеспечения</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Содействие участию </w:t>
            </w:r>
            <w:proofErr w:type="spellStart"/>
            <w:r w:rsidRPr="005B0D7D">
              <w:rPr>
                <w:rFonts w:ascii="Times New Roman" w:eastAsia="Batang" w:hAnsi="Times New Roman" w:cs="Times New Roman"/>
                <w:lang w:eastAsia="ko-KR"/>
              </w:rPr>
              <w:t>инноваторов</w:t>
            </w:r>
            <w:proofErr w:type="spellEnd"/>
            <w:r w:rsidRPr="005B0D7D">
              <w:rPr>
                <w:rFonts w:ascii="Times New Roman" w:eastAsia="Batang" w:hAnsi="Times New Roman" w:cs="Times New Roman"/>
                <w:lang w:eastAsia="ko-KR"/>
              </w:rPr>
              <w:t xml:space="preserve"> в международных и российских выставках, конкурсах</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Содействие созданию виртуальных сетевых сообществ </w:t>
            </w:r>
            <w:proofErr w:type="spellStart"/>
            <w:r w:rsidRPr="005B0D7D">
              <w:rPr>
                <w:rFonts w:ascii="Times New Roman" w:eastAsia="Batang" w:hAnsi="Times New Roman" w:cs="Times New Roman"/>
                <w:lang w:eastAsia="ko-KR"/>
              </w:rPr>
              <w:t>инноваторов</w:t>
            </w:r>
            <w:proofErr w:type="spellEnd"/>
            <w:r w:rsidRPr="005B0D7D">
              <w:rPr>
                <w:rFonts w:ascii="Times New Roman" w:eastAsia="Batang" w:hAnsi="Times New Roman" w:cs="Times New Roman"/>
                <w:lang w:eastAsia="ko-KR"/>
              </w:rPr>
              <w:t xml:space="preserve"> (собственно производство может находиться в центральной России, а управление процессом – в Ханты-Мансийске)</w:t>
            </w:r>
          </w:p>
        </w:tc>
      </w:tr>
      <w:tr w:rsidR="005B0D7D" w:rsidRPr="005B0D7D" w:rsidTr="005B0D7D">
        <w:trPr>
          <w:cantSplit/>
          <w:jc w:val="center"/>
        </w:trPr>
        <w:tc>
          <w:tcPr>
            <w:tcW w:w="9160" w:type="dxa"/>
            <w:gridSpan w:val="2"/>
          </w:tcPr>
          <w:p w:rsidR="005B0D7D" w:rsidRPr="005B0D7D" w:rsidRDefault="005B0D7D" w:rsidP="005B0D7D">
            <w:pPr>
              <w:spacing w:after="0" w:line="240" w:lineRule="auto"/>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Риск 5. Недостаточное развитие коммунальной инфраструктуры для обеспечения реализации перспективных инвестиционных проектов</w:t>
            </w:r>
          </w:p>
        </w:tc>
      </w:tr>
      <w:tr w:rsidR="005B0D7D" w:rsidRPr="005B0D7D" w:rsidTr="005B0D7D">
        <w:trPr>
          <w:cantSplit/>
          <w:jc w:val="center"/>
        </w:trPr>
        <w:tc>
          <w:tcPr>
            <w:tcW w:w="4233"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Уход стратегических инвесторов на другие территории</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Недополученная выгода от полномасштабной реализации инвестиционного проекта</w:t>
            </w:r>
          </w:p>
        </w:tc>
        <w:tc>
          <w:tcPr>
            <w:tcW w:w="4927"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Приоритетное выделение бюджетных средств на развитие коммунальной инфраструктуры инвестиционных площадок</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Прокладка и реконструкция коммунальных сетей с использованием механизмов государственно-частного партнерства</w:t>
            </w:r>
          </w:p>
        </w:tc>
      </w:tr>
      <w:tr w:rsidR="005B0D7D" w:rsidRPr="005B0D7D" w:rsidTr="005B0D7D">
        <w:trPr>
          <w:cantSplit/>
          <w:jc w:val="center"/>
        </w:trPr>
        <w:tc>
          <w:tcPr>
            <w:tcW w:w="9160" w:type="dxa"/>
            <w:gridSpan w:val="2"/>
          </w:tcPr>
          <w:p w:rsidR="005B0D7D" w:rsidRPr="005B0D7D" w:rsidRDefault="005B0D7D" w:rsidP="005B0D7D">
            <w:pPr>
              <w:spacing w:after="0" w:line="240" w:lineRule="auto"/>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 xml:space="preserve">Риск 6. Значительное увеличение налоговой нагрузки </w:t>
            </w:r>
            <w:proofErr w:type="gramStart"/>
            <w:r w:rsidRPr="005B0D7D">
              <w:rPr>
                <w:rFonts w:ascii="Times New Roman" w:eastAsia="Batang" w:hAnsi="Times New Roman" w:cs="Times New Roman"/>
                <w:b/>
                <w:lang w:eastAsia="ko-KR"/>
              </w:rPr>
              <w:t>на</w:t>
            </w:r>
            <w:proofErr w:type="gramEnd"/>
            <w:r w:rsidRPr="005B0D7D">
              <w:rPr>
                <w:rFonts w:ascii="Times New Roman" w:eastAsia="Batang" w:hAnsi="Times New Roman" w:cs="Times New Roman"/>
                <w:b/>
                <w:lang w:eastAsia="ko-KR"/>
              </w:rPr>
              <w:t xml:space="preserve"> </w:t>
            </w:r>
            <w:proofErr w:type="gramStart"/>
            <w:r w:rsidRPr="005B0D7D">
              <w:rPr>
                <w:rFonts w:ascii="Times New Roman" w:eastAsia="Batang" w:hAnsi="Times New Roman" w:cs="Times New Roman"/>
                <w:b/>
                <w:lang w:eastAsia="ko-KR"/>
              </w:rPr>
              <w:t>субъектов</w:t>
            </w:r>
            <w:proofErr w:type="gramEnd"/>
            <w:r w:rsidRPr="005B0D7D">
              <w:rPr>
                <w:rFonts w:ascii="Times New Roman" w:eastAsia="Batang" w:hAnsi="Times New Roman" w:cs="Times New Roman"/>
                <w:b/>
                <w:lang w:eastAsia="ko-KR"/>
              </w:rPr>
              <w:t xml:space="preserve"> малого и среднего предпринимательства</w:t>
            </w:r>
          </w:p>
        </w:tc>
      </w:tr>
      <w:tr w:rsidR="005B0D7D" w:rsidRPr="005B0D7D" w:rsidTr="005B0D7D">
        <w:trPr>
          <w:cantSplit/>
          <w:jc w:val="center"/>
        </w:trPr>
        <w:tc>
          <w:tcPr>
            <w:tcW w:w="4233"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Сворачивание деятельности малых предприятий</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Миграционный отток предпринимателей в другие регионы</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теневого бизнеса</w:t>
            </w:r>
          </w:p>
        </w:tc>
        <w:tc>
          <w:tcPr>
            <w:tcW w:w="4927" w:type="dxa"/>
          </w:tcPr>
          <w:p w:rsidR="005B0D7D" w:rsidRPr="005B0D7D" w:rsidRDefault="005B0D7D" w:rsidP="005B0D7D">
            <w:pPr>
              <w:spacing w:after="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Предоставление налоговых льгот и применение понижающих коэффициентов при налогообложении для определенных видов предпринимательской деятельности</w:t>
            </w:r>
          </w:p>
        </w:tc>
      </w:tr>
      <w:tr w:rsidR="005B0D7D" w:rsidRPr="005B0D7D" w:rsidTr="005B0D7D">
        <w:trPr>
          <w:cantSplit/>
          <w:jc w:val="center"/>
        </w:trPr>
        <w:tc>
          <w:tcPr>
            <w:tcW w:w="9160" w:type="dxa"/>
            <w:gridSpan w:val="2"/>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Риск 7. Усиленный приток в Ханты-Мансийск трудовых мигрантов из других регионов России и стран Содружества независимых государств на фоне неблагоприятных тенденций в экономике</w:t>
            </w:r>
          </w:p>
        </w:tc>
      </w:tr>
      <w:tr w:rsidR="005B0D7D" w:rsidRPr="005B0D7D" w:rsidTr="005B0D7D">
        <w:trPr>
          <w:cantSplit/>
          <w:jc w:val="center"/>
        </w:trPr>
        <w:tc>
          <w:tcPr>
            <w:tcW w:w="4233"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Усиление социальной напряженности, возникновение конфликтов на национальной почве</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Ухудшение </w:t>
            </w:r>
            <w:proofErr w:type="gramStart"/>
            <w:r w:rsidRPr="005B0D7D">
              <w:rPr>
                <w:rFonts w:ascii="Times New Roman" w:eastAsia="Batang" w:hAnsi="Times New Roman" w:cs="Times New Roman"/>
                <w:lang w:eastAsia="ko-KR"/>
              </w:rPr>
              <w:t>криминогенной ситуации</w:t>
            </w:r>
            <w:proofErr w:type="gramEnd"/>
          </w:p>
        </w:tc>
        <w:tc>
          <w:tcPr>
            <w:tcW w:w="4927"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Содействие органам внутренних дел в выявлении нелегальных мигрантов</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Проведение культурных мероприятий, направленных на интеграцию иммигрантов из стран Содружества независимых государств, оформивших регистрацию, в городскую среду</w:t>
            </w:r>
          </w:p>
        </w:tc>
      </w:tr>
      <w:tr w:rsidR="005B0D7D" w:rsidRPr="005B0D7D" w:rsidTr="005B0D7D">
        <w:trPr>
          <w:cantSplit/>
          <w:jc w:val="center"/>
        </w:trPr>
        <w:tc>
          <w:tcPr>
            <w:tcW w:w="9160" w:type="dxa"/>
            <w:gridSpan w:val="2"/>
          </w:tcPr>
          <w:p w:rsidR="005B0D7D" w:rsidRPr="005B0D7D" w:rsidRDefault="005B0D7D" w:rsidP="005B0D7D">
            <w:pPr>
              <w:spacing w:after="0" w:line="240" w:lineRule="auto"/>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Риск 8. Снижение уровня координации взаимодействия между органами исполнительной власти автономного округа и органами Администрации города</w:t>
            </w:r>
          </w:p>
        </w:tc>
      </w:tr>
      <w:tr w:rsidR="005B0D7D" w:rsidRPr="005B0D7D" w:rsidTr="005B0D7D">
        <w:trPr>
          <w:cantSplit/>
          <w:jc w:val="center"/>
        </w:trPr>
        <w:tc>
          <w:tcPr>
            <w:tcW w:w="4233"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Сложность использования избыточных мощностей региональной инфраструктуры для решения муниципальных задач (культурные, спортивные и иные объекты)</w:t>
            </w:r>
          </w:p>
        </w:tc>
        <w:tc>
          <w:tcPr>
            <w:tcW w:w="4927" w:type="dxa"/>
          </w:tcPr>
          <w:p w:rsidR="005B0D7D" w:rsidRPr="005B0D7D" w:rsidRDefault="005B0D7D" w:rsidP="005B0D7D">
            <w:pPr>
              <w:spacing w:after="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Организация совместного планирования развития сфер жизнедеятельности города</w:t>
            </w:r>
          </w:p>
        </w:tc>
      </w:tr>
      <w:tr w:rsidR="005B0D7D" w:rsidRPr="005B0D7D" w:rsidTr="005B0D7D">
        <w:trPr>
          <w:cantSplit/>
          <w:jc w:val="center"/>
        </w:trPr>
        <w:tc>
          <w:tcPr>
            <w:tcW w:w="9160" w:type="dxa"/>
            <w:gridSpan w:val="2"/>
          </w:tcPr>
          <w:p w:rsidR="005B0D7D" w:rsidRPr="005B0D7D" w:rsidRDefault="005B0D7D" w:rsidP="005B0D7D">
            <w:pPr>
              <w:spacing w:after="0" w:line="240" w:lineRule="auto"/>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Риск 9. Перераспределение полномочий органов местного самоуправления, важных для обеспечения жизнедеятельности населения, в пользу органов исполнительной власти округа</w:t>
            </w:r>
          </w:p>
        </w:tc>
      </w:tr>
      <w:tr w:rsidR="005B0D7D" w:rsidRPr="005B0D7D" w:rsidTr="005B0D7D">
        <w:trPr>
          <w:cantSplit/>
          <w:jc w:val="center"/>
        </w:trPr>
        <w:tc>
          <w:tcPr>
            <w:tcW w:w="4233"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lastRenderedPageBreak/>
              <w:t>Невозможность решать на местном уровне комплексную задачу повышения качества жизни населения по причине отсутствия рычагов воздействия на отдельные ее составляющие.</w:t>
            </w:r>
          </w:p>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уровня самостоятельности органов местного самоуправления</w:t>
            </w:r>
          </w:p>
          <w:p w:rsidR="005B0D7D" w:rsidRPr="005B0D7D" w:rsidRDefault="005B0D7D" w:rsidP="005B0D7D">
            <w:pPr>
              <w:spacing w:after="60" w:line="240" w:lineRule="auto"/>
              <w:rPr>
                <w:rFonts w:ascii="Times New Roman" w:eastAsia="Batang" w:hAnsi="Times New Roman" w:cs="Times New Roman"/>
                <w:lang w:eastAsia="ko-KR"/>
              </w:rPr>
            </w:pPr>
          </w:p>
        </w:tc>
        <w:tc>
          <w:tcPr>
            <w:tcW w:w="4927" w:type="dxa"/>
          </w:tcPr>
          <w:p w:rsidR="005B0D7D" w:rsidRPr="005B0D7D" w:rsidRDefault="005B0D7D" w:rsidP="005B0D7D">
            <w:pPr>
              <w:spacing w:after="60" w:line="240" w:lineRule="auto"/>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Выстраивание договорных отношений между региональными и местными управленческими структурами</w:t>
            </w:r>
          </w:p>
          <w:p w:rsidR="005B0D7D" w:rsidRPr="005B0D7D" w:rsidRDefault="005B0D7D" w:rsidP="005B0D7D">
            <w:pPr>
              <w:spacing w:after="0" w:line="240" w:lineRule="auto"/>
              <w:jc w:val="both"/>
              <w:rPr>
                <w:rFonts w:ascii="Times New Roman" w:eastAsia="Batang" w:hAnsi="Times New Roman" w:cs="Times New Roman"/>
                <w:lang w:eastAsia="ko-KR"/>
              </w:rPr>
            </w:pP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r w:rsidRPr="005B0D7D">
        <w:rPr>
          <w:rFonts w:ascii="Arial" w:eastAsia="Batang" w:hAnsi="Arial" w:cs="Arial"/>
          <w:b/>
          <w:bCs/>
          <w:sz w:val="28"/>
          <w:szCs w:val="28"/>
          <w:lang w:eastAsia="ko-KR"/>
        </w:rPr>
        <w:br w:type="page"/>
      </w:r>
      <w:bookmarkStart w:id="183" w:name="_Toc410639497"/>
      <w:r w:rsidRPr="005B0D7D">
        <w:rPr>
          <w:rFonts w:ascii="Times New Roman" w:eastAsia="Batang" w:hAnsi="Times New Roman" w:cs="Times New Roman"/>
          <w:b/>
          <w:bCs/>
          <w:sz w:val="28"/>
          <w:szCs w:val="28"/>
          <w:lang w:eastAsia="ko-KR"/>
        </w:rPr>
        <w:lastRenderedPageBreak/>
        <w:t>4.10. SWOT-анализ конкурентоспособности экономики города</w:t>
      </w:r>
      <w:bookmarkEnd w:id="183"/>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Совокупность внешних и внутренних факторов определяют текущий уровень конкурентоспособности экономики города Ханты-Мансийска. Обобщенные данные о сильных и слабых сторонах экономики, возможностях и угрозах приведены в таблице 11.</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Таблица 11</w:t>
      </w:r>
    </w:p>
    <w:p w:rsidR="005B0D7D" w:rsidRPr="005B0D7D" w:rsidRDefault="005B0D7D" w:rsidP="005B0D7D">
      <w:pPr>
        <w:spacing w:before="120" w:after="120" w:line="240" w:lineRule="auto"/>
        <w:ind w:firstLine="720"/>
        <w:jc w:val="center"/>
        <w:rPr>
          <w:rFonts w:ascii="Times New Roman" w:eastAsia="Batang" w:hAnsi="Times New Roman" w:cs="Times New Roman"/>
          <w:b/>
          <w:sz w:val="24"/>
          <w:szCs w:val="24"/>
          <w:lang w:eastAsia="ko-KR"/>
        </w:rPr>
      </w:pPr>
      <w:r w:rsidRPr="005B0D7D">
        <w:rPr>
          <w:rFonts w:ascii="Times New Roman" w:eastAsia="Batang" w:hAnsi="Times New Roman" w:cs="Times New Roman"/>
          <w:b/>
          <w:iCs/>
          <w:sz w:val="24"/>
          <w:szCs w:val="24"/>
          <w:lang w:eastAsia="ko-KR"/>
        </w:rPr>
        <w:t>SWOT-анализ конкурентоспособности экономики города Ханты-Мансийска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496"/>
      </w:tblGrid>
      <w:tr w:rsidR="005B0D7D" w:rsidRPr="005B0D7D" w:rsidTr="005B0D7D">
        <w:trPr>
          <w:cantSplit/>
        </w:trPr>
        <w:tc>
          <w:tcPr>
            <w:tcW w:w="496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496"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96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Ценный природно-ресурсный потенциал города в части условий для поддержания благоприятной экологической обстановки и развития туризма.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Созданные условия для роста образовательного, профессионального и культурного уровня трудовых ресурсов, интенсивное создание новых рабочих мест.</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Высокий уровень жизни населения, рост заработной платы в бюджетном и коммерческом секторе.</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Интенсивное жилищное строительство в объеме порядка 100 тыс. кв. м в год, в том числе индивидуальное.</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разнообразных форм поддержки малого и среднего предпринимательства.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Благоприятный инвестиционный климат, действующая система финансовой и имущественной поддержки инвесторов.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Современная материально-техническая база учреждений образования, культуры, спорта.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развитой туристической инфраструктуры.</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Модернизированные коммунальные сети, низкий процент их износа</w:t>
            </w:r>
          </w:p>
        </w:tc>
        <w:tc>
          <w:tcPr>
            <w:tcW w:w="4496"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Недостаточная развитость реального сектора экономики.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Нехватка квалифицированных кадров для обеспечения инновационного развития города.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Недостаток свободных земель для реализации перспективных инвестиционных проектов.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Высокая стоимость и трудоемкость работ по инженерной подготовке территории для нового строительства.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доступного жилья, несмотря на интенсивное жилищное строительство.</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Сравнительно высокие цены на товары и услуги.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Удаленность города Ханты-Мансийска от ведущих научных центров, слабые научные связи с ведущими учреждениями Российской академии наук.</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Недостаточность предпосылок для развертывания инновационной деятельности</w:t>
            </w:r>
          </w:p>
        </w:tc>
      </w:tr>
      <w:tr w:rsidR="005B0D7D" w:rsidRPr="005B0D7D" w:rsidTr="005B0D7D">
        <w:trPr>
          <w:cantSplit/>
        </w:trPr>
        <w:tc>
          <w:tcPr>
            <w:tcW w:w="496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496" w:type="dxa"/>
            <w:shd w:val="clear" w:color="auto" w:fill="DDD9C3"/>
          </w:tcPr>
          <w:p w:rsidR="005B0D7D" w:rsidRPr="005B0D7D" w:rsidRDefault="005B0D7D" w:rsidP="005B0D7D">
            <w:pPr>
              <w:spacing w:after="0" w:line="240" w:lineRule="auto"/>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96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реального сектора экономики за счет создания благоприятных условий для инвесторов.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объемов поддержки предприятий агропромышленного комплекса в целях обеспечения продовольственной безопасности.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Дальнейшее расширение рынка труда за счет создания новых рабочих мест.</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Активизация научной деятельности за счет дальнейшего развития Югорского государственного университета и иных научно-образовательных организаций.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объемов инновационной деятельности путем максимального использования окружной инфраструктуры.</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Максимальное участие Администрации города в государственных программах Ханты-Мансийского автономного округа – Югры</w:t>
            </w:r>
          </w:p>
        </w:tc>
        <w:tc>
          <w:tcPr>
            <w:tcW w:w="4496"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Ухудшение социально-экономической ситуации вследствие неблагоприятных тенденций в экономике.</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Свертывание международных связей по причине ухудшения внешнеполитической обстановки.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уровня поддержки города Ханты-Мансийска со стороны окружных органов исполнительной власти по причине уменьшения доходов окружного бюджета, вызванного стагнацией нефтедобывающей отрасли.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налоговой нагрузки на предпринимательский сектор вследствие изменения федерального законодательства</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keepNext/>
        <w:spacing w:before="240" w:after="60" w:line="240" w:lineRule="auto"/>
        <w:jc w:val="center"/>
        <w:outlineLvl w:val="0"/>
        <w:rPr>
          <w:rFonts w:ascii="Times New Roman" w:eastAsia="Batang" w:hAnsi="Times New Roman" w:cs="Times New Roman"/>
          <w:b/>
          <w:bCs/>
          <w:kern w:val="32"/>
          <w:sz w:val="28"/>
          <w:szCs w:val="32"/>
          <w:lang w:eastAsia="ko-KR"/>
        </w:rPr>
      </w:pPr>
      <w:bookmarkStart w:id="184" w:name="_Toc410639498"/>
      <w:r w:rsidRPr="005B0D7D">
        <w:rPr>
          <w:rFonts w:ascii="Times New Roman" w:eastAsia="Batang" w:hAnsi="Times New Roman" w:cs="Times New Roman"/>
          <w:b/>
          <w:bCs/>
          <w:kern w:val="32"/>
          <w:sz w:val="28"/>
          <w:szCs w:val="32"/>
          <w:lang w:eastAsia="ko-KR"/>
        </w:rPr>
        <w:lastRenderedPageBreak/>
        <w:t>5. ОСНОВНЫЕ ПРОБЛЕМЫ И ПЕРСПЕКТИВЫ СОЦИАЛЬНО-ЭКОНОМИЧЕСКОГО РАЗВИТИЯ ГОРОДА</w:t>
      </w:r>
      <w:bookmarkEnd w:id="184"/>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85" w:name="_Toc410639499"/>
      <w:r w:rsidRPr="005B0D7D">
        <w:rPr>
          <w:rFonts w:ascii="Times New Roman" w:eastAsia="Batang" w:hAnsi="Times New Roman" w:cs="Times New Roman"/>
          <w:b/>
          <w:bCs/>
          <w:sz w:val="28"/>
          <w:szCs w:val="28"/>
          <w:lang w:eastAsia="ko-KR"/>
        </w:rPr>
        <w:t>5.1. Проблемы сохранения биологических ресурсов</w:t>
      </w:r>
      <w:bookmarkEnd w:id="185"/>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состояния биологических ресурсов в городе Ханты-Мансийске позволяет выделить основные сильные и слабые стороны их развития, а также потенциальные внешние возможности и угрозы, с которыми может столкнуться муниципальное образование: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Высокая доля земельных насаждений на территории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Благоприятный микроклимат, баланс кислорода и углекислого газа в атмосферном воздухе.</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источников термальных вод</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выбросов загрязняющих веществ, в том числе по причине увеличения парка автомобилей.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Недостаточно развитая система обращения с отходами, отсутствие возможностей для утилизации шин и ртутных ламп, отсутствие переработки отходов.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Загрязнение береговой полосы и русла реки Иртыш затопленными бесхозными судами, баржами, железобетонными конструкциями</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Недопущение на территорию города вредных производств.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Поддержка деятельности общественных организаций в сфере экологии.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Экологическое воспитание школьников.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Строительство мусоросортировочной площадки и </w:t>
            </w:r>
            <w:proofErr w:type="spellStart"/>
            <w:r w:rsidRPr="005B0D7D">
              <w:rPr>
                <w:rFonts w:ascii="Times New Roman" w:eastAsia="Batang" w:hAnsi="Times New Roman" w:cs="Times New Roman"/>
                <w:lang w:eastAsia="ko-KR"/>
              </w:rPr>
              <w:t>мусороперебатывающего</w:t>
            </w:r>
            <w:proofErr w:type="spellEnd"/>
            <w:r w:rsidRPr="005B0D7D">
              <w:rPr>
                <w:rFonts w:ascii="Times New Roman" w:eastAsia="Batang" w:hAnsi="Times New Roman" w:cs="Times New Roman"/>
                <w:lang w:eastAsia="ko-KR"/>
              </w:rPr>
              <w:t xml:space="preserve"> завода.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Установление контроля сбросов над сбросом стоков ливневой канализации в водные объекты.</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объемов бытового мусора по причине роста населения.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объемов строительного мусора по причине интенсификации хозяйственной деятельности.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Продолжение деградации природной среды на отдельных территориях.</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Незаконная вырубка лесных массивов с целью использования данных территорий под строительство.</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Нарушение гармонии природной среды и ландшафта в процессе застройки территории</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Красивая природа и благоприятная экологическая обстановка является одним из наиболее значимых факторов конкурентоспособности города, и ее сохранение является важным условием дальнейшего развития территории.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86" w:name="_Toc410639500"/>
      <w:r w:rsidRPr="005B0D7D">
        <w:rPr>
          <w:rFonts w:ascii="Times New Roman" w:eastAsia="Batang" w:hAnsi="Times New Roman" w:cs="Times New Roman"/>
          <w:b/>
          <w:bCs/>
          <w:sz w:val="28"/>
          <w:szCs w:val="28"/>
          <w:lang w:eastAsia="ko-KR"/>
        </w:rPr>
        <w:t>5.2. Социально-демографические проблемы и перспективы</w:t>
      </w:r>
      <w:bookmarkEnd w:id="186"/>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состояния социально-демографических процессов обеспечивает понимание важнейших сильных и слабых сторон, а также потенциальных возможностей и угроз, с которыми может столкнуться город Ханты-Мансийск:</w:t>
      </w:r>
    </w:p>
    <w:p w:rsid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2D6BC3" w:rsidRPr="005B0D7D" w:rsidRDefault="002D6BC3"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16"/>
          <w:szCs w:val="16"/>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lastRenderedPageBreak/>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Высокая доля населения трудоспособного возраста в численности постоянного населения.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Стабильный естественный и миграционный прирост населения, лидерство в округе по числу рождений на 1 тыс. жителей.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Интенсивное развитие кадрового потенциала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proofErr w:type="gramStart"/>
            <w:r w:rsidRPr="005B0D7D">
              <w:rPr>
                <w:rFonts w:ascii="Times New Roman" w:eastAsia="Batang" w:hAnsi="Times New Roman" w:cs="Times New Roman"/>
                <w:lang w:eastAsia="ko-KR"/>
              </w:rPr>
              <w:t>Рост числа занятых на предприятиях малого бизнеса</w:t>
            </w:r>
            <w:proofErr w:type="gramEnd"/>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единого управленческого субъекта, ответственного за демографическую и семейную политику.</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Большая нагрузка на социальную инфраструктуру по причине увеличения численности населения.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Сложности трудоустройства.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Ликвидация муниципальной системы здравоохранения вследствие перераспределения полномочий</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Привлечение высококвалифицированных специалистов при условии предоставления им служебного жилья.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Дальнейший рост рождаемости при благоприятных социально-экономических условиях</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Ухудшение социально-демографической ситуации по причине неблагоприятных тенденций в экономике.</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стимулирования рождаемости.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Возникновение проблем, связанных с интеграцией иммигрантов в жизнь местного сообщества</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Сложившаяся благоприятная социально-экономическая ситуация в городе Ханты-Мансийске, комфортные условия городской среды определяют условия для дальнейшего улучшения социально-демографических характеристик.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87" w:name="_Toc410639501"/>
      <w:r w:rsidRPr="005B0D7D">
        <w:rPr>
          <w:rFonts w:ascii="Times New Roman" w:eastAsia="Batang" w:hAnsi="Times New Roman" w:cs="Times New Roman"/>
          <w:b/>
          <w:bCs/>
          <w:sz w:val="28"/>
          <w:szCs w:val="28"/>
          <w:lang w:eastAsia="ko-KR"/>
        </w:rPr>
        <w:t>5.3. Проблемы и перспективы развития социальной инфраструктуры</w:t>
      </w:r>
      <w:bookmarkEnd w:id="18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сильных и слабых сторон, а также возможностей и угроз развития жилищной сферы, образования, культуры, физической культуры и спорта, молодежной политики дает понимание проблем и перспектив развития социальной инфраструктуры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Жилищная сфера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Интенсивное жилищное строительство.</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Снос ветхого и аварийного жилья.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доли населения, улучшившего жилищные условия, в том числе в рамках социальных программ.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индивидуального жилищного строительства.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комфортности жилищного фонда</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Дефицит муниципального земельного фонда, пригодного для жилищного строительства.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Необходимость специальной технической подготовки земельных участков для строительства жилья.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числа граждан, переселяемых из ветхих и аварийных домов.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очереди на получение жилья</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рынка арендного жилья.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Повышение привлекательности проживания на периферийных территориях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Улучшение визуального облика города вследствие сноса ветхого и аварийного жилья с последующим строительством современных зданий в концептуально заданном архитектурном стиле</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Недостаток бюджетных сре</w:t>
            </w:r>
            <w:proofErr w:type="gramStart"/>
            <w:r w:rsidRPr="005B0D7D">
              <w:rPr>
                <w:rFonts w:ascii="Times New Roman" w:eastAsia="Batang" w:hAnsi="Times New Roman" w:cs="Times New Roman"/>
                <w:lang w:eastAsia="ko-KR"/>
              </w:rPr>
              <w:t>дств дл</w:t>
            </w:r>
            <w:proofErr w:type="gramEnd"/>
            <w:r w:rsidRPr="005B0D7D">
              <w:rPr>
                <w:rFonts w:ascii="Times New Roman" w:eastAsia="Batang" w:hAnsi="Times New Roman" w:cs="Times New Roman"/>
                <w:lang w:eastAsia="ko-KR"/>
              </w:rPr>
              <w:t>я дальнейшей реализации жилищных программ.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Применение некачественных строительных материалов в процессе жилищного строительства.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Недостаточное использование инновационных разработок в сфере строительных материалов, в том числе энергосберегающих технологий</w:t>
            </w:r>
          </w:p>
        </w:tc>
      </w:tr>
    </w:tbl>
    <w:p w:rsidR="002D6BC3" w:rsidRDefault="002D6BC3" w:rsidP="005B0D7D">
      <w:pPr>
        <w:spacing w:before="120" w:after="12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before="120"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Дошкольное образование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Ввод в эксплуатацию новых детских садов.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100%-</w:t>
            </w:r>
            <w:proofErr w:type="spellStart"/>
            <w:r w:rsidRPr="005B0D7D">
              <w:rPr>
                <w:rFonts w:ascii="Times New Roman" w:eastAsia="Batang" w:hAnsi="Times New Roman" w:cs="Times New Roman"/>
                <w:lang w:eastAsia="ko-KR"/>
              </w:rPr>
              <w:t>ное</w:t>
            </w:r>
            <w:proofErr w:type="spellEnd"/>
            <w:r w:rsidRPr="005B0D7D">
              <w:rPr>
                <w:rFonts w:ascii="Times New Roman" w:eastAsia="Batang" w:hAnsi="Times New Roman" w:cs="Times New Roman"/>
                <w:lang w:eastAsia="ko-KR"/>
              </w:rPr>
              <w:t xml:space="preserve"> устройство в детские сады детей от 5 до 7 лет.</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100% зданий дошкольных образовательных организаций находятся в надлежащем состоянии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Дефицит мест в дошкольных образовательных организациях.</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Нехватка воспитателей.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Недостаточная трудовая мотивация воспитателей по причине низкого уровня оплаты труда</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Интенсификация строительства новых детских садов за счет использования механизмов государственно-частного партнерства.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Дальнейшее развитие альтернативных форм дошкольного образования.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Обеспечение преемственности воспитательного процесса за счет создания школ-комплексов</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очереди в детские сады вследствие роста рождаемости и притока мигрантов.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качества дошкольного воспитания</w:t>
            </w:r>
          </w:p>
        </w:tc>
      </w:tr>
    </w:tbl>
    <w:p w:rsidR="005B0D7D" w:rsidRPr="005B0D7D" w:rsidRDefault="005B0D7D" w:rsidP="005B0D7D">
      <w:pPr>
        <w:spacing w:before="120"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Общее образование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Высокая доля общеобразовательных учреждений, соответствующих современным требованиям обучения.</w:t>
            </w:r>
          </w:p>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Реализация федеральных государственных образовательных стандартов второго поколения, профильного обучения. </w:t>
            </w:r>
          </w:p>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Социальная адаптация детей-инвалидов, открытие инновационной площадки по </w:t>
            </w:r>
            <w:proofErr w:type="gramStart"/>
            <w:r w:rsidRPr="005B0D7D">
              <w:rPr>
                <w:rFonts w:ascii="Times New Roman" w:eastAsia="Batang" w:hAnsi="Times New Roman" w:cs="Times New Roman"/>
                <w:lang w:eastAsia="ko-KR"/>
              </w:rPr>
              <w:t>инклюзивному</w:t>
            </w:r>
            <w:proofErr w:type="gramEnd"/>
            <w:r w:rsidRPr="005B0D7D">
              <w:rPr>
                <w:rFonts w:ascii="Times New Roman" w:eastAsia="Batang" w:hAnsi="Times New Roman" w:cs="Times New Roman"/>
                <w:lang w:eastAsia="ko-KR"/>
              </w:rPr>
              <w:t xml:space="preserve"> образования на базе одной из школ</w:t>
            </w:r>
          </w:p>
        </w:tc>
        <w:tc>
          <w:tcPr>
            <w:tcW w:w="4678" w:type="dxa"/>
            <w:shd w:val="clear" w:color="auto" w:fill="EEECE1"/>
          </w:tcPr>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Высокая доля </w:t>
            </w:r>
            <w:proofErr w:type="gramStart"/>
            <w:r w:rsidRPr="005B0D7D">
              <w:rPr>
                <w:rFonts w:ascii="Times New Roman" w:eastAsia="Batang" w:hAnsi="Times New Roman" w:cs="Times New Roman"/>
                <w:lang w:eastAsia="ko-KR"/>
              </w:rPr>
              <w:t>обучающихся</w:t>
            </w:r>
            <w:proofErr w:type="gramEnd"/>
            <w:r w:rsidRPr="005B0D7D">
              <w:rPr>
                <w:rFonts w:ascii="Times New Roman" w:eastAsia="Batang" w:hAnsi="Times New Roman" w:cs="Times New Roman"/>
                <w:lang w:eastAsia="ko-KR"/>
              </w:rPr>
              <w:t xml:space="preserve"> во вторую смену.</w:t>
            </w:r>
          </w:p>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Слабый приток молодых специалистов, большое число учителей пенсионного возраста, нехватка учителей начальных классов.</w:t>
            </w:r>
          </w:p>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Дефицит менеджеров системы образования.</w:t>
            </w:r>
          </w:p>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количества детей с ограниченными возможностями здоровья и детей-инвалидов.</w:t>
            </w:r>
          </w:p>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Сокращение ставок специалистов по воспитательной работе, недостаточная реализация воспитательного потенциала образовательных учреждений.</w:t>
            </w:r>
          </w:p>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Недостаток видовых образовательных учреждений.</w:t>
            </w:r>
          </w:p>
          <w:p w:rsidR="005B0D7D" w:rsidRPr="005B0D7D" w:rsidRDefault="005B0D7D" w:rsidP="005B0D7D">
            <w:pPr>
              <w:spacing w:after="0" w:line="240" w:lineRule="auto"/>
              <w:ind w:firstLine="318"/>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Слабая взаимосвязь городской системы образования с научными учреждениями</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Повышение уровня образовательных организаций.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профильного образования.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Усиление связи образовательного процесса с производством, инновационной деятельностью в регионе.</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Повышение квалификации педагогических кадров за счет обеспечения более тесных связей образовательных организаций с научными учреждениями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Переполнение образовательных организаций по причине роста рождаемости и миграционного прироста населения.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общего уровня образованности по причине ухудшения качества образования, несовершенства форм контроля знаний</w:t>
            </w:r>
          </w:p>
        </w:tc>
      </w:tr>
    </w:tbl>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br w:type="page"/>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Дополнительное образование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интереса к дополнительному образованию (2013 города – услугу получает 92,1% детей и подростков 5-18 лет).</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Сотрудничество с Автономным учреждением Ханты-Мансийского автономного округа – Югры «Технопарк высоких технологий», Фондом поддержки предпринимательства Югры и другими организациями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Недостаточная ориентация дополнительного образования на функциональное назначение – жизненные стратегии школьников</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Соответствие отдельных программ дополнительного образования задаче инновационного развития города</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Перевод отдельных направлений дополнительного образования на платную основу.</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Отставание материально-технической базы учреждений дополнительного образования от потребности в образовательных услугах</w:t>
            </w:r>
          </w:p>
          <w:p w:rsidR="005B0D7D" w:rsidRPr="005B0D7D" w:rsidRDefault="005B0D7D" w:rsidP="005B0D7D">
            <w:pPr>
              <w:spacing w:after="0" w:line="240" w:lineRule="auto"/>
              <w:ind w:firstLine="317"/>
              <w:jc w:val="both"/>
              <w:rPr>
                <w:rFonts w:ascii="Times New Roman" w:eastAsia="Batang" w:hAnsi="Times New Roman" w:cs="Times New Roman"/>
                <w:sz w:val="10"/>
                <w:szCs w:val="10"/>
                <w:lang w:eastAsia="ko-KR"/>
              </w:rPr>
            </w:pP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Здравоохранение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Height w:val="2748"/>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Большое число расположенных в городе медицинских учреждений различной ведомственной принадлежности.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Оснащенность медицинских учреждений современным оборудованием</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возможности влияния муниципалитета на сферу здравоохранения по причине лишения органов местного самоуправления соответствующих полномочий.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Отставание развития инфраструктуры здравоохранения от потребностей города с резко увеличивающимся населением.</w:t>
            </w:r>
          </w:p>
          <w:p w:rsidR="005B0D7D" w:rsidRPr="005B0D7D" w:rsidRDefault="005B0D7D" w:rsidP="005B0D7D">
            <w:pPr>
              <w:tabs>
                <w:tab w:val="num" w:pos="252"/>
              </w:tabs>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Высокая доля смертности от </w:t>
            </w:r>
            <w:proofErr w:type="spellStart"/>
            <w:r w:rsidRPr="005B0D7D">
              <w:rPr>
                <w:rFonts w:ascii="Times New Roman" w:eastAsia="Batang" w:hAnsi="Times New Roman" w:cs="Times New Roman"/>
                <w:lang w:eastAsia="ko-KR"/>
              </w:rPr>
              <w:t>онкозаболеваний</w:t>
            </w:r>
            <w:proofErr w:type="spellEnd"/>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Дальнейшее наращивание материально-технической базы и технологического уровня учреждений здравоохранения.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Повышение доступности медицинских услуг для населения</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Отставание инфраструктуры здравоохранения от потребностей города по причине роста численности населения.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Разрыв взаимосвязи между потребностями местного сообщества в медицинских услугах и вектором развития окружной системы здравоохранения.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финансирования учреждений здравоохранения по причине ухудшения экономической ситуации.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качества медицинских услуг вследствие недостаточной подготовленности молодых кадров</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br w:type="page"/>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Культура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Ханты-Мансийск – культурный центр Ханты-Мансийского автономного округа – Югры.</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Сохранение традиций обско-угорских народов Севера.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Большое количество событий культурной жизни.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Эстетичная городская среда.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Интенсивная библиотечная деятельность, информатизация, рост интереса населения к библиотекам.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Сотрудничество муниципальных учреждений культуры с </w:t>
            </w:r>
            <w:proofErr w:type="gramStart"/>
            <w:r w:rsidRPr="005B0D7D">
              <w:rPr>
                <w:rFonts w:ascii="Times New Roman" w:eastAsia="Batang" w:hAnsi="Times New Roman" w:cs="Times New Roman"/>
                <w:lang w:eastAsia="ko-KR"/>
              </w:rPr>
              <w:t>окружными</w:t>
            </w:r>
            <w:proofErr w:type="gramEnd"/>
            <w:r w:rsidRPr="005B0D7D">
              <w:rPr>
                <w:rFonts w:ascii="Times New Roman" w:eastAsia="Batang" w:hAnsi="Times New Roman" w:cs="Times New Roman"/>
                <w:lang w:eastAsia="ko-KR"/>
              </w:rPr>
              <w:t xml:space="preserve"> в проведении на территории города мероприятий различного уровня</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Сложности присвоения выявленным памятникам </w:t>
            </w:r>
            <w:proofErr w:type="gramStart"/>
            <w:r w:rsidRPr="005B0D7D">
              <w:rPr>
                <w:rFonts w:ascii="Times New Roman" w:eastAsia="Batang" w:hAnsi="Times New Roman" w:cs="Times New Roman"/>
                <w:lang w:eastAsia="ko-KR"/>
              </w:rPr>
              <w:t>архитектуры статуса объектов культурного наследия муниципального значения</w:t>
            </w:r>
            <w:proofErr w:type="gramEnd"/>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Повышение качества культурных мероприятий, охват культурно-досуговой и культурно-образовательной деятельностью большего числа социальных групп.</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Оживление культурной среды окраин города за счет открытия новых библиотечных учреждений, проведения культурных мероприятий.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качества библиотечных услуг за счет информатизации библиотечной деятельности.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материальной базы учреждений культуры за счет платных услуг для населения</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Сокращение бюджетного финансирования сферы культуры.</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Утрата ценных памятников архитектуры в случае </w:t>
            </w:r>
            <w:proofErr w:type="spellStart"/>
            <w:r w:rsidRPr="005B0D7D">
              <w:rPr>
                <w:rFonts w:ascii="Times New Roman" w:eastAsia="Batang" w:hAnsi="Times New Roman" w:cs="Times New Roman"/>
                <w:lang w:eastAsia="ko-KR"/>
              </w:rPr>
              <w:t>незакрепления</w:t>
            </w:r>
            <w:proofErr w:type="spellEnd"/>
            <w:r w:rsidRPr="005B0D7D">
              <w:rPr>
                <w:rFonts w:ascii="Times New Roman" w:eastAsia="Batang" w:hAnsi="Times New Roman" w:cs="Times New Roman"/>
                <w:lang w:eastAsia="ko-KR"/>
              </w:rPr>
              <w:t xml:space="preserve"> за ними статуса объектов культурного наследия</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120" w:line="240" w:lineRule="auto"/>
        <w:ind w:firstLine="720"/>
        <w:jc w:val="both"/>
        <w:rPr>
          <w:rFonts w:ascii="Times New Roman" w:eastAsia="Batang" w:hAnsi="Times New Roman" w:cs="Times New Roman"/>
          <w:snapToGrid w:val="0"/>
          <w:sz w:val="28"/>
          <w:szCs w:val="28"/>
          <w:lang w:eastAsia="ru-RU"/>
        </w:rPr>
      </w:pPr>
      <w:r w:rsidRPr="005B0D7D">
        <w:rPr>
          <w:rFonts w:ascii="Times New Roman" w:eastAsia="Batang" w:hAnsi="Times New Roman" w:cs="Times New Roman"/>
          <w:sz w:val="28"/>
          <w:szCs w:val="28"/>
          <w:lang w:eastAsia="ko-KR"/>
        </w:rPr>
        <w:t>Физическая</w:t>
      </w:r>
      <w:r w:rsidRPr="005B0D7D">
        <w:rPr>
          <w:rFonts w:ascii="Times New Roman" w:eastAsia="Batang" w:hAnsi="Times New Roman" w:cs="Times New Roman"/>
          <w:snapToGrid w:val="0"/>
          <w:sz w:val="28"/>
          <w:szCs w:val="28"/>
          <w:lang w:eastAsia="ru-RU"/>
        </w:rPr>
        <w:t xml:space="preserve"> культура и спорт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Ханты-Мансийск – один из ведущих спортивных центров России.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Уверенный рост числа систематически </w:t>
            </w:r>
            <w:proofErr w:type="gramStart"/>
            <w:r w:rsidRPr="005B0D7D">
              <w:rPr>
                <w:rFonts w:ascii="Times New Roman" w:eastAsia="Batang" w:hAnsi="Times New Roman" w:cs="Times New Roman"/>
                <w:lang w:eastAsia="ko-KR"/>
              </w:rPr>
              <w:t>занимающихся</w:t>
            </w:r>
            <w:proofErr w:type="gramEnd"/>
            <w:r w:rsidRPr="005B0D7D">
              <w:rPr>
                <w:rFonts w:ascii="Times New Roman" w:eastAsia="Batang" w:hAnsi="Times New Roman" w:cs="Times New Roman"/>
                <w:lang w:eastAsia="ko-KR"/>
              </w:rPr>
              <w:t xml:space="preserve"> физической культурой и спортом.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Включение спортсменов города в спортивные сборные команды России.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Функционирование пунктов проката спортивного инвентаря</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специализированных сооружений для занятий адаптивным спортом.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Нехватка спортивного инвентаря и оборудования в спортивных учреждениях и на спортивных сооружениях</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Дальнейшее укрепление признанного спортивного имиджа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Повышение интереса жителей города к занятиям физической культурой.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разнообразия вариантов самореализации молодых людей в сфере спорта</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числа поездок на соревнования и соревнований с командами из других городов по причине ухудшения социально-экономической ситуации.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Усложнение взаимодействия муниципальных структур с </w:t>
            </w:r>
            <w:proofErr w:type="gramStart"/>
            <w:r w:rsidRPr="005B0D7D">
              <w:rPr>
                <w:rFonts w:ascii="Times New Roman" w:eastAsia="Batang" w:hAnsi="Times New Roman" w:cs="Times New Roman"/>
                <w:lang w:eastAsia="ko-KR"/>
              </w:rPr>
              <w:t>окружными</w:t>
            </w:r>
            <w:proofErr w:type="gramEnd"/>
            <w:r w:rsidRPr="005B0D7D">
              <w:rPr>
                <w:rFonts w:ascii="Times New Roman" w:eastAsia="Batang" w:hAnsi="Times New Roman" w:cs="Times New Roman"/>
                <w:lang w:eastAsia="ko-KR"/>
              </w:rPr>
              <w:t xml:space="preserve"> по поводу координации действий в сфере спорта, использования спортивных объектов</w:t>
            </w:r>
          </w:p>
        </w:tc>
      </w:tr>
    </w:tbl>
    <w:p w:rsidR="005B0D7D" w:rsidRDefault="005B0D7D" w:rsidP="005B0D7D">
      <w:pPr>
        <w:spacing w:after="120" w:line="240" w:lineRule="auto"/>
        <w:ind w:firstLine="720"/>
        <w:jc w:val="both"/>
        <w:rPr>
          <w:rFonts w:ascii="Times New Roman" w:eastAsia="Batang" w:hAnsi="Times New Roman" w:cs="Times New Roman"/>
          <w:snapToGrid w:val="0"/>
          <w:sz w:val="28"/>
          <w:szCs w:val="28"/>
          <w:lang w:eastAsia="ru-RU"/>
        </w:rPr>
      </w:pPr>
    </w:p>
    <w:p w:rsidR="002D6BC3" w:rsidRPr="005B0D7D" w:rsidRDefault="002D6BC3" w:rsidP="005B0D7D">
      <w:pPr>
        <w:spacing w:after="120" w:line="240" w:lineRule="auto"/>
        <w:ind w:firstLine="720"/>
        <w:jc w:val="both"/>
        <w:rPr>
          <w:rFonts w:ascii="Times New Roman" w:eastAsia="Batang" w:hAnsi="Times New Roman" w:cs="Times New Roman"/>
          <w:snapToGrid w:val="0"/>
          <w:sz w:val="28"/>
          <w:szCs w:val="28"/>
          <w:lang w:eastAsia="ru-RU"/>
        </w:rPr>
      </w:pPr>
    </w:p>
    <w:p w:rsidR="005B0D7D" w:rsidRPr="005B0D7D" w:rsidRDefault="005B0D7D" w:rsidP="005B0D7D">
      <w:pPr>
        <w:spacing w:after="120" w:line="240" w:lineRule="auto"/>
        <w:ind w:firstLine="720"/>
        <w:jc w:val="both"/>
        <w:rPr>
          <w:rFonts w:ascii="Times New Roman" w:eastAsia="Batang" w:hAnsi="Times New Roman" w:cs="Times New Roman"/>
          <w:snapToGrid w:val="0"/>
          <w:sz w:val="28"/>
          <w:szCs w:val="28"/>
          <w:lang w:eastAsia="ru-RU"/>
        </w:rPr>
      </w:pPr>
      <w:r w:rsidRPr="005B0D7D">
        <w:rPr>
          <w:rFonts w:ascii="Times New Roman" w:eastAsia="Batang" w:hAnsi="Times New Roman" w:cs="Times New Roman"/>
          <w:snapToGrid w:val="0"/>
          <w:sz w:val="28"/>
          <w:szCs w:val="28"/>
          <w:lang w:eastAsia="ru-RU"/>
        </w:rPr>
        <w:lastRenderedPageBreak/>
        <w:t xml:space="preserve">Молодежная </w:t>
      </w:r>
      <w:r w:rsidRPr="005B0D7D">
        <w:rPr>
          <w:rFonts w:ascii="Times New Roman" w:eastAsia="Batang" w:hAnsi="Times New Roman" w:cs="Times New Roman"/>
          <w:sz w:val="28"/>
          <w:szCs w:val="28"/>
          <w:lang w:eastAsia="ko-KR"/>
        </w:rPr>
        <w:t>политика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активных молодых людей, способных вносить свой вклад в развитие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Отлаженная система обеспечения временной трудовой занятости подростков, наличие инновационных подходов (проекты «Городской молодежный сервисный отряд», «</w:t>
            </w:r>
            <w:proofErr w:type="spellStart"/>
            <w:r w:rsidRPr="005B0D7D">
              <w:rPr>
                <w:rFonts w:ascii="Times New Roman" w:eastAsia="Batang" w:hAnsi="Times New Roman" w:cs="Times New Roman"/>
                <w:lang w:eastAsia="ko-KR"/>
              </w:rPr>
              <w:t>ЭкоДесант</w:t>
            </w:r>
            <w:proofErr w:type="spellEnd"/>
            <w:r w:rsidRPr="005B0D7D">
              <w:rPr>
                <w:rFonts w:ascii="Times New Roman" w:eastAsia="Batang" w:hAnsi="Times New Roman" w:cs="Times New Roman"/>
                <w:lang w:eastAsia="ko-KR"/>
              </w:rPr>
              <w:t>», «Дети в музеях» и т.п.).</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числа городских молодежных мероприятий.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си</w:t>
            </w:r>
            <w:r w:rsidR="002D6BC3">
              <w:rPr>
                <w:rFonts w:ascii="Times New Roman" w:eastAsia="Batang" w:hAnsi="Times New Roman" w:cs="Times New Roman"/>
                <w:lang w:eastAsia="ko-KR"/>
              </w:rPr>
              <w:t>стемы работы с талантливой молод</w:t>
            </w:r>
            <w:r w:rsidRPr="005B0D7D">
              <w:rPr>
                <w:rFonts w:ascii="Times New Roman" w:eastAsia="Batang" w:hAnsi="Times New Roman" w:cs="Times New Roman"/>
                <w:lang w:eastAsia="ko-KR"/>
              </w:rPr>
              <w:t>ежью.</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Усиление интереса молодежи к волонтерской деятельности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Недостаточное участие молодых людей в стратегическом развитии территории.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коммуникативных площадок, «зон свободного общения»</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Повышение участия молодежи в стратегическом развитии города, в том числе в рамках деятельности молодежного совета при Главе Администрации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Активизация участия ханты-мансийской молодежи в окружных мероприятиях.</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социального потенциала молодежи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Недооценка системообразующей роли молодежной политики по отношению к остальным сферам жизнедеятельности и развитию города в целом.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Финансирование отрасли молодежной политики по остаточному принципу.</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Сохранение подчиненности органов молодежной политики смежным отраслевым структурам Администрации города</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Таким образом, город Ханты-Мансийск на сегодняшний день имеет достаточно развитую социальную инфраструктуру, которая при сохранении благоприятных внешних условий будет сохранять роль значимой предпосылки стратегического развития экономики города.</w:t>
      </w:r>
    </w:p>
    <w:p w:rsidR="005B0D7D" w:rsidRPr="005B0D7D" w:rsidRDefault="005B0D7D" w:rsidP="005B0D7D">
      <w:pPr>
        <w:spacing w:after="0" w:line="240" w:lineRule="auto"/>
        <w:ind w:firstLine="720"/>
        <w:jc w:val="both"/>
        <w:rPr>
          <w:rFonts w:ascii="Times New Roman" w:eastAsia="Batang" w:hAnsi="Times New Roman" w:cs="Times New Roman"/>
          <w:strike/>
          <w:sz w:val="16"/>
          <w:szCs w:val="16"/>
          <w:lang w:eastAsia="ko-KR"/>
        </w:rPr>
      </w:pP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88" w:name="_Toc410639502"/>
      <w:r w:rsidRPr="005B0D7D">
        <w:rPr>
          <w:rFonts w:ascii="Times New Roman" w:eastAsia="Batang" w:hAnsi="Times New Roman" w:cs="Times New Roman"/>
          <w:b/>
          <w:bCs/>
          <w:sz w:val="28"/>
          <w:szCs w:val="28"/>
          <w:lang w:eastAsia="ko-KR"/>
        </w:rPr>
        <w:t>5.4. Проблемы и перспективы развития жилищно-коммунального комплекса и инженерной инфраструктуры</w:t>
      </w:r>
      <w:bookmarkEnd w:id="188"/>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сильных и слабых сторон, а также возможностей и угроз развития жилищно-коммунального комплекса и инженерной инфраструктуры обнаруживает ряд тенденций и закономерностей, которые представлены ниже.</w:t>
      </w:r>
    </w:p>
    <w:p w:rsidR="005B0D7D" w:rsidRPr="005B0D7D" w:rsidRDefault="005B0D7D" w:rsidP="005B0D7D">
      <w:pPr>
        <w:spacing w:before="120"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Жилищно-коммунальное хозяйство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Компактность застройки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общественного совета по жилищно-коммунальному хозяйству.</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единого регламента содержания придомовых территорий.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Высокий уровень оснащенности домов приборами учета.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Большинство многоквартирных домов </w:t>
            </w:r>
            <w:proofErr w:type="gramStart"/>
            <w:r w:rsidRPr="005B0D7D">
              <w:rPr>
                <w:rFonts w:ascii="Times New Roman" w:eastAsia="Batang" w:hAnsi="Times New Roman" w:cs="Times New Roman"/>
                <w:lang w:eastAsia="ko-KR"/>
              </w:rPr>
              <w:t>расположены</w:t>
            </w:r>
            <w:proofErr w:type="gramEnd"/>
            <w:r w:rsidRPr="005B0D7D">
              <w:rPr>
                <w:rFonts w:ascii="Times New Roman" w:eastAsia="Batang" w:hAnsi="Times New Roman" w:cs="Times New Roman"/>
                <w:lang w:eastAsia="ko-KR"/>
              </w:rPr>
              <w:t xml:space="preserve"> на земельных участках, в отношении которых осуществлен государственный кадастровый учет</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Сложности взаимодействия муниципалитета с управляющими организациями.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задолженности граждан за жилищно-коммунальные услуги.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аварийного, ветхого жилья, и жилья, требующего капитального ремонта</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lastRenderedPageBreak/>
              <w:t>Повышение управляемости отрасли в результате обеспечения лицензирования управляющих компаний.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объемов инвестиций в отрасль при условии строгого контроля расходования средств.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Автоматизация сбора данных с приборов учета, возможность оперативного контроля экономии энергоресурсов.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платежеспособного спроса граждан на более качественные коммунальные услуги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Сохранение иждивенческой позиции собственников жилья в части решения проблем сферы жилищно-коммунального хозяйства.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Сохранение относительно большого объема ветхого и аварийного жилья, особенно в условиях ухудшения экономической ситуации.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Сложность содержания домов по причине проявления результатов некачественных строительных работ</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Водоснабжение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80% магистральных водопроводных сетей реализовано в полиэтилене, отсутствие острой проблемы износа сетей.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количества крупных аварий на инженерных сетях.</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Достаточно большие разведанные запасы воды на ближайшую перспективу (до 30 тыс. куб. м в сутки).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Практика бурения </w:t>
            </w:r>
            <w:proofErr w:type="spellStart"/>
            <w:r w:rsidRPr="005B0D7D">
              <w:rPr>
                <w:rFonts w:ascii="Times New Roman" w:eastAsia="Batang" w:hAnsi="Times New Roman" w:cs="Times New Roman"/>
                <w:lang w:eastAsia="ko-KR"/>
              </w:rPr>
              <w:t>высокодебетных</w:t>
            </w:r>
            <w:proofErr w:type="spellEnd"/>
            <w:r w:rsidRPr="005B0D7D">
              <w:rPr>
                <w:rFonts w:ascii="Times New Roman" w:eastAsia="Batang" w:hAnsi="Times New Roman" w:cs="Times New Roman"/>
                <w:lang w:eastAsia="ko-KR"/>
              </w:rPr>
              <w:t xml:space="preserve"> скважин, обеспечивающих увеличение добычи воды.</w:t>
            </w:r>
          </w:p>
          <w:p w:rsidR="005B0D7D" w:rsidRPr="005B0D7D" w:rsidRDefault="005B0D7D" w:rsidP="005B0D7D">
            <w:pPr>
              <w:spacing w:after="0" w:line="240" w:lineRule="auto"/>
              <w:ind w:firstLine="317"/>
              <w:jc w:val="both"/>
              <w:rPr>
                <w:rFonts w:ascii="Times New Roman" w:eastAsia="Batang" w:hAnsi="Times New Roman" w:cs="Times New Roman"/>
                <w:sz w:val="24"/>
                <w:szCs w:val="24"/>
                <w:lang w:eastAsia="ko-KR"/>
              </w:rPr>
            </w:pPr>
            <w:r w:rsidRPr="005B0D7D">
              <w:rPr>
                <w:rFonts w:ascii="Times New Roman" w:eastAsia="Batang" w:hAnsi="Times New Roman" w:cs="Times New Roman"/>
                <w:lang w:eastAsia="ko-KR"/>
              </w:rPr>
              <w:t>Мероприятия по энергоэффективности: применение особых фильтров, оборудование насосов частотными регуляторами, замена или перемотка электродвигателей по схеме «Славянка».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p>
          <w:p w:rsidR="005B0D7D" w:rsidRPr="005B0D7D" w:rsidRDefault="005B0D7D" w:rsidP="005B0D7D">
            <w:pPr>
              <w:spacing w:after="0" w:line="240" w:lineRule="auto"/>
              <w:ind w:firstLine="317"/>
              <w:jc w:val="both"/>
              <w:rPr>
                <w:rFonts w:ascii="Times New Roman" w:eastAsia="Batang" w:hAnsi="Times New Roman" w:cs="Times New Roman"/>
                <w:lang w:eastAsia="ko-KR"/>
              </w:rPr>
            </w:pP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Необходимость использования большого числа насосных станций по причине неровностей ландшафта.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Потребность в увеличении мощности существующего водозабора, бурении дополнительных высокодебитных скважин, реконструкции станции водоочистки, в перспективе – строительства второго водозабора</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Возможность реализации проекта бурения новых скважин на территории существующего водозабора. Реконструкция станции водоочистки на водозаборе «Северный».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Строительство второго водозабора «</w:t>
            </w:r>
            <w:proofErr w:type="spellStart"/>
            <w:r w:rsidRPr="005B0D7D">
              <w:rPr>
                <w:rFonts w:ascii="Times New Roman" w:eastAsia="Batang" w:hAnsi="Times New Roman" w:cs="Times New Roman"/>
                <w:lang w:eastAsia="ko-KR"/>
              </w:rPr>
              <w:t>Стрижкино</w:t>
            </w:r>
            <w:proofErr w:type="spellEnd"/>
            <w:r w:rsidRPr="005B0D7D">
              <w:rPr>
                <w:rFonts w:ascii="Times New Roman" w:eastAsia="Batang" w:hAnsi="Times New Roman" w:cs="Times New Roman"/>
                <w:lang w:eastAsia="ko-KR"/>
              </w:rPr>
              <w:t>».</w:t>
            </w:r>
          </w:p>
          <w:p w:rsidR="005B0D7D" w:rsidRPr="005B0D7D" w:rsidRDefault="005B0D7D" w:rsidP="002D6BC3">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сетей водоснабжения с охватом районов, не обеспеченных централизованным водоснабжением, л</w:t>
            </w:r>
            <w:r w:rsidR="002D6BC3">
              <w:rPr>
                <w:rFonts w:ascii="Times New Roman" w:eastAsia="Batang" w:hAnsi="Times New Roman" w:cs="Times New Roman"/>
                <w:lang w:eastAsia="ko-KR"/>
              </w:rPr>
              <w:t>иквидация водоразборных колонок</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Недостаточная мощность существующего водозабора и водоочистных сооружений в случае ускоренного увеличения численности населения города</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Водоотведение – бытовая канализация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Сравнительно новая сеть водоотведения в железобетонном, полиэтиленовом исполнении, низкий процент стальных сетей.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количества аварий на сетях бытовой канализации.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Автоматизация КНС и технологических процессов на очистных сооружениях.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Проведение мероприятий по энергоэффективности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резерва мощности очистных сооружений на перспективу.</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районов жилой застройки, не охваченных централизованной системой бытовой канализации</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lastRenderedPageBreak/>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459"/>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Подключение территорий, не охваченных центральной системой бытовой канализации (санация микрорайонов индивидуальной застройки, ликвидация выгребов).</w:t>
            </w:r>
          </w:p>
          <w:p w:rsidR="005B0D7D" w:rsidRPr="005B0D7D" w:rsidRDefault="005B0D7D" w:rsidP="005B0D7D">
            <w:pPr>
              <w:spacing w:after="0" w:line="240" w:lineRule="auto"/>
              <w:ind w:firstLine="459"/>
              <w:jc w:val="both"/>
              <w:rPr>
                <w:rFonts w:ascii="Times New Roman" w:eastAsia="Batang" w:hAnsi="Times New Roman" w:cs="Times New Roman"/>
                <w:lang w:eastAsia="ko-KR"/>
              </w:rPr>
            </w:pPr>
            <w:r w:rsidRPr="005B0D7D">
              <w:rPr>
                <w:rFonts w:ascii="Times New Roman" w:eastAsia="Batang" w:hAnsi="Times New Roman" w:cs="Times New Roman"/>
                <w:lang w:eastAsia="ko-KR"/>
              </w:rPr>
              <w:t>Возможность применения инновационных технологий обращения с отходами, производства удобрений</w:t>
            </w:r>
          </w:p>
        </w:tc>
        <w:tc>
          <w:tcPr>
            <w:tcW w:w="4678" w:type="dxa"/>
            <w:shd w:val="clear" w:color="auto" w:fill="EEECE1"/>
          </w:tcPr>
          <w:p w:rsidR="005B0D7D" w:rsidRPr="005B0D7D" w:rsidRDefault="005B0D7D" w:rsidP="005B0D7D">
            <w:pPr>
              <w:spacing w:after="0" w:line="240" w:lineRule="auto"/>
              <w:ind w:firstLine="459"/>
              <w:jc w:val="both"/>
              <w:rPr>
                <w:rFonts w:ascii="Times New Roman" w:eastAsia="Batang" w:hAnsi="Times New Roman" w:cs="Times New Roman"/>
                <w:lang w:eastAsia="ko-KR"/>
              </w:rPr>
            </w:pPr>
            <w:r w:rsidRPr="005B0D7D">
              <w:rPr>
                <w:rFonts w:ascii="Times New Roman" w:eastAsia="Batang" w:hAnsi="Times New Roman" w:cs="Times New Roman"/>
                <w:lang w:eastAsia="ko-KR"/>
              </w:rPr>
              <w:t>Загрязнение территорий из-за большого количества выгребных ям.</w:t>
            </w:r>
          </w:p>
          <w:p w:rsidR="005B0D7D" w:rsidRPr="005B0D7D" w:rsidRDefault="005B0D7D" w:rsidP="005B0D7D">
            <w:pPr>
              <w:spacing w:after="0" w:line="240" w:lineRule="auto"/>
              <w:ind w:firstLine="459"/>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Большое количество канализационных насосных станций из-за неровностей рельефа. </w:t>
            </w:r>
          </w:p>
          <w:p w:rsidR="005B0D7D" w:rsidRPr="005B0D7D" w:rsidRDefault="005B0D7D" w:rsidP="005B0D7D">
            <w:pPr>
              <w:spacing w:after="0" w:line="240" w:lineRule="auto"/>
              <w:ind w:firstLine="459"/>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Необходимость увеличения мощности канализационных насосных станций, коллекторов из-за интенсивной застройки территории</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Теплоснабжение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Сравнительно высокий процент крышных котельных, в том числе каскадного типа в районах новой застройки.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Применение блочных котельных, работающих в автоматическом режиме.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Применение насосного оборудования на центральных котельных с частотными регуляторами, установка на котельных приборов учета тепловой энергии, применение современной системы автоматизации и диспетчеризации котельных.</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Использование трубопроводов в пенополиуретановой изоляции при новой прокладке и замене ветхих сетей теплоснабжения</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Несбалансированный уровень загрузки котельных.</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Устаревшее оборудование котельных, высокий уровень потребления топлива, воды и электрической энергии.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Относительно высокий износ тепловых сетей. Отсутствие </w:t>
            </w:r>
            <w:proofErr w:type="spellStart"/>
            <w:r w:rsidRPr="005B0D7D">
              <w:rPr>
                <w:rFonts w:ascii="Times New Roman" w:eastAsia="Batang" w:hAnsi="Times New Roman" w:cs="Times New Roman"/>
                <w:lang w:eastAsia="ko-KR"/>
              </w:rPr>
              <w:t>закольцовки</w:t>
            </w:r>
            <w:proofErr w:type="spellEnd"/>
            <w:r w:rsidRPr="005B0D7D">
              <w:rPr>
                <w:rFonts w:ascii="Times New Roman" w:eastAsia="Batang" w:hAnsi="Times New Roman" w:cs="Times New Roman"/>
                <w:lang w:eastAsia="ko-KR"/>
              </w:rPr>
              <w:t xml:space="preserve"> тепловых сетей.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Большой процент сетей водоснабжения, проложенных совместно с сетями теплоснабжения, в </w:t>
            </w:r>
            <w:proofErr w:type="gramStart"/>
            <w:r w:rsidRPr="005B0D7D">
              <w:rPr>
                <w:rFonts w:ascii="Times New Roman" w:eastAsia="Batang" w:hAnsi="Times New Roman" w:cs="Times New Roman"/>
                <w:lang w:eastAsia="ko-KR"/>
              </w:rPr>
              <w:t>связи</w:t>
            </w:r>
            <w:proofErr w:type="gramEnd"/>
            <w:r w:rsidRPr="005B0D7D">
              <w:rPr>
                <w:rFonts w:ascii="Times New Roman" w:eastAsia="Batang" w:hAnsi="Times New Roman" w:cs="Times New Roman"/>
                <w:lang w:eastAsia="ko-KR"/>
              </w:rPr>
              <w:t xml:space="preserve"> с чем усиливается вероятность коррозии труб.</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Внедрение систем комбинированной выработки электрической и тепловой энергии, что существенно сокращает ресурсные и денежные затраты.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Сохранение комбинированной системы теплоснабжения: централизованной и крышных котельных</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Вероятность отключения тепла у потребителей при остановке котельной в районах централизованного теплоснабжения ввиду отсутствия </w:t>
            </w:r>
            <w:proofErr w:type="spellStart"/>
            <w:r w:rsidRPr="005B0D7D">
              <w:rPr>
                <w:rFonts w:ascii="Times New Roman" w:eastAsia="Batang" w:hAnsi="Times New Roman" w:cs="Times New Roman"/>
                <w:lang w:eastAsia="ko-KR"/>
              </w:rPr>
              <w:t>закольцовки</w:t>
            </w:r>
            <w:proofErr w:type="spellEnd"/>
            <w:r w:rsidRPr="005B0D7D">
              <w:rPr>
                <w:rFonts w:ascii="Times New Roman" w:eastAsia="Batang" w:hAnsi="Times New Roman" w:cs="Times New Roman"/>
                <w:lang w:eastAsia="ko-KR"/>
              </w:rPr>
              <w:t xml:space="preserve"> тепловых сетей.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объемов средств, выделяемых на модернизацию котельных, замедление темпов замены ветхих сетей теплоснабжения</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br w:type="page"/>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Газоснабжение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острой проблемы ветхости сетей и оборудования по причине сравнительного недавнего ввода в эксплуатацию системы газоснабжения города (</w:t>
            </w:r>
            <w:proofErr w:type="gramStart"/>
            <w:r w:rsidRPr="005B0D7D">
              <w:rPr>
                <w:rFonts w:ascii="Times New Roman" w:eastAsia="Batang" w:hAnsi="Times New Roman" w:cs="Times New Roman"/>
                <w:lang w:eastAsia="ko-KR"/>
              </w:rPr>
              <w:t>построена</w:t>
            </w:r>
            <w:proofErr w:type="gramEnd"/>
            <w:r w:rsidRPr="005B0D7D">
              <w:rPr>
                <w:rFonts w:ascii="Times New Roman" w:eastAsia="Batang" w:hAnsi="Times New Roman" w:cs="Times New Roman"/>
                <w:lang w:eastAsia="ko-KR"/>
              </w:rPr>
              <w:t xml:space="preserve"> в 1990-е годы)</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газопроводов высокого давления в застроенной территории.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Недостаточно закольцованная система газоснабжения, наличие участков с тупиковыми газопроводами.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Недостаточная пропускная способность участков сетей газоснабжения высокого и среднего давления.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Устаревание технологического оборудования на головной газораспределительной станции.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Сохранение использования баллонного сжиженного газа в части домохозяйств</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резервных мощностей газоснабжения.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потребления газа производственным сектором по причине создания новых предприятий.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Разработка единого порядка выдачи технических условий инвестору.</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Перевод жилого фонда с баллонного сжиженного газа </w:t>
            </w:r>
            <w:proofErr w:type="gramStart"/>
            <w:r w:rsidRPr="005B0D7D">
              <w:rPr>
                <w:rFonts w:ascii="Times New Roman" w:eastAsia="Batang" w:hAnsi="Times New Roman" w:cs="Times New Roman"/>
                <w:lang w:eastAsia="ko-KR"/>
              </w:rPr>
              <w:t>на</w:t>
            </w:r>
            <w:proofErr w:type="gramEnd"/>
            <w:r w:rsidRPr="005B0D7D">
              <w:rPr>
                <w:rFonts w:ascii="Times New Roman" w:eastAsia="Batang" w:hAnsi="Times New Roman" w:cs="Times New Roman"/>
                <w:lang w:eastAsia="ko-KR"/>
              </w:rPr>
              <w:t xml:space="preserve"> природный</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Вероятность возникновения дефицита мощностей газоснабжения при условии дальнейшего развития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Вероятность возникновения перебоев в системе газоснабжения при пиковых нагрузках по причине недостаточной пропускной способности газораспределительной сети.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второго независимого  подводящего газопровода к городу Ханты-Мансийску</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Электроснабжение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резервных мощностей электроэнергии в центрах питания 110\10Кв и распределительных сетях.</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Надёжная схема распределительных сетей 10/0,4кВ (кольцевая двухлучевая с возможностью резервирования питаний).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proofErr w:type="gramStart"/>
            <w:r w:rsidRPr="005B0D7D">
              <w:rPr>
                <w:rFonts w:ascii="Times New Roman" w:eastAsia="Batang" w:hAnsi="Times New Roman" w:cs="Times New Roman"/>
                <w:lang w:eastAsia="ko-KR"/>
              </w:rPr>
              <w:t>Система электроснабжения реализована с применением современных инновационных технологий в строительстве линий электропередач, распределительных пунктов и трансформаторных подстанций, обеспечивающих высокую надёжность.</w:t>
            </w:r>
            <w:proofErr w:type="gramEnd"/>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Сохранение городских электрических сетей в муниципальной собственности и контроля муниципалитета за электросетями и организацией электроснабжения.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Небольшой объем ветхих сетей по причине сравнительно недавнего разрастания города.</w:t>
            </w:r>
          </w:p>
          <w:p w:rsidR="005B0D7D" w:rsidRPr="005B0D7D" w:rsidRDefault="005B0D7D" w:rsidP="002D6BC3">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Единый пункт оперативно-диспетчерского </w:t>
            </w:r>
            <w:r w:rsidR="002D6BC3">
              <w:rPr>
                <w:rFonts w:ascii="Times New Roman" w:eastAsia="Batang" w:hAnsi="Times New Roman" w:cs="Times New Roman"/>
                <w:lang w:eastAsia="ko-KR"/>
              </w:rPr>
              <w:t>управления электросетями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Недостаточная пропускная способность линий 0,4 </w:t>
            </w:r>
            <w:proofErr w:type="spellStart"/>
            <w:r w:rsidRPr="005B0D7D">
              <w:rPr>
                <w:rFonts w:ascii="Times New Roman" w:eastAsia="Batang" w:hAnsi="Times New Roman" w:cs="Times New Roman"/>
                <w:lang w:eastAsia="ko-KR"/>
              </w:rPr>
              <w:t>кВ</w:t>
            </w:r>
            <w:proofErr w:type="spellEnd"/>
            <w:r w:rsidRPr="005B0D7D">
              <w:rPr>
                <w:rFonts w:ascii="Times New Roman" w:eastAsia="Batang" w:hAnsi="Times New Roman" w:cs="Times New Roman"/>
                <w:lang w:eastAsia="ko-KR"/>
              </w:rPr>
              <w:t xml:space="preserve"> в районах индивидуального жилищного строительства в связи с развитием коттеджной застройки с </w:t>
            </w:r>
            <w:proofErr w:type="spellStart"/>
            <w:r w:rsidRPr="005B0D7D">
              <w:rPr>
                <w:rFonts w:ascii="Times New Roman" w:eastAsia="Batang" w:hAnsi="Times New Roman" w:cs="Times New Roman"/>
                <w:lang w:eastAsia="ko-KR"/>
              </w:rPr>
              <w:t>электрообогревом</w:t>
            </w:r>
            <w:proofErr w:type="spellEnd"/>
            <w:r w:rsidRPr="005B0D7D">
              <w:rPr>
                <w:rFonts w:ascii="Times New Roman" w:eastAsia="Batang" w:hAnsi="Times New Roman" w:cs="Times New Roman"/>
                <w:lang w:eastAsia="ko-KR"/>
              </w:rPr>
              <w:t xml:space="preserve"> и </w:t>
            </w:r>
            <w:proofErr w:type="spellStart"/>
            <w:r w:rsidRPr="005B0D7D">
              <w:rPr>
                <w:rFonts w:ascii="Times New Roman" w:eastAsia="Batang" w:hAnsi="Times New Roman" w:cs="Times New Roman"/>
                <w:lang w:eastAsia="ko-KR"/>
              </w:rPr>
              <w:t>электропищеприготовлением</w:t>
            </w:r>
            <w:proofErr w:type="spellEnd"/>
            <w:r w:rsidRPr="005B0D7D">
              <w:rPr>
                <w:rFonts w:ascii="Times New Roman" w:eastAsia="Batang" w:hAnsi="Times New Roman" w:cs="Times New Roman"/>
                <w:lang w:eastAsia="ko-KR"/>
              </w:rPr>
              <w:t xml:space="preserve">.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Неудовлетворительное техническое состояние систем электроснабжения садовых некоммерческих товариществ и гаражно-строительных кооперативов, являющихся их собственностью.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высоковольтной линии 110кВ в районах высокоплотной и перспективной жилой застройки города</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lastRenderedPageBreak/>
              <w:t xml:space="preserve">Ввод новых центров питания 110\10Кв и реализация проекта перераспределения нагрузки между центрами питания позволит произвести  разгрузку центров питания по уровню 110 </w:t>
            </w:r>
            <w:proofErr w:type="spellStart"/>
            <w:r w:rsidRPr="005B0D7D">
              <w:rPr>
                <w:rFonts w:ascii="Times New Roman" w:eastAsia="Batang" w:hAnsi="Times New Roman" w:cs="Times New Roman"/>
                <w:lang w:eastAsia="ko-KR"/>
              </w:rPr>
              <w:t>кВ.</w:t>
            </w:r>
            <w:proofErr w:type="spellEnd"/>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Использование резервных мощностей электроэнергии для реализации инвестиционных проектов.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Обеспечение принципа «одного окна» при технологическом присоединении к электросетям.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Использование инновационных технологий при строительстве объектов электроснабжения для повышения их надёжности (в том числе при переводе воздушных линий в кабельные), что также позволит сократить охранные зоны сетей для высвобождения земельных участков под строительство</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Тенденция к децентрализации системы электроснабжения города из-за создания различных хозяйствующих субъектов (сетевых организаций и собственников)</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Ливневая канализация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firstLine="720"/>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Сильные стороны</w:t>
            </w:r>
          </w:p>
        </w:tc>
        <w:tc>
          <w:tcPr>
            <w:tcW w:w="4678" w:type="dxa"/>
            <w:shd w:val="clear" w:color="auto" w:fill="DDD9C3"/>
          </w:tcPr>
          <w:p w:rsidR="005B0D7D" w:rsidRPr="005B0D7D" w:rsidRDefault="005B0D7D" w:rsidP="005B0D7D">
            <w:pPr>
              <w:spacing w:after="0" w:line="240" w:lineRule="auto"/>
              <w:ind w:firstLine="720"/>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Сравнительно новые сети ливневой канализации, низкий процент износа </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сооружений очистки ливневых стоков.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Недостаточная мощность канализационных насосных станций, недостаточная пропускная способность сети.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Высокий уровень сезонного подъема реки Иртыш.</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Сложный рельеф города</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b/>
                <w:sz w:val="28"/>
                <w:szCs w:val="28"/>
                <w:lang w:eastAsia="ko-KR"/>
              </w:rPr>
              <w:t>Возможности</w:t>
            </w:r>
          </w:p>
        </w:tc>
        <w:tc>
          <w:tcPr>
            <w:tcW w:w="4678" w:type="dxa"/>
            <w:shd w:val="clear" w:color="auto" w:fill="DDD9C3"/>
          </w:tcPr>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b/>
                <w:sz w:val="28"/>
                <w:szCs w:val="28"/>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Прием ливневых стоков застроенной территории города в центральную ливневую канализацию</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Подтопление застроенных территорий города</w:t>
            </w:r>
          </w:p>
        </w:tc>
      </w:tr>
    </w:tbl>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Таким образом, на сегодняшний день инженерные сети большей частью модернизированы, находятся в исправном состоянии, как правило, имеют некоторый запас мощности. Дальнейшее развитие сетевого хозяйства видится в интеграции управления сетями различных типов. В частности предполагается создание единого информационного пространства ГИС инженерной системы муниципального образования на основе единой электронной платформы инженерных сетей, создание системы моделирования аварий на коммунальных сетях. В целях дальнейшего обеспечения устойчивого развития Ханты-Мансийска необходимо соблюдать баланс между застройкой и инженерной подготовкой территорий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89" w:name="_Toc410639503"/>
      <w:r w:rsidRPr="005B0D7D">
        <w:rPr>
          <w:rFonts w:ascii="Times New Roman" w:eastAsia="Batang" w:hAnsi="Times New Roman" w:cs="Times New Roman"/>
          <w:b/>
          <w:bCs/>
          <w:sz w:val="28"/>
          <w:szCs w:val="28"/>
          <w:lang w:eastAsia="ko-KR"/>
        </w:rPr>
        <w:lastRenderedPageBreak/>
        <w:t>5.5. Проблемы и перспективы развития транспортной, коммуникационной инфраструктуры</w:t>
      </w:r>
      <w:bookmarkEnd w:id="189"/>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состояния дорожной, транспортной и коммуникационной инфраструктуры позволяет выделить сильные и слабые стороны, а также возможности и угрозы ее развития.</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Дорожная инфраструктура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100% дорог общего пользования местного значения на протяжении ряда лет отвечают нормативным требованиям.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протяженности улиц в связи с застройкой новых микрорайонов</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Нарастание проблемы транспортных пробок.</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Недостаточное число парковок, особенно возле крупных торговых центров, находящихся в центральной части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Слабое развитие </w:t>
            </w:r>
            <w:proofErr w:type="spellStart"/>
            <w:r w:rsidRPr="005B0D7D">
              <w:rPr>
                <w:rFonts w:ascii="Times New Roman" w:eastAsia="Batang" w:hAnsi="Times New Roman" w:cs="Times New Roman"/>
                <w:lang w:eastAsia="ko-KR"/>
              </w:rPr>
              <w:t>велотранспортной</w:t>
            </w:r>
            <w:proofErr w:type="spellEnd"/>
            <w:r w:rsidRPr="005B0D7D">
              <w:rPr>
                <w:rFonts w:ascii="Times New Roman" w:eastAsia="Batang" w:hAnsi="Times New Roman" w:cs="Times New Roman"/>
                <w:lang w:eastAsia="ko-KR"/>
              </w:rPr>
              <w:t xml:space="preserve"> инфраструктуры.</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автоматизированной системы регулирования дорожного движения</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Применение более качественных материалов дорожного покрытия с использованием стабилизаторов грунтов, обеспечивающих высокое качество и долгий срок службы дорожного полотна</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несоответствия пропускной способности дорог потребностям участников дорожного движения</w:t>
            </w:r>
          </w:p>
        </w:tc>
      </w:tr>
    </w:tbl>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Транспортная инфраструктура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Периодическая оптимизация маршрутной сети города, своевременное обеспечение пассажирскими маршрутами новых микрорайонов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Отрегулированные взаимоотношения между перевозчиками.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Налаженное взаимодействие с департаментом градостроительства и архитектуры в части согласования размещения остановочных комплексов, парковок.</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Информатизация транспортного обслуживания (сервис «Он-</w:t>
            </w:r>
            <w:proofErr w:type="spellStart"/>
            <w:r w:rsidRPr="005B0D7D">
              <w:rPr>
                <w:rFonts w:ascii="Times New Roman" w:eastAsia="Batang" w:hAnsi="Times New Roman" w:cs="Times New Roman"/>
                <w:lang w:eastAsia="ko-KR"/>
              </w:rPr>
              <w:t>лайн</w:t>
            </w:r>
            <w:proofErr w:type="spellEnd"/>
            <w:r w:rsidRPr="005B0D7D">
              <w:rPr>
                <w:rFonts w:ascii="Times New Roman" w:eastAsia="Batang" w:hAnsi="Times New Roman" w:cs="Times New Roman"/>
                <w:lang w:eastAsia="ko-KR"/>
              </w:rPr>
              <w:t xml:space="preserve"> карта автобусных маршрутов»).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Улучшение качества пассажирских перевозок водным транспортом, в то числе после приобретения новых судов река-море</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Несоответствие пропускной способности улично-дорожной сети города возрастающему числу личного автотранспорта.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грузооборота.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объемов пассажирских перевозок общественным транспортом.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единиц общественного транспорта с высокой степенью износа.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Убыточность пассажирских перевозок на отдельных линиях.</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железнодорожного сообщения</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востребованности общественного транспорта при расширении города в процессе строительства.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транспортных расходов по причине компактной структуры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Расширение спроса на услуги водного транспорта, в частности за счет роста туристического потока.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Расширение объемов авиаперевозок</w:t>
            </w:r>
          </w:p>
          <w:p w:rsidR="005B0D7D" w:rsidRPr="005B0D7D" w:rsidRDefault="005B0D7D" w:rsidP="005B0D7D">
            <w:pPr>
              <w:spacing w:after="0" w:line="240" w:lineRule="auto"/>
              <w:ind w:firstLine="317"/>
              <w:jc w:val="both"/>
              <w:rPr>
                <w:rFonts w:ascii="Times New Roman" w:eastAsia="Batang" w:hAnsi="Times New Roman" w:cs="Times New Roman"/>
                <w:lang w:val="en-US" w:eastAsia="ko-KR"/>
              </w:rPr>
            </w:pP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Появление пробок, загрязнение окружающей среды в силу увеличения числа владельцев автомобилей в городе</w:t>
            </w:r>
          </w:p>
        </w:tc>
      </w:tr>
    </w:tbl>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Коммуникационная инфраструктура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Сравнительно новая разветвленная сеть телефонной канализации, низкий процент износа сетей.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сотовой связи, применение технологических инноваций в данной отрасли.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Быстрый рост числа пользователей сети Интернет.</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Трансляция в тестовом режиме первого мультиплекса сети цифрового эфирного телевещания</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Недостаточное покрытие общественных мест в городе сетями </w:t>
            </w:r>
            <w:r w:rsidRPr="005B0D7D">
              <w:rPr>
                <w:rFonts w:ascii="Times New Roman" w:eastAsia="Batang" w:hAnsi="Times New Roman" w:cs="Times New Roman"/>
                <w:lang w:val="en-US" w:eastAsia="ko-KR"/>
              </w:rPr>
              <w:t>Wi</w:t>
            </w:r>
            <w:r w:rsidRPr="005B0D7D">
              <w:rPr>
                <w:rFonts w:ascii="Times New Roman" w:eastAsia="Batang" w:hAnsi="Times New Roman" w:cs="Times New Roman"/>
                <w:lang w:eastAsia="ko-KR"/>
              </w:rPr>
              <w:t>-</w:t>
            </w:r>
            <w:r w:rsidRPr="005B0D7D">
              <w:rPr>
                <w:rFonts w:ascii="Times New Roman" w:eastAsia="Batang" w:hAnsi="Times New Roman" w:cs="Times New Roman"/>
                <w:lang w:val="en-US" w:eastAsia="ko-KR"/>
              </w:rPr>
              <w:t>Fi</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Передача телефонных сетей из </w:t>
            </w:r>
            <w:proofErr w:type="gramStart"/>
            <w:r w:rsidRPr="005B0D7D">
              <w:rPr>
                <w:rFonts w:ascii="Times New Roman" w:eastAsia="Batang" w:hAnsi="Times New Roman" w:cs="Times New Roman"/>
                <w:lang w:eastAsia="ko-KR"/>
              </w:rPr>
              <w:t>государственной</w:t>
            </w:r>
            <w:proofErr w:type="gramEnd"/>
            <w:r w:rsidRPr="005B0D7D">
              <w:rPr>
                <w:rFonts w:ascii="Times New Roman" w:eastAsia="Batang" w:hAnsi="Times New Roman" w:cs="Times New Roman"/>
                <w:lang w:eastAsia="ko-KR"/>
              </w:rPr>
              <w:t xml:space="preserve"> в муниципальную собственность.</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скорости передачи данных по сети Интернет.</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высокоскоростного мобильного Интернета (сети 4</w:t>
            </w:r>
            <w:r w:rsidRPr="005B0D7D">
              <w:rPr>
                <w:rFonts w:ascii="Times New Roman" w:eastAsia="Batang" w:hAnsi="Times New Roman" w:cs="Times New Roman"/>
                <w:lang w:val="en-US" w:eastAsia="ko-KR"/>
              </w:rPr>
              <w:t>G</w:t>
            </w:r>
            <w:r w:rsidRPr="005B0D7D">
              <w:rPr>
                <w:rFonts w:ascii="Times New Roman" w:eastAsia="Batang" w:hAnsi="Times New Roman" w:cs="Times New Roman"/>
                <w:lang w:eastAsia="ko-KR"/>
              </w:rPr>
              <w:t>).</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Развертывание цифровых наземных сетей.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Дальнейшее развитие цифрового эфирного телевещания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оптоволоконной связи между органами власти.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Внедрение информационной системы сбора информации о коммунальных ресурсах</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стоимости услуг связи</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Итак, в настоящее время дорожная, транспортная и коммуникационная инфраструктура города интенсивно развивается, что создает предпосылки для экономического роста и инновационной деятельности.</w:t>
      </w:r>
    </w:p>
    <w:p w:rsidR="005B0D7D" w:rsidRPr="005B0D7D" w:rsidRDefault="005B0D7D" w:rsidP="005B0D7D">
      <w:pPr>
        <w:keepNext/>
        <w:spacing w:before="360" w:after="120" w:line="240" w:lineRule="auto"/>
        <w:jc w:val="center"/>
        <w:outlineLvl w:val="1"/>
        <w:rPr>
          <w:rFonts w:ascii="Times New Roman" w:eastAsia="Batang" w:hAnsi="Times New Roman" w:cs="Times New Roman"/>
          <w:b/>
          <w:bCs/>
          <w:sz w:val="28"/>
          <w:szCs w:val="28"/>
          <w:lang w:eastAsia="ko-KR"/>
        </w:rPr>
      </w:pPr>
      <w:bookmarkStart w:id="190" w:name="_Toc410639504"/>
      <w:r w:rsidRPr="005B0D7D">
        <w:rPr>
          <w:rFonts w:ascii="Times New Roman" w:eastAsia="Batang" w:hAnsi="Times New Roman" w:cs="Times New Roman"/>
          <w:b/>
          <w:bCs/>
          <w:sz w:val="28"/>
          <w:szCs w:val="28"/>
          <w:lang w:eastAsia="ko-KR"/>
        </w:rPr>
        <w:t>5.6. Проблемы и перспективы развития бюджетного сектора</w:t>
      </w:r>
      <w:bookmarkEnd w:id="190"/>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состояния бюджетного сектора позволяет выделить сильные и слабые стороны, а также возможности и угрозы.</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Бюджетная система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numPr>
                <w:ilvl w:val="0"/>
                <w:numId w:val="5"/>
              </w:numPr>
              <w:tabs>
                <w:tab w:val="num" w:pos="252"/>
              </w:tabs>
              <w:spacing w:after="0" w:line="240" w:lineRule="auto"/>
              <w:ind w:left="252" w:hanging="252"/>
              <w:jc w:val="both"/>
              <w:rPr>
                <w:rFonts w:ascii="Times New Roman" w:eastAsia="Batang" w:hAnsi="Times New Roman" w:cs="Times New Roman"/>
                <w:lang w:eastAsia="ko-KR"/>
              </w:rPr>
            </w:pPr>
            <w:r w:rsidRPr="005B0D7D">
              <w:rPr>
                <w:rFonts w:ascii="Times New Roman" w:eastAsia="Batang" w:hAnsi="Times New Roman" w:cs="Times New Roman"/>
                <w:lang w:eastAsia="ko-KR"/>
              </w:rPr>
              <w:t>Стабильная бюджетная система на протяжении нескольких последних лет, позволяющая производить расходы на развитие города, а не только на текущие расходы.</w:t>
            </w:r>
          </w:p>
          <w:p w:rsidR="005B0D7D" w:rsidRPr="005B0D7D" w:rsidRDefault="005B0D7D" w:rsidP="005B0D7D">
            <w:pPr>
              <w:numPr>
                <w:ilvl w:val="0"/>
                <w:numId w:val="5"/>
              </w:numPr>
              <w:tabs>
                <w:tab w:val="num" w:pos="252"/>
              </w:tabs>
              <w:spacing w:after="0" w:line="240" w:lineRule="auto"/>
              <w:ind w:left="252" w:hanging="252"/>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Проведение эффективной работы с предприятиями, имеющими задолженность по уплате налогов в местный бюджет.</w:t>
            </w:r>
          </w:p>
          <w:p w:rsidR="005B0D7D" w:rsidRPr="005B0D7D" w:rsidRDefault="005B0D7D" w:rsidP="005B0D7D">
            <w:pPr>
              <w:numPr>
                <w:ilvl w:val="0"/>
                <w:numId w:val="5"/>
              </w:numPr>
              <w:tabs>
                <w:tab w:val="num" w:pos="252"/>
              </w:tabs>
              <w:spacing w:after="0" w:line="240" w:lineRule="auto"/>
              <w:ind w:left="252" w:hanging="252"/>
              <w:jc w:val="both"/>
              <w:rPr>
                <w:rFonts w:ascii="Times New Roman" w:eastAsia="Batang" w:hAnsi="Times New Roman" w:cs="Times New Roman"/>
                <w:lang w:eastAsia="ko-KR"/>
              </w:rPr>
            </w:pPr>
            <w:r w:rsidRPr="005B0D7D">
              <w:rPr>
                <w:rFonts w:ascii="Times New Roman" w:eastAsia="Batang" w:hAnsi="Times New Roman" w:cs="Times New Roman"/>
                <w:lang w:eastAsia="ko-KR"/>
              </w:rPr>
              <w:t>Эффективное управление муниципальной собственностью, отсутствие организаций, находящихся в состоянии банкротства.</w:t>
            </w:r>
          </w:p>
          <w:p w:rsidR="005B0D7D" w:rsidRPr="005B0D7D" w:rsidRDefault="005B0D7D" w:rsidP="005B0D7D">
            <w:pPr>
              <w:numPr>
                <w:ilvl w:val="0"/>
                <w:numId w:val="5"/>
              </w:numPr>
              <w:tabs>
                <w:tab w:val="num" w:pos="252"/>
              </w:tabs>
              <w:spacing w:after="0" w:line="240" w:lineRule="auto"/>
              <w:ind w:left="252" w:hanging="252"/>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поступлений от налога на доходы физических лиц</w:t>
            </w:r>
          </w:p>
          <w:p w:rsidR="005B0D7D" w:rsidRPr="005B0D7D" w:rsidRDefault="005B0D7D" w:rsidP="005B0D7D">
            <w:pPr>
              <w:spacing w:after="0" w:line="240" w:lineRule="auto"/>
              <w:ind w:left="252"/>
              <w:jc w:val="both"/>
              <w:rPr>
                <w:rFonts w:ascii="Times New Roman" w:eastAsia="Batang" w:hAnsi="Times New Roman" w:cs="Times New Roman"/>
                <w:lang w:eastAsia="ko-KR"/>
              </w:rPr>
            </w:pPr>
          </w:p>
          <w:p w:rsidR="005B0D7D" w:rsidRPr="005B0D7D" w:rsidRDefault="005B0D7D" w:rsidP="005B0D7D">
            <w:pPr>
              <w:spacing w:after="0" w:line="240" w:lineRule="auto"/>
              <w:ind w:left="252"/>
              <w:jc w:val="both"/>
              <w:rPr>
                <w:rFonts w:ascii="Times New Roman" w:eastAsia="Batang" w:hAnsi="Times New Roman" w:cs="Times New Roman"/>
                <w:lang w:eastAsia="ko-KR"/>
              </w:rPr>
            </w:pPr>
          </w:p>
        </w:tc>
        <w:tc>
          <w:tcPr>
            <w:tcW w:w="4678" w:type="dxa"/>
            <w:shd w:val="clear" w:color="auto" w:fill="EEECE1"/>
          </w:tcPr>
          <w:p w:rsidR="005B0D7D" w:rsidRPr="005B0D7D" w:rsidRDefault="005B0D7D" w:rsidP="005B0D7D">
            <w:pPr>
              <w:numPr>
                <w:ilvl w:val="0"/>
                <w:numId w:val="6"/>
              </w:numPr>
              <w:tabs>
                <w:tab w:val="num" w:pos="252"/>
              </w:tabs>
              <w:spacing w:after="0" w:line="240" w:lineRule="auto"/>
              <w:ind w:left="252" w:hanging="252"/>
              <w:jc w:val="both"/>
              <w:rPr>
                <w:rFonts w:ascii="Times New Roman" w:eastAsia="Batang" w:hAnsi="Times New Roman" w:cs="Times New Roman"/>
                <w:lang w:eastAsia="ko-KR"/>
              </w:rPr>
            </w:pPr>
            <w:r w:rsidRPr="005B0D7D">
              <w:rPr>
                <w:rFonts w:ascii="Times New Roman" w:eastAsia="Batang" w:hAnsi="Times New Roman" w:cs="Times New Roman"/>
                <w:lang w:eastAsia="ko-KR"/>
              </w:rPr>
              <w:t>Уменьшение норматива отчислений в местный бюджет от налога на доходы физических лиц.</w:t>
            </w:r>
          </w:p>
          <w:p w:rsidR="005B0D7D" w:rsidRPr="005B0D7D" w:rsidRDefault="005B0D7D" w:rsidP="005B0D7D">
            <w:pPr>
              <w:numPr>
                <w:ilvl w:val="0"/>
                <w:numId w:val="6"/>
              </w:numPr>
              <w:tabs>
                <w:tab w:val="num" w:pos="252"/>
              </w:tabs>
              <w:spacing w:after="0" w:line="240" w:lineRule="auto"/>
              <w:ind w:left="252" w:hanging="252"/>
              <w:jc w:val="both"/>
              <w:rPr>
                <w:rFonts w:ascii="Times New Roman" w:eastAsia="Batang" w:hAnsi="Times New Roman" w:cs="Times New Roman"/>
                <w:lang w:eastAsia="ko-KR"/>
              </w:rPr>
            </w:pPr>
            <w:r w:rsidRPr="005B0D7D">
              <w:rPr>
                <w:rFonts w:ascii="Times New Roman" w:eastAsia="Batang" w:hAnsi="Times New Roman" w:cs="Times New Roman"/>
                <w:lang w:eastAsia="ko-KR"/>
              </w:rPr>
              <w:t>Потеря поступлений от транспортного налога, переведенного на окружной уровень.</w:t>
            </w:r>
          </w:p>
          <w:p w:rsidR="005B0D7D" w:rsidRPr="005B0D7D" w:rsidRDefault="005B0D7D" w:rsidP="005B0D7D">
            <w:pPr>
              <w:numPr>
                <w:ilvl w:val="0"/>
                <w:numId w:val="6"/>
              </w:numPr>
              <w:tabs>
                <w:tab w:val="num" w:pos="252"/>
              </w:tabs>
              <w:spacing w:after="0" w:line="240" w:lineRule="auto"/>
              <w:ind w:left="252" w:hanging="252"/>
              <w:jc w:val="both"/>
              <w:rPr>
                <w:rFonts w:ascii="Times New Roman" w:eastAsia="Batang" w:hAnsi="Times New Roman" w:cs="Times New Roman"/>
                <w:lang w:eastAsia="ko-KR"/>
              </w:rPr>
            </w:pPr>
            <w:r w:rsidRPr="005B0D7D">
              <w:rPr>
                <w:rFonts w:ascii="Times New Roman" w:eastAsia="Batang" w:hAnsi="Times New Roman" w:cs="Times New Roman"/>
                <w:lang w:eastAsia="ko-KR"/>
              </w:rPr>
              <w:t>Периодическое возникновение задолженности по налоговым платежам.</w:t>
            </w:r>
          </w:p>
          <w:p w:rsidR="005B0D7D" w:rsidRPr="005B0D7D" w:rsidRDefault="005B0D7D" w:rsidP="005B0D7D">
            <w:pPr>
              <w:numPr>
                <w:ilvl w:val="0"/>
                <w:numId w:val="6"/>
              </w:numPr>
              <w:tabs>
                <w:tab w:val="num" w:pos="252"/>
              </w:tabs>
              <w:spacing w:after="0" w:line="240" w:lineRule="auto"/>
              <w:ind w:left="252" w:hanging="252"/>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поступлений налога на имущество</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lastRenderedPageBreak/>
              <w:t>Финансирование социальных программ и управленческих инноваций, внедряемых администрацией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Привлечение дополнительного финансирования за счет участия города в Государственных программах Ханты-Мансийского автономного округа – Югры.</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Деятельность комиссии по мобилизации дополнительных доходов в бюджет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Популяризация бюджетной политики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Сокращение объема субсидий и субвенций из окружного бюджета.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Дальнейшее снижение нормативов отчислений по налогу на доходы физических лиц.</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Ухудшение финансовой ситуации в России и Ханты-Мансийском автономном округе – Югре</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Итак, бюджетная система Ханты-Мансийска вплоть до недавнего времени отличалась устойчивостью и обеспечивала ускоренные темпы социально-экономического развития города. Начиная с 2013 года, отчётливо наблюдается тенденция увеличения объема безвозмездных поступлений в структуре доходной части бюджета и, соответственно, снижения доли собственных доходов, что может стать фактором, сдерживающим активную муниципальную политику.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91" w:name="_Toc410639505"/>
      <w:r w:rsidRPr="005B0D7D">
        <w:rPr>
          <w:rFonts w:ascii="Times New Roman" w:eastAsia="Batang" w:hAnsi="Times New Roman" w:cs="Times New Roman"/>
          <w:b/>
          <w:bCs/>
          <w:sz w:val="28"/>
          <w:szCs w:val="28"/>
          <w:lang w:eastAsia="ko-KR"/>
        </w:rPr>
        <w:t>5.7. Проблемы и перспективы развития агропромышленного комплекса</w:t>
      </w:r>
      <w:bookmarkEnd w:id="191"/>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состояния агропромышленного комплекса позволяет выделить сильные и слабые стороны, а также возможности и угрозы.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крестьянских (фермерских) хозяйств, производящих продукцию животноводства; тенденция наращивания производства.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Проведение ярмарок в целях продвижения на рынки продукции местных производителей</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Высокая себестоимость продукции вследствие высоких издержек на создание добавленной стоимости.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Сложности приобретения кормов и семян.</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Недостаточное развитие растениеводства, отсутствие тепличных хозяйств, способных удовлетворять потребности города.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Недостаточный уровень доходов сельскохозяйственных товаропроизводителей для осуществления модернизации.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кооперации между сельхозпроизводителями</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Поддержка крестьянских (фермерских) хозяйств со стороны автономного округа и муниципалитета.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Создание агрокомплекса </w:t>
            </w:r>
            <w:proofErr w:type="gramStart"/>
            <w:r w:rsidRPr="005B0D7D">
              <w:rPr>
                <w:rFonts w:ascii="Times New Roman" w:eastAsia="Batang" w:hAnsi="Times New Roman" w:cs="Times New Roman"/>
                <w:lang w:eastAsia="ko-KR"/>
              </w:rPr>
              <w:t>в</w:t>
            </w:r>
            <w:proofErr w:type="gramEnd"/>
            <w:r w:rsidRPr="005B0D7D">
              <w:rPr>
                <w:rFonts w:ascii="Times New Roman" w:eastAsia="Batang" w:hAnsi="Times New Roman" w:cs="Times New Roman"/>
                <w:lang w:eastAsia="ko-KR"/>
              </w:rPr>
              <w:t xml:space="preserve"> </w:t>
            </w:r>
            <w:proofErr w:type="gramStart"/>
            <w:r w:rsidRPr="005B0D7D">
              <w:rPr>
                <w:rFonts w:ascii="Times New Roman" w:eastAsia="Batang" w:hAnsi="Times New Roman" w:cs="Times New Roman"/>
                <w:lang w:eastAsia="ko-KR"/>
              </w:rPr>
              <w:t>Ханты-Мансийском</w:t>
            </w:r>
            <w:proofErr w:type="gramEnd"/>
            <w:r w:rsidRPr="005B0D7D">
              <w:rPr>
                <w:rFonts w:ascii="Times New Roman" w:eastAsia="Batang" w:hAnsi="Times New Roman" w:cs="Times New Roman"/>
                <w:lang w:eastAsia="ko-KR"/>
              </w:rPr>
              <w:t xml:space="preserve"> районе.</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системы заготовки и переработки дикоросов.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и модернизация рыбной отрасли.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Продвижение бренда местной продукции в автономном округе и за его пределами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Недостаточный потенциал населения в развитии сельского хозяйства.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Конкуренция со стороны хозяйств и фермеров из других муниципальных образований. </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Большая вероятность банкротства крестьянских (фермерских) хозяйств</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Итак, развитие агропромышленного комплекса города необходимо в целях обеспечения продовольственной безопасности. Дальнейшее развитие агропромышленного комплекса будет определяться активизацией потенциала населения в деле создания крестьянских (фермерских) хозяйств, стимулирования организации заготовительной базы и перерабатывающих производств, </w:t>
      </w:r>
      <w:r w:rsidRPr="005B0D7D">
        <w:rPr>
          <w:rFonts w:ascii="Times New Roman" w:eastAsia="Batang" w:hAnsi="Times New Roman" w:cs="Times New Roman"/>
          <w:sz w:val="28"/>
          <w:szCs w:val="28"/>
          <w:lang w:eastAsia="ko-KR"/>
        </w:rPr>
        <w:lastRenderedPageBreak/>
        <w:t>муниципальной поддержки субъектов малого и среднего предпринимательства в сфере сельского хозяйства.</w:t>
      </w: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92" w:name="_Toc410639506"/>
      <w:r w:rsidRPr="005B0D7D">
        <w:rPr>
          <w:rFonts w:ascii="Times New Roman" w:eastAsia="Batang" w:hAnsi="Times New Roman" w:cs="Times New Roman"/>
          <w:b/>
          <w:bCs/>
          <w:sz w:val="28"/>
          <w:szCs w:val="28"/>
          <w:lang w:eastAsia="ko-KR"/>
        </w:rPr>
        <w:t>5.8. Проблемы и перспективы развития малого и среднего предпринимательства</w:t>
      </w:r>
      <w:bookmarkEnd w:id="192"/>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состояния малого и среднего предпринимательства позволяет выделить сильные и слабые стороны, а также возможности и угрозы.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числа субъектов малого и среднего предпринимательства.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Субъекты малого и среднего предпринимательства являются инициаторами перспективных инновационных проектов.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Развитая инфраструктура поддержки предпринимательства, достаточные бюджетные возможности.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Поощрение социально-значимого предпринимательства.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Дифференцированная поддержка предпринимателей в зависимости от социальной значимости их деятельности и вклада в инновационное развитие экономики</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Торгово-посредническая деятельность более привлекательна, чем производственная.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Недостаток обучающих программ для представителей малого и среднего бизнеса</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Дальнейшее участие субъектов малого и среднего предпринимательства в окружных и муниципальных программах поддержки.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Встраивание малых предприятий в формирующиеся кластеры, поддерживаемые Центром кластерного развития Технопарка высоких технологий Югры.</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proofErr w:type="gramStart"/>
            <w:r w:rsidRPr="005B0D7D">
              <w:rPr>
                <w:rFonts w:ascii="Times New Roman" w:eastAsia="Batang" w:hAnsi="Times New Roman" w:cs="Times New Roman"/>
                <w:lang w:eastAsia="ko-KR"/>
              </w:rPr>
              <w:t xml:space="preserve">Возможность предоставления двухлетних налоговых каникул для начинающих предпринимателей – применения налоговой ставки в размере 0% в производственных, социальной и научной сферах в период 2015-2020 годов </w:t>
            </w:r>
            <w:proofErr w:type="gramEnd"/>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прибыльности малого бизнеса по причине роста налогов, монополизации экономики, сложности организации собственного дела.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Потеря интереса молодежи к занятию бизнесом.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налогового бремени вследствие изменения федерального законодательства</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Итак, малое и среднее предпринимательство города в целом успешно развивается благодаря созданию благоприятных условий для осуществления их деятельности, реализации технологий финансовой, имущественной, административной и информационно-консультационной поддержки бизнеса, а также относительно высокому уровню жизни населения, формирующему платежеспособный спрос. Сдерживающим фактором может служить нарастание неблагоприятных явлений в российской экономике, уменьшение его поддержки на федеральном уровне.</w:t>
      </w:r>
    </w:p>
    <w:p w:rsidR="005B0D7D" w:rsidRPr="005B0D7D" w:rsidRDefault="005B0D7D" w:rsidP="005B0D7D">
      <w:pPr>
        <w:spacing w:after="0" w:line="240" w:lineRule="auto"/>
        <w:rPr>
          <w:rFonts w:ascii="Times New Roman" w:eastAsia="Batang" w:hAnsi="Times New Roman" w:cs="Times New Roman"/>
          <w:b/>
          <w:bCs/>
          <w:sz w:val="28"/>
          <w:szCs w:val="28"/>
          <w:lang w:eastAsia="ko-KR"/>
        </w:rPr>
      </w:pP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93" w:name="_Toc410639507"/>
      <w:r w:rsidRPr="005B0D7D">
        <w:rPr>
          <w:rFonts w:ascii="Times New Roman" w:eastAsia="Batang" w:hAnsi="Times New Roman" w:cs="Times New Roman"/>
          <w:b/>
          <w:bCs/>
          <w:sz w:val="28"/>
          <w:szCs w:val="28"/>
          <w:lang w:eastAsia="ko-KR"/>
        </w:rPr>
        <w:t>5.9. Проблемы и перспективы развития туризма</w:t>
      </w:r>
      <w:bookmarkEnd w:id="193"/>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состояния сферы внутреннего и въездного туризма позволяет выделить сильные и слабые стороны развития отрасли, а также возможности и угрозы.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lastRenderedPageBreak/>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Большое число гостиниц, в том числе повышенной комфортности.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турфирм, ориентированных на внутренний и въездной туризм.</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Информатизация туристской деятельности (разработка сайта с интерактивным приложением «</w:t>
            </w:r>
            <w:proofErr w:type="gramStart"/>
            <w:r w:rsidRPr="005B0D7D">
              <w:rPr>
                <w:rFonts w:ascii="Times New Roman" w:eastAsia="Batang" w:hAnsi="Times New Roman" w:cs="Times New Roman"/>
                <w:lang w:eastAsia="ko-KR"/>
              </w:rPr>
              <w:t>Презентационное</w:t>
            </w:r>
            <w:proofErr w:type="gramEnd"/>
            <w:r w:rsidRPr="005B0D7D">
              <w:rPr>
                <w:rFonts w:ascii="Times New Roman" w:eastAsia="Batang" w:hAnsi="Times New Roman" w:cs="Times New Roman"/>
                <w:lang w:eastAsia="ko-KR"/>
              </w:rPr>
              <w:t xml:space="preserve"> портфолио города Ханты-Мансийска», разработка виртуальных туристских маршрутов в 3D формате).</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Развитие туризма для лиц с ограниченными возможностями.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Проведение крупных научных, спортивных и культурных мероприятий.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Реализация туристических программ для жителей всей территории округа.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Разнообразие развиваемых видов туризма</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Неравномерный по сезонам и по годам туристический поток.</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Недостаток информации о туристском потенциале Ханты-Мансийска за пределами Ханты-Мансийска автономного округа – Югры.</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Недостаток инвестиций, направленных на поддержание и развитие сферы туризма.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единого актуального бренда города, необходимого для интеграции в российское и международное туристское пространство</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достаточной инфраструктуры туризма для расширения туристического потока.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Расширение числа авиарейсов и направлений перелетов.</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Новаторская составляющая в организации туристской деятельности.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Наличие обособленного органа Администрации города, занимающегося развитием туризма</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международного туризма из-за ухудшения внешнеполитической обстановки.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уровня въездного туризма по причине ухудшения экономической ситуации и снижения платежеспособности</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Итак, в последнее время туристский потенциал Ханты-Мансийска начинает успешно реализовываться и давать городу ощутимый социальный и экономический эффект. Дальнейшее развитие отрасли будет зависеть от макроэкономических условий, и в немалой степени – от координации действий муниципалитета, бизнеса и общественности.</w:t>
      </w:r>
    </w:p>
    <w:p w:rsidR="005B0D7D" w:rsidRPr="005B0D7D" w:rsidRDefault="005B0D7D" w:rsidP="005B0D7D">
      <w:pPr>
        <w:spacing w:after="0" w:line="240" w:lineRule="auto"/>
        <w:rPr>
          <w:rFonts w:ascii="Times New Roman" w:eastAsia="Batang" w:hAnsi="Times New Roman" w:cs="Times New Roman"/>
          <w:b/>
          <w:bCs/>
          <w:sz w:val="28"/>
          <w:szCs w:val="28"/>
          <w:lang w:eastAsia="ko-KR"/>
        </w:rPr>
      </w:pPr>
    </w:p>
    <w:p w:rsidR="005B0D7D" w:rsidRPr="005B0D7D" w:rsidRDefault="005B0D7D" w:rsidP="005B0D7D">
      <w:pPr>
        <w:spacing w:after="0" w:line="240" w:lineRule="auto"/>
        <w:rPr>
          <w:rFonts w:ascii="Times New Roman" w:eastAsia="Batang" w:hAnsi="Times New Roman" w:cs="Times New Roman"/>
          <w:b/>
          <w:bCs/>
          <w:sz w:val="28"/>
          <w:szCs w:val="28"/>
          <w:lang w:eastAsia="ko-KR"/>
        </w:rPr>
      </w:pPr>
      <w:r w:rsidRPr="005B0D7D">
        <w:rPr>
          <w:rFonts w:ascii="Times New Roman" w:eastAsia="Batang" w:hAnsi="Times New Roman" w:cs="Times New Roman"/>
          <w:i/>
          <w:iCs/>
          <w:sz w:val="24"/>
          <w:szCs w:val="24"/>
          <w:lang w:eastAsia="ko-KR"/>
        </w:rPr>
        <w:br w:type="page"/>
      </w:r>
    </w:p>
    <w:p w:rsidR="005B0D7D" w:rsidRPr="005B0D7D" w:rsidRDefault="005B0D7D" w:rsidP="005B0D7D">
      <w:pPr>
        <w:keepNext/>
        <w:spacing w:before="240" w:after="120" w:line="240" w:lineRule="auto"/>
        <w:jc w:val="center"/>
        <w:outlineLvl w:val="1"/>
        <w:rPr>
          <w:rFonts w:ascii="Times New Roman" w:eastAsia="Batang" w:hAnsi="Times New Roman" w:cs="Times New Roman"/>
          <w:b/>
          <w:bCs/>
          <w:sz w:val="28"/>
          <w:szCs w:val="28"/>
          <w:lang w:eastAsia="ko-KR"/>
        </w:rPr>
      </w:pPr>
      <w:bookmarkStart w:id="194" w:name="_Toc410639508"/>
      <w:r w:rsidRPr="005B0D7D">
        <w:rPr>
          <w:rFonts w:ascii="Times New Roman" w:eastAsia="Batang" w:hAnsi="Times New Roman" w:cs="Times New Roman"/>
          <w:b/>
          <w:bCs/>
          <w:sz w:val="28"/>
          <w:szCs w:val="28"/>
          <w:lang w:eastAsia="ko-KR"/>
        </w:rPr>
        <w:lastRenderedPageBreak/>
        <w:t>5.9. Проблемы и перспективы обеспечения безопасности жизнедеятельности</w:t>
      </w:r>
      <w:bookmarkEnd w:id="194"/>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состояния сферы общественной безопасности позволяет выделить сильные и слабые стороны развития отрасли, а также возможности и угрозы.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Сильные стороны</w:t>
            </w:r>
          </w:p>
        </w:tc>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b/>
                <w:lang w:eastAsia="ko-KR"/>
              </w:rPr>
            </w:pPr>
            <w:r w:rsidRPr="005B0D7D">
              <w:rPr>
                <w:rFonts w:ascii="Times New Roman" w:eastAsia="Batang" w:hAnsi="Times New Roman" w:cs="Times New Roman"/>
                <w:b/>
                <w:lang w:eastAsia="ko-KR"/>
              </w:rPr>
              <w:t>Слабые стороны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Уровень преступности – один из самых низких в округе.</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преступлений на почве национального и религиозного экстремизма, а также террористического характера.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раскрываемости преступлений.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числа краж, уличных преступлений.</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Снижение количества преступлений экономической и коррупционной направленности.</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Установка камер видеонаблюдения в целях обеспечения общественного порядка</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p>
          <w:p w:rsidR="005B0D7D" w:rsidRPr="005B0D7D" w:rsidRDefault="005B0D7D" w:rsidP="005B0D7D">
            <w:pPr>
              <w:spacing w:after="0" w:line="240" w:lineRule="auto"/>
              <w:ind w:firstLine="317"/>
              <w:jc w:val="both"/>
              <w:rPr>
                <w:rFonts w:ascii="Times New Roman" w:eastAsia="Batang" w:hAnsi="Times New Roman" w:cs="Times New Roman"/>
                <w:lang w:eastAsia="ko-KR"/>
              </w:rPr>
            </w:pPr>
          </w:p>
          <w:p w:rsidR="005B0D7D" w:rsidRPr="005B0D7D" w:rsidRDefault="005B0D7D" w:rsidP="005B0D7D">
            <w:pPr>
              <w:spacing w:after="0" w:line="240" w:lineRule="auto"/>
              <w:ind w:firstLine="317"/>
              <w:jc w:val="both"/>
              <w:rPr>
                <w:rFonts w:ascii="Times New Roman" w:eastAsia="Batang" w:hAnsi="Times New Roman" w:cs="Times New Roman"/>
                <w:lang w:eastAsia="ko-KR"/>
              </w:rPr>
            </w:pP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Увеличение числа преступлений, совершенных в состоянии алкогольного опьянения.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Отсутствие положительной динамики по числу дорожно-транспортных происшествий</w:t>
            </w:r>
          </w:p>
        </w:tc>
      </w:tr>
      <w:tr w:rsidR="005B0D7D" w:rsidRPr="005B0D7D" w:rsidTr="005B0D7D">
        <w:trPr>
          <w:cantSplit/>
        </w:trPr>
        <w:tc>
          <w:tcPr>
            <w:tcW w:w="4678" w:type="dxa"/>
            <w:shd w:val="clear" w:color="auto" w:fill="DDD9C3"/>
          </w:tcPr>
          <w:p w:rsidR="005B0D7D" w:rsidRPr="005B0D7D" w:rsidRDefault="005B0D7D" w:rsidP="005B0D7D">
            <w:pPr>
              <w:spacing w:after="0" w:line="240" w:lineRule="auto"/>
              <w:ind w:left="252"/>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Возможности</w:t>
            </w:r>
          </w:p>
        </w:tc>
        <w:tc>
          <w:tcPr>
            <w:tcW w:w="4678" w:type="dxa"/>
            <w:shd w:val="clear" w:color="auto" w:fill="DDD9C3"/>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b/>
                <w:lang w:eastAsia="ko-KR"/>
              </w:rPr>
              <w:t>Угрозы</w:t>
            </w:r>
          </w:p>
        </w:tc>
      </w:tr>
      <w:tr w:rsidR="005B0D7D" w:rsidRPr="005B0D7D" w:rsidTr="005B0D7D">
        <w:trPr>
          <w:cantSplit/>
        </w:trPr>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Повышение раскрываемости преступлений в общественных местах за счет использования современных систем видеонаблюдения.</w:t>
            </w:r>
          </w:p>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Недопущение проявлений экстремизма путем укрепления межнациональных отношений на принципах социальной солидарности, выстраивания диалога власти с представителями диаспор, развития системы патриотического воспитания молодежи, создания толерантной среды</w:t>
            </w:r>
          </w:p>
        </w:tc>
        <w:tc>
          <w:tcPr>
            <w:tcW w:w="4678" w:type="dxa"/>
            <w:shd w:val="clear" w:color="auto" w:fill="EEECE1"/>
          </w:tcPr>
          <w:p w:rsidR="005B0D7D" w:rsidRPr="005B0D7D" w:rsidRDefault="005B0D7D" w:rsidP="005B0D7D">
            <w:pPr>
              <w:spacing w:after="0" w:line="240" w:lineRule="auto"/>
              <w:ind w:firstLine="317"/>
              <w:jc w:val="both"/>
              <w:rPr>
                <w:rFonts w:ascii="Times New Roman" w:eastAsia="Batang" w:hAnsi="Times New Roman" w:cs="Times New Roman"/>
                <w:lang w:eastAsia="ko-KR"/>
              </w:rPr>
            </w:pPr>
            <w:r w:rsidRPr="005B0D7D">
              <w:rPr>
                <w:rFonts w:ascii="Times New Roman" w:eastAsia="Batang" w:hAnsi="Times New Roman" w:cs="Times New Roman"/>
                <w:lang w:eastAsia="ko-KR"/>
              </w:rPr>
              <w:t>Рост преступности вследствие снижения уровня жизни населения, увеличения числа безработных в период ухудшения экономической ситуации</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Дальнейшее укрепление общественной безопасности будет зависеть от развития системы профилактики правонарушений, эффективность которой определяется, во-первых, степенью единства воспитательного пространства в рамках деятельности учреждений образования, культуры и молодежной политики, во-вторых, уровнем информатизации данной сферы жизнедеятельности, и в-третьих, сплоченностью местного сообщества вокруг идей добрососедства, </w:t>
      </w:r>
      <w:proofErr w:type="spellStart"/>
      <w:r w:rsidRPr="005B0D7D">
        <w:rPr>
          <w:rFonts w:ascii="Times New Roman" w:eastAsia="Batang" w:hAnsi="Times New Roman" w:cs="Times New Roman"/>
          <w:sz w:val="28"/>
          <w:szCs w:val="28"/>
          <w:lang w:eastAsia="ko-KR"/>
        </w:rPr>
        <w:t>волонтерства</w:t>
      </w:r>
      <w:proofErr w:type="spellEnd"/>
      <w:r w:rsidRPr="005B0D7D">
        <w:rPr>
          <w:rFonts w:ascii="Times New Roman" w:eastAsia="Batang" w:hAnsi="Times New Roman" w:cs="Times New Roman"/>
          <w:sz w:val="28"/>
          <w:szCs w:val="28"/>
          <w:lang w:eastAsia="ko-KR"/>
        </w:rPr>
        <w:t xml:space="preserve"> и социальной ответственности.</w:t>
      </w:r>
    </w:p>
    <w:p w:rsidR="005B0D7D" w:rsidRPr="005B0D7D" w:rsidRDefault="005B0D7D" w:rsidP="005B0D7D">
      <w:pPr>
        <w:keepNext/>
        <w:spacing w:before="240" w:after="60" w:line="240" w:lineRule="auto"/>
        <w:jc w:val="center"/>
        <w:outlineLvl w:val="0"/>
        <w:rPr>
          <w:rFonts w:ascii="Times New Roman" w:eastAsia="Batang" w:hAnsi="Times New Roman" w:cs="Times New Roman"/>
          <w:b/>
          <w:bCs/>
          <w:kern w:val="32"/>
          <w:sz w:val="28"/>
          <w:szCs w:val="32"/>
          <w:lang w:eastAsia="ko-KR"/>
        </w:rPr>
      </w:pPr>
      <w:bookmarkStart w:id="195" w:name="_Toc403941996"/>
      <w:bookmarkStart w:id="196" w:name="_Toc404211549"/>
      <w:bookmarkStart w:id="197" w:name="_Toc404218183"/>
      <w:bookmarkStart w:id="198" w:name="_Toc410639509"/>
      <w:r w:rsidRPr="005B0D7D">
        <w:rPr>
          <w:rFonts w:ascii="Times New Roman" w:eastAsia="Batang" w:hAnsi="Times New Roman" w:cs="Times New Roman"/>
          <w:b/>
          <w:bCs/>
          <w:kern w:val="32"/>
          <w:sz w:val="28"/>
          <w:szCs w:val="32"/>
          <w:lang w:eastAsia="ko-KR"/>
        </w:rPr>
        <w:br w:type="page"/>
      </w:r>
      <w:r w:rsidRPr="005B0D7D">
        <w:rPr>
          <w:rFonts w:ascii="Times New Roman" w:eastAsia="Batang" w:hAnsi="Times New Roman" w:cs="Times New Roman"/>
          <w:b/>
          <w:bCs/>
          <w:kern w:val="32"/>
          <w:sz w:val="28"/>
          <w:szCs w:val="32"/>
          <w:lang w:eastAsia="ko-KR"/>
        </w:rPr>
        <w:lastRenderedPageBreak/>
        <w:t xml:space="preserve">6. СЦЕНАРИИ РАЗВИТИЯ ГОРОДА </w:t>
      </w:r>
      <w:bookmarkEnd w:id="195"/>
      <w:r w:rsidRPr="005B0D7D">
        <w:rPr>
          <w:rFonts w:ascii="Times New Roman" w:eastAsia="Batang" w:hAnsi="Times New Roman" w:cs="Times New Roman"/>
          <w:b/>
          <w:bCs/>
          <w:kern w:val="32"/>
          <w:sz w:val="28"/>
          <w:szCs w:val="32"/>
          <w:lang w:eastAsia="ko-KR"/>
        </w:rPr>
        <w:t>ХАНТЫ-МАНСИЙСКА</w:t>
      </w:r>
      <w:bookmarkEnd w:id="196"/>
      <w:bookmarkEnd w:id="197"/>
      <w:r w:rsidRPr="005B0D7D">
        <w:rPr>
          <w:rFonts w:ascii="Times New Roman" w:eastAsia="Batang" w:hAnsi="Times New Roman" w:cs="Times New Roman"/>
          <w:b/>
          <w:bCs/>
          <w:kern w:val="32"/>
          <w:sz w:val="28"/>
          <w:szCs w:val="32"/>
          <w:lang w:eastAsia="ko-KR"/>
        </w:rPr>
        <w:t>, ВЫБОР ЦЕЛЕВОГО СЦЕНАРИЯ</w:t>
      </w:r>
      <w:bookmarkEnd w:id="198"/>
    </w:p>
    <w:p w:rsidR="005B0D7D" w:rsidRPr="005B0D7D" w:rsidRDefault="005B0D7D" w:rsidP="005B0D7D">
      <w:pPr>
        <w:spacing w:after="0" w:line="240" w:lineRule="auto"/>
        <w:rPr>
          <w:rFonts w:ascii="Times New Roman" w:eastAsia="Batang" w:hAnsi="Times New Roman" w:cs="Times New Roman"/>
          <w:sz w:val="24"/>
          <w:szCs w:val="24"/>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прогнозном периоде социально-экономическое развитие города Ханты-Мансийска будет определяться следующими основными тенденциями: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сохранением взаимозависимости основных макроэкономических показателей;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сохранением дефицита квалифицированных рабочих и инженерных кадров;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реформированием жилищно-коммунального хозяйства, нацеленным на повышение энергоэффективности;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активным жилищным строительством;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 диверсификация отраслей экономики.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 учетом выявленных тенденций основные варианты долгосрочного социально-экономического развития города определяются реализацией следующих ключевых факторов:</w:t>
      </w:r>
    </w:p>
    <w:p w:rsidR="005B0D7D" w:rsidRPr="005B0D7D" w:rsidRDefault="005B0D7D" w:rsidP="005B0D7D">
      <w:pPr>
        <w:numPr>
          <w:ilvl w:val="0"/>
          <w:numId w:val="36"/>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социально-экономическим развитием Ханты-Мансийского автономного округа-Югры и Российской Федерации;</w:t>
      </w:r>
    </w:p>
    <w:p w:rsidR="005B0D7D" w:rsidRPr="005B0D7D" w:rsidRDefault="005B0D7D" w:rsidP="005B0D7D">
      <w:pPr>
        <w:numPr>
          <w:ilvl w:val="0"/>
          <w:numId w:val="36"/>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демографическим развитием;</w:t>
      </w:r>
    </w:p>
    <w:p w:rsidR="005B0D7D" w:rsidRPr="005B0D7D" w:rsidRDefault="005B0D7D" w:rsidP="005B0D7D">
      <w:pPr>
        <w:numPr>
          <w:ilvl w:val="0"/>
          <w:numId w:val="36"/>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интенсивностью повышения качества человеческого капитала;</w:t>
      </w:r>
    </w:p>
    <w:p w:rsidR="005B0D7D" w:rsidRPr="005B0D7D" w:rsidRDefault="005B0D7D" w:rsidP="005B0D7D">
      <w:pPr>
        <w:numPr>
          <w:ilvl w:val="0"/>
          <w:numId w:val="36"/>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степенью диверсификации структуры  экономики города;</w:t>
      </w:r>
    </w:p>
    <w:p w:rsidR="005B0D7D" w:rsidRPr="005B0D7D" w:rsidRDefault="005B0D7D" w:rsidP="005B0D7D">
      <w:pPr>
        <w:numPr>
          <w:ilvl w:val="0"/>
          <w:numId w:val="36"/>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эффективностью реализации природно-ресурсного потенциала;</w:t>
      </w:r>
    </w:p>
    <w:p w:rsidR="005B0D7D" w:rsidRPr="005B0D7D" w:rsidRDefault="005B0D7D" w:rsidP="005B0D7D">
      <w:pPr>
        <w:numPr>
          <w:ilvl w:val="0"/>
          <w:numId w:val="36"/>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инфраструктурным развитием;</w:t>
      </w:r>
    </w:p>
    <w:p w:rsidR="005B0D7D" w:rsidRPr="005B0D7D" w:rsidRDefault="005B0D7D" w:rsidP="005B0D7D">
      <w:pPr>
        <w:numPr>
          <w:ilvl w:val="0"/>
          <w:numId w:val="36"/>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интенсивностью разработки и внедрения инноваций;</w:t>
      </w:r>
    </w:p>
    <w:p w:rsidR="005B0D7D" w:rsidRPr="005B0D7D" w:rsidRDefault="005B0D7D" w:rsidP="005B0D7D">
      <w:pPr>
        <w:numPr>
          <w:ilvl w:val="0"/>
          <w:numId w:val="36"/>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эффективностью институтов, поддерживающих предпринимательскую и инвестиционную активность;</w:t>
      </w:r>
    </w:p>
    <w:p w:rsidR="005B0D7D" w:rsidRPr="005B0D7D" w:rsidRDefault="005B0D7D" w:rsidP="005B0D7D">
      <w:pPr>
        <w:numPr>
          <w:ilvl w:val="0"/>
          <w:numId w:val="36"/>
        </w:numPr>
        <w:tabs>
          <w:tab w:val="left" w:pos="993"/>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налоговым регулированием на местном уровне, а также налоговой  и тарифной политикой государства.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 разработке сценариев социально-экономического развития города Ханты-Мансийска использовались данные прогноза сценарных условий социально-экономического развития Российской Федерации с учетом динамики основных показателей предыдущих лет, действующих внешних и внутренних факторов, выявленного потенциала, результатов SWOT-анализа конкурентоспособности экономики города и анализа рисков.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всего комплекса условий развития города Ханты-Мансийка позволяет смоделировать три сценария развития города: инерционный, умеренно-оптимистический и инновационный.</w:t>
      </w:r>
    </w:p>
    <w:p w:rsidR="005B0D7D" w:rsidRPr="005B0D7D" w:rsidRDefault="005B0D7D" w:rsidP="005B0D7D">
      <w:pPr>
        <w:keepNext/>
        <w:spacing w:before="240" w:after="120" w:line="240" w:lineRule="auto"/>
        <w:jc w:val="both"/>
        <w:outlineLvl w:val="1"/>
        <w:rPr>
          <w:rFonts w:ascii="Times New Roman" w:eastAsia="Batang" w:hAnsi="Times New Roman" w:cs="Times New Roman"/>
          <w:b/>
          <w:bCs/>
          <w:sz w:val="28"/>
          <w:szCs w:val="28"/>
          <w:lang w:eastAsia="ko-KR"/>
        </w:rPr>
      </w:pPr>
      <w:bookmarkStart w:id="199" w:name="_Toc410639510"/>
      <w:r w:rsidRPr="005B0D7D">
        <w:rPr>
          <w:rFonts w:ascii="Times New Roman" w:eastAsia="Batang" w:hAnsi="Times New Roman" w:cs="Times New Roman"/>
          <w:b/>
          <w:bCs/>
          <w:sz w:val="28"/>
          <w:szCs w:val="28"/>
          <w:lang w:eastAsia="ko-KR"/>
        </w:rPr>
        <w:t>6.1. Инерционный сценарий</w:t>
      </w:r>
      <w:bookmarkEnd w:id="19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Условием развертывания </w:t>
      </w:r>
      <w:r w:rsidRPr="005B0D7D">
        <w:rPr>
          <w:rFonts w:ascii="Times New Roman" w:eastAsia="Batang" w:hAnsi="Times New Roman" w:cs="Times New Roman"/>
          <w:b/>
          <w:sz w:val="28"/>
          <w:szCs w:val="28"/>
          <w:lang w:eastAsia="ko-KR"/>
        </w:rPr>
        <w:t xml:space="preserve">Сценария 1 </w:t>
      </w:r>
      <w:r w:rsidRPr="005B0D7D">
        <w:rPr>
          <w:rFonts w:ascii="Times New Roman" w:eastAsia="Batang" w:hAnsi="Times New Roman" w:cs="Times New Roman"/>
          <w:sz w:val="28"/>
          <w:szCs w:val="28"/>
          <w:lang w:eastAsia="ko-KR"/>
        </w:rPr>
        <w:t xml:space="preserve">является ухудшение социально-экономической ситуации в городе и регионе. В условиях сложной международной обстановки и резкого падения мировых цен на нефть вполне вероятно, что нефтедобывающие предприятия Ханты-Мансийского автономного округа-Югры – </w:t>
      </w:r>
      <w:r w:rsidRPr="005B0D7D">
        <w:rPr>
          <w:rFonts w:ascii="Times New Roman" w:eastAsia="Batang" w:hAnsi="Times New Roman" w:cs="Times New Roman"/>
          <w:sz w:val="28"/>
          <w:szCs w:val="28"/>
          <w:lang w:eastAsia="ko-KR"/>
        </w:rPr>
        <w:lastRenderedPageBreak/>
        <w:t>перестанут стабильно функционировать. В этом случае объем налоговых поступлений в окружной бюджет сократится, что косвенно затронет и город Ханты-Мансийск – снизятся возможности окружного бюджета осуществлять расходы в рамках государственных программ.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Неблагоприятная ситуация негативно повлияет на возможности осуществления Ханты-Мансийском функций административного центра в части проведения масштабных событий всероссийского и международного уровней, обслуживания больших туристских групп, вложения сре</w:t>
      </w:r>
      <w:proofErr w:type="gramStart"/>
      <w:r w:rsidRPr="005B0D7D">
        <w:rPr>
          <w:rFonts w:ascii="Times New Roman" w:eastAsia="Batang" w:hAnsi="Times New Roman" w:cs="Times New Roman"/>
          <w:sz w:val="28"/>
          <w:szCs w:val="28"/>
          <w:lang w:eastAsia="ko-KR"/>
        </w:rPr>
        <w:t>дств в бл</w:t>
      </w:r>
      <w:proofErr w:type="gramEnd"/>
      <w:r w:rsidRPr="005B0D7D">
        <w:rPr>
          <w:rFonts w:ascii="Times New Roman" w:eastAsia="Batang" w:hAnsi="Times New Roman" w:cs="Times New Roman"/>
          <w:sz w:val="28"/>
          <w:szCs w:val="28"/>
          <w:lang w:eastAsia="ko-KR"/>
        </w:rPr>
        <w:t>агоустройство города и эстетику, поскольку «экономическое самочувствие» города в немалой степени зависит от благополучия внешней среды.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условиях, неблагоприятных для развития топливно-энергетического комплекса, более или менее востребованными окажутся лишь те отрасли, которые обслуживают базовые потребности горожан. Возможно, меньше всего пострадает пищевая промышленность, в том числе рыбная, однако она не сможет дальше развиваться и расширять производство. Участятся случаи закрытия малых и средних предприятий, встроенных в цепочки крупных производителей и обслуживающих потребности населения за пределами повседневных нужд. Без муниципальной поддержки замедлится процесс создания новых субъектов бизнеса, особенно затруднено будет развитие реального сектора экономики.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Несколько снизятся темпы роста численности населения. На первых порах небольшой естественный прирост населения, вероятно, будет сохраняться, поскольку основная масса работников – офисный персонал, государственные и муниципальные служащие – ощутит на себе ухудшение макроэкономической ситуации опосредованно и через определенный промежуток времени. Через год-два после обострения экономических проблем, скорее всего, выровняются показатели миграционного притока и оттока, поскольку ожидания мигрантов относительно повышения уровня жизни не будут оправдываться. Сократится приток в Ханты-Мансийск внешних трудовых мигрантов, однако при этом участятся случаи переезда в город трудоспособного населения из ближайших муниципальных районов и городов Ханты-Мансийского автономного округа – </w:t>
      </w:r>
      <w:proofErr w:type="gramStart"/>
      <w:r w:rsidRPr="005B0D7D">
        <w:rPr>
          <w:rFonts w:ascii="Times New Roman" w:eastAsia="Batang" w:hAnsi="Times New Roman" w:cs="Times New Roman"/>
          <w:sz w:val="28"/>
          <w:szCs w:val="28"/>
          <w:lang w:eastAsia="ko-KR"/>
        </w:rPr>
        <w:t>Югры</w:t>
      </w:r>
      <w:proofErr w:type="gramEnd"/>
      <w:r w:rsidRPr="005B0D7D">
        <w:rPr>
          <w:rFonts w:ascii="Times New Roman" w:eastAsia="Batang" w:hAnsi="Times New Roman" w:cs="Times New Roman"/>
          <w:sz w:val="28"/>
          <w:szCs w:val="28"/>
          <w:lang w:eastAsia="ko-KR"/>
        </w:rPr>
        <w:t xml:space="preserve"> скорее всего, по инерции, памятуя о благополучии и эстетике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Инерционный сценарий не предполагает направленного развития собственной производственной базы. По этой причине существующие крестьянские (фермерские) хозяйства, скорее всего, обанкротятся, потребительский рынок города будет заполнен продукцией предприятий, расположенных на других территориях автономного округа и за его пределами. Слабость реального сектора экономики приведет к возрастанию зависимости города от субсидий и субвенций из окружного бюджета.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Развертывание Сценария 1 уже через год-два негативно повлияет на инвестиционный процесс. Прежде всего, не будет реализован потенциал его развития, особенно в части инвестиционных проектов, предполагающих создание небольших производств, работающих на местном сырье и выпускающих экологически чистую продукцию, </w:t>
      </w:r>
      <w:proofErr w:type="gramStart"/>
      <w:r w:rsidRPr="005B0D7D">
        <w:rPr>
          <w:rFonts w:ascii="Times New Roman" w:eastAsia="Batang" w:hAnsi="Times New Roman" w:cs="Times New Roman"/>
          <w:sz w:val="28"/>
          <w:szCs w:val="28"/>
          <w:lang w:eastAsia="ko-KR"/>
        </w:rPr>
        <w:t>предпосылки</w:t>
      </w:r>
      <w:proofErr w:type="gramEnd"/>
      <w:r w:rsidRPr="005B0D7D">
        <w:rPr>
          <w:rFonts w:ascii="Times New Roman" w:eastAsia="Batang" w:hAnsi="Times New Roman" w:cs="Times New Roman"/>
          <w:sz w:val="28"/>
          <w:szCs w:val="28"/>
          <w:lang w:eastAsia="ko-KR"/>
        </w:rPr>
        <w:t xml:space="preserve"> для запуска которых уже начали складываться. Многие из действующих проектов будут свернуты. Так, снижение платежеспособности населения уменьшит спрос на товары и услуги, начиная от </w:t>
      </w:r>
      <w:r w:rsidRPr="005B0D7D">
        <w:rPr>
          <w:rFonts w:ascii="Times New Roman" w:eastAsia="Batang" w:hAnsi="Times New Roman" w:cs="Times New Roman"/>
          <w:sz w:val="28"/>
          <w:szCs w:val="28"/>
          <w:lang w:eastAsia="ko-KR"/>
        </w:rPr>
        <w:lastRenderedPageBreak/>
        <w:t>жилья в новых домах и заканчивая брендовой продукцией, для которой сейчас планируется строить торговые помещения. Инвесторы будут предпочитать вкладывать средства в строительство крупных торговых центров, реализующих товары повседневного спроса. Крупные торговые сети откажутся сотрудничать с местными производителями.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целом Сценарий 1 на первых порах будет создавать </w:t>
      </w:r>
      <w:r w:rsidRPr="005B0D7D">
        <w:rPr>
          <w:rFonts w:ascii="Times New Roman" w:eastAsia="Batang" w:hAnsi="Times New Roman" w:cs="Times New Roman"/>
          <w:i/>
          <w:sz w:val="28"/>
          <w:szCs w:val="28"/>
          <w:lang w:eastAsia="ko-KR"/>
        </w:rPr>
        <w:t>видимость благополучия</w:t>
      </w:r>
      <w:r w:rsidRPr="005B0D7D">
        <w:rPr>
          <w:rFonts w:ascii="Times New Roman" w:eastAsia="Batang" w:hAnsi="Times New Roman" w:cs="Times New Roman"/>
          <w:sz w:val="28"/>
          <w:szCs w:val="28"/>
          <w:lang w:eastAsia="ko-KR"/>
        </w:rPr>
        <w:t>. Ситуация будет казаться стабильной, однако малейшее ухудшение внешних условий приведет к системному кризису социально-экономического развития города.</w:t>
      </w:r>
    </w:p>
    <w:p w:rsidR="005B0D7D" w:rsidRPr="005B0D7D" w:rsidRDefault="005B0D7D" w:rsidP="005B0D7D">
      <w:pPr>
        <w:keepNext/>
        <w:spacing w:before="240" w:after="120" w:line="240" w:lineRule="auto"/>
        <w:jc w:val="both"/>
        <w:outlineLvl w:val="1"/>
        <w:rPr>
          <w:rFonts w:ascii="Times New Roman" w:eastAsia="Batang" w:hAnsi="Times New Roman" w:cs="Times New Roman"/>
          <w:b/>
          <w:bCs/>
          <w:sz w:val="28"/>
          <w:szCs w:val="28"/>
          <w:lang w:eastAsia="ko-KR"/>
        </w:rPr>
      </w:pPr>
      <w:bookmarkStart w:id="200" w:name="_Toc410639511"/>
      <w:r w:rsidRPr="005B0D7D">
        <w:rPr>
          <w:rFonts w:ascii="Times New Roman" w:eastAsia="Batang" w:hAnsi="Times New Roman" w:cs="Times New Roman"/>
          <w:b/>
          <w:bCs/>
          <w:sz w:val="28"/>
          <w:szCs w:val="28"/>
          <w:lang w:eastAsia="ko-KR"/>
        </w:rPr>
        <w:t>6.2. Умеренно-оптимистический сценарий</w:t>
      </w:r>
      <w:bookmarkEnd w:id="200"/>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Содержанием </w:t>
      </w:r>
      <w:r w:rsidRPr="005B0D7D">
        <w:rPr>
          <w:rFonts w:ascii="Times New Roman" w:eastAsia="Batang" w:hAnsi="Times New Roman" w:cs="Times New Roman"/>
          <w:b/>
          <w:sz w:val="28"/>
          <w:szCs w:val="28"/>
          <w:lang w:eastAsia="ko-KR"/>
        </w:rPr>
        <w:t xml:space="preserve">Сценария 2 </w:t>
      </w:r>
      <w:r w:rsidRPr="005B0D7D">
        <w:rPr>
          <w:rFonts w:ascii="Times New Roman" w:eastAsia="Batang" w:hAnsi="Times New Roman" w:cs="Times New Roman"/>
          <w:sz w:val="28"/>
          <w:szCs w:val="28"/>
          <w:lang w:eastAsia="ko-KR"/>
        </w:rPr>
        <w:t xml:space="preserve">станет ускоренное развитие города Ханты-Мансийска за счет удачного его позиционирования во внешней среде.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отношении Сценария 2 на сегодняшний день существует ряд предпосылок: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закрепившийся имидж города как столицы отдельных видов спорта;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ускоренное развитие туристической отрасли за последние два-три года;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поток инвестиционных предложений (как отмечалось в аналитическом разделе, уже сегодня в городе реализуются и планируются к реализации более ста инвестиционных проектов).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roofErr w:type="gramStart"/>
      <w:r w:rsidRPr="005B0D7D">
        <w:rPr>
          <w:rFonts w:ascii="Times New Roman" w:eastAsia="Batang" w:hAnsi="Times New Roman" w:cs="Times New Roman"/>
          <w:sz w:val="28"/>
          <w:szCs w:val="28"/>
          <w:lang w:eastAsia="ko-KR"/>
        </w:rPr>
        <w:t>Основой для развития Сценария 2 является то, что в массовом сознании среднего россиянина, даже не имеющего прямого отношения к Ханты-Мансийску, уже начал складываться целостный позитивный образ этого города как одного из ведущих спортивных, туристических и деловых центров России – даже несмотря на то, что центральные средства массовой информации чаще высвечивают проблемы периферийных городов, чем «лучшие практики».</w:t>
      </w:r>
      <w:proofErr w:type="gramEnd"/>
      <w:r w:rsidRPr="005B0D7D">
        <w:rPr>
          <w:rFonts w:ascii="Times New Roman" w:eastAsia="Batang" w:hAnsi="Times New Roman" w:cs="Times New Roman"/>
          <w:sz w:val="28"/>
          <w:szCs w:val="28"/>
          <w:lang w:eastAsia="ko-KR"/>
        </w:rPr>
        <w:t xml:space="preserve"> Для формирования устойчивого позитивного имиджа Ханты-Мансийска следует создавать «драйверы» интереса за счет участия делегаций из города в выставках, форумах и иных крупных мероприятиях.</w:t>
      </w:r>
    </w:p>
    <w:p w:rsidR="005B0D7D" w:rsidRPr="005B0D7D" w:rsidRDefault="005B0D7D" w:rsidP="005B0D7D">
      <w:pPr>
        <w:spacing w:after="0" w:line="240" w:lineRule="auto"/>
        <w:ind w:firstLine="720"/>
        <w:jc w:val="both"/>
        <w:rPr>
          <w:rFonts w:ascii="Times New Roman" w:eastAsia="Batang" w:hAnsi="Times New Roman" w:cs="Times New Roman"/>
          <w:sz w:val="28"/>
          <w:szCs w:val="28"/>
          <w:highlight w:val="yellow"/>
          <w:lang w:eastAsia="ko-KR"/>
        </w:rPr>
      </w:pPr>
      <w:r w:rsidRPr="005B0D7D">
        <w:rPr>
          <w:rFonts w:ascii="Times New Roman" w:eastAsia="Batang" w:hAnsi="Times New Roman" w:cs="Times New Roman"/>
          <w:sz w:val="28"/>
          <w:szCs w:val="28"/>
          <w:lang w:eastAsia="ko-KR"/>
        </w:rPr>
        <w:t xml:space="preserve">Благоприятный экономический эффект в ситуации развертывания Сценария 2 будет получен за счет притока инвестиций. При этом предполагается, что за счет усилий Администрации города инвестиционный процесс будет управляемым – гармоничным, упорядоченным, ускоренным, </w:t>
      </w:r>
      <w:proofErr w:type="spellStart"/>
      <w:r w:rsidRPr="005B0D7D">
        <w:rPr>
          <w:rFonts w:ascii="Times New Roman" w:eastAsia="Batang" w:hAnsi="Times New Roman" w:cs="Times New Roman"/>
          <w:sz w:val="28"/>
          <w:szCs w:val="28"/>
          <w:lang w:eastAsia="ko-KR"/>
        </w:rPr>
        <w:t>инфраструктурно</w:t>
      </w:r>
      <w:proofErr w:type="spellEnd"/>
      <w:r w:rsidRPr="005B0D7D">
        <w:rPr>
          <w:rFonts w:ascii="Times New Roman" w:eastAsia="Batang" w:hAnsi="Times New Roman" w:cs="Times New Roman"/>
          <w:sz w:val="28"/>
          <w:szCs w:val="28"/>
          <w:lang w:eastAsia="ko-KR"/>
        </w:rPr>
        <w:t xml:space="preserve"> обеспеченным и </w:t>
      </w:r>
      <w:proofErr w:type="spellStart"/>
      <w:r w:rsidRPr="005B0D7D">
        <w:rPr>
          <w:rFonts w:ascii="Times New Roman" w:eastAsia="Batang" w:hAnsi="Times New Roman" w:cs="Times New Roman"/>
          <w:sz w:val="28"/>
          <w:szCs w:val="28"/>
          <w:lang w:eastAsia="ko-KR"/>
        </w:rPr>
        <w:t>безбарьерным</w:t>
      </w:r>
      <w:proofErr w:type="spellEnd"/>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roofErr w:type="gramStart"/>
      <w:r w:rsidRPr="005B0D7D">
        <w:rPr>
          <w:rFonts w:ascii="Times New Roman" w:eastAsia="Batang" w:hAnsi="Times New Roman" w:cs="Times New Roman"/>
          <w:sz w:val="28"/>
          <w:szCs w:val="28"/>
          <w:lang w:eastAsia="ko-KR"/>
        </w:rPr>
        <w:t>Наличие системы фильтров и статусов на этапе отбора инвестиционных проектов и дифференцированных условий предоставления льгот инвесторам позволит сделать акцент на развитии производства (точнее, мелких производств, обеспечивающих удовлетворение базовых потребностей жителей и не наносящих ущерба окружающей среде), сочетать интересы внешнего капитала и местных предпринимателей, которые будут не конкурировать друг с другом, а создавать эффективные цепочки увеличения добавленной стоимости.</w:t>
      </w:r>
      <w:proofErr w:type="gramEnd"/>
      <w:r w:rsidRPr="005B0D7D">
        <w:rPr>
          <w:rFonts w:ascii="Times New Roman" w:eastAsia="Batang" w:hAnsi="Times New Roman" w:cs="Times New Roman"/>
          <w:sz w:val="28"/>
          <w:szCs w:val="28"/>
          <w:lang w:eastAsia="ko-KR"/>
        </w:rPr>
        <w:t xml:space="preserve"> Запуск </w:t>
      </w:r>
      <w:proofErr w:type="gramStart"/>
      <w:r w:rsidRPr="005B0D7D">
        <w:rPr>
          <w:rFonts w:ascii="Times New Roman" w:eastAsia="Batang" w:hAnsi="Times New Roman" w:cs="Times New Roman"/>
          <w:sz w:val="28"/>
          <w:szCs w:val="28"/>
          <w:lang w:eastAsia="ko-KR"/>
        </w:rPr>
        <w:t>Интернет-портала</w:t>
      </w:r>
      <w:proofErr w:type="gramEnd"/>
      <w:r w:rsidRPr="005B0D7D">
        <w:rPr>
          <w:rFonts w:ascii="Times New Roman" w:eastAsia="Batang" w:hAnsi="Times New Roman" w:cs="Times New Roman"/>
          <w:sz w:val="28"/>
          <w:szCs w:val="28"/>
          <w:lang w:eastAsia="ko-KR"/>
        </w:rPr>
        <w:t xml:space="preserve"> Инвестиционного паспорта города позволит инвесторам ознакомиться с возможностями города в части обеспечения реализации их проектов. В итоге инвестиции принесут не только денежный эффект, но и рост социального потенциала территории. Ожидается, что Сценарий 2 предопределит </w:t>
      </w:r>
      <w:r w:rsidRPr="005B0D7D">
        <w:rPr>
          <w:rFonts w:ascii="Times New Roman" w:eastAsia="Batang" w:hAnsi="Times New Roman" w:cs="Times New Roman"/>
          <w:sz w:val="28"/>
          <w:szCs w:val="28"/>
          <w:lang w:eastAsia="ko-KR"/>
        </w:rPr>
        <w:lastRenderedPageBreak/>
        <w:t>незначительный рост производства и опережающий рост оборота торговли и бытовых услуг. Сохранятся темпы роста населения города – как за счет повышения рождаемости, так и за счет притока мигрантов из ближайших территорий и центральной части России.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Условием реализации Сценария 2 является подготовленность городской инфраструктуры к реализации большого числа инвестиционных проектов. Отсутствие достаточного числа инвестиционных площадок и высокая стоимость их инфраструктурного обеспечения может стать сдерживающим фактором.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Также успешность развития Ханты-Мансийска в рамках Сценария 2 зависит от обеспечения постоянства туристического потока. Предполагается, что будут комплексно развиваться самые разнообразные виды туризма. </w:t>
      </w:r>
      <w:proofErr w:type="spellStart"/>
      <w:r w:rsidRPr="005B0D7D">
        <w:rPr>
          <w:rFonts w:ascii="Times New Roman" w:eastAsia="Batang" w:hAnsi="Times New Roman" w:cs="Times New Roman"/>
          <w:sz w:val="28"/>
          <w:szCs w:val="28"/>
          <w:lang w:eastAsia="ko-KR"/>
        </w:rPr>
        <w:t>Конгрессно</w:t>
      </w:r>
      <w:proofErr w:type="spellEnd"/>
      <w:r w:rsidRPr="005B0D7D">
        <w:rPr>
          <w:rFonts w:ascii="Times New Roman" w:eastAsia="Batang" w:hAnsi="Times New Roman" w:cs="Times New Roman"/>
          <w:sz w:val="28"/>
          <w:szCs w:val="28"/>
          <w:lang w:eastAsia="ko-KR"/>
        </w:rPr>
        <w:t>-деловой туризм будет способствовать росту потребности в гостиницах с конференц-залами и выставочных помещениях. Строительство новых медицинских центров закроет потребность населения округа в лечении самых разнообразных заболеваний без выезда в Москву и в перспективе привлечет жителей других регионов. Событийный туризм обеспечит потребность не только в туристской инфраструктуре, но и в эстетике города, и даст стимул к развитию дизайнерских и архитектурных предприятий.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Ограничением развития Сценария 2 может стать отставание городской инфраструктуры от потребностей развития города: невозможность реализовывать перспективные инвестиционные проекты по причине недостатка в подготовленных инвестиционных площадках, чрезмерная нагрузка на объекты социальной инфраструктуры по причине интенсивного роста численности населения.</w:t>
      </w:r>
    </w:p>
    <w:p w:rsidR="005B0D7D" w:rsidRPr="005B0D7D" w:rsidRDefault="005B0D7D" w:rsidP="005B0D7D">
      <w:pPr>
        <w:keepNext/>
        <w:spacing w:before="240" w:after="120" w:line="240" w:lineRule="auto"/>
        <w:jc w:val="both"/>
        <w:outlineLvl w:val="1"/>
        <w:rPr>
          <w:rFonts w:ascii="Times New Roman" w:eastAsia="Batang" w:hAnsi="Times New Roman" w:cs="Times New Roman"/>
          <w:b/>
          <w:bCs/>
          <w:sz w:val="28"/>
          <w:szCs w:val="28"/>
          <w:lang w:eastAsia="ko-KR"/>
        </w:rPr>
      </w:pPr>
      <w:bookmarkStart w:id="201" w:name="_Toc410639512"/>
      <w:r w:rsidRPr="005B0D7D">
        <w:rPr>
          <w:rFonts w:ascii="Times New Roman" w:eastAsia="Batang" w:hAnsi="Times New Roman" w:cs="Times New Roman"/>
          <w:b/>
          <w:bCs/>
          <w:sz w:val="28"/>
          <w:szCs w:val="28"/>
          <w:lang w:eastAsia="ko-KR"/>
        </w:rPr>
        <w:t>6.3. Инновационный сценарий</w:t>
      </w:r>
      <w:bookmarkEnd w:id="201"/>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Развертывание </w:t>
      </w:r>
      <w:r w:rsidRPr="005B0D7D">
        <w:rPr>
          <w:rFonts w:ascii="Times New Roman" w:eastAsia="Batang" w:hAnsi="Times New Roman" w:cs="Times New Roman"/>
          <w:b/>
          <w:sz w:val="28"/>
          <w:szCs w:val="28"/>
          <w:lang w:eastAsia="ko-KR"/>
        </w:rPr>
        <w:t xml:space="preserve">Сценария 3 </w:t>
      </w:r>
      <w:r w:rsidRPr="005B0D7D">
        <w:rPr>
          <w:rFonts w:ascii="Times New Roman" w:eastAsia="Batang" w:hAnsi="Times New Roman" w:cs="Times New Roman"/>
          <w:sz w:val="28"/>
          <w:szCs w:val="28"/>
          <w:lang w:eastAsia="ko-KR"/>
        </w:rPr>
        <w:t xml:space="preserve">предполагает опережающее развитие Ханты-Мансийска как «умного города» за счет инвестиций и сильной инновационной составляющей.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roofErr w:type="gramStart"/>
      <w:r w:rsidRPr="005B0D7D">
        <w:rPr>
          <w:rFonts w:ascii="Times New Roman" w:eastAsia="Batang" w:hAnsi="Times New Roman" w:cs="Times New Roman"/>
          <w:sz w:val="28"/>
          <w:szCs w:val="28"/>
          <w:lang w:eastAsia="ko-KR"/>
        </w:rPr>
        <w:t>Модель «умного города» в настоящее время примеряют на себя многие города России, и при этом в нее вкладываются различные трактовки.</w:t>
      </w:r>
      <w:proofErr w:type="gramEnd"/>
      <w:r w:rsidRPr="005B0D7D">
        <w:rPr>
          <w:rFonts w:ascii="Times New Roman" w:eastAsia="Batang" w:hAnsi="Times New Roman" w:cs="Times New Roman"/>
          <w:sz w:val="28"/>
          <w:szCs w:val="28"/>
          <w:lang w:eastAsia="ko-KR"/>
        </w:rPr>
        <w:t xml:space="preserve"> Единое понимание содержания данной модели на данный момент отсутствует и зачастую ограничивается частностями, например, об умном городе говорят, когда подразумевается широкое внедрение энергосберегающих технологий. В рамках Сценария 3 можно предвидеть, что Ханты-Мансийск будет обладать несколькими признаками «умного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Комфортный город. Комфортность предполагает удобство удовлетворения потребностей за счет использования современных информационных технологий. Учитывая сегодняшние высокие темпы информатизации, можно допустить, что в условиях развертывания Сценария 3 граждане будут получать государственные и муниципальные услуги преимущественно в электронном виде. Многие городские сервисы станут доступными через Интернет (заказ продуктов, отслеживание движения городского пассажирского транспорта, взаимодействие учащихся и родителей с образовательными организациями, обращения в коммунальные службы и т.д.).</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2. Безопасный город. Расширение и интеграция систем видеонаблюдения будет способствовать снижению преступности.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w:t>
      </w:r>
      <w:proofErr w:type="spellStart"/>
      <w:r w:rsidRPr="005B0D7D">
        <w:rPr>
          <w:rFonts w:ascii="Times New Roman" w:eastAsia="Batang" w:hAnsi="Times New Roman" w:cs="Times New Roman"/>
          <w:sz w:val="28"/>
          <w:szCs w:val="28"/>
          <w:lang w:eastAsia="ko-KR"/>
        </w:rPr>
        <w:t>Энергоэффективный</w:t>
      </w:r>
      <w:proofErr w:type="spellEnd"/>
      <w:r w:rsidRPr="005B0D7D">
        <w:rPr>
          <w:rFonts w:ascii="Times New Roman" w:eastAsia="Batang" w:hAnsi="Times New Roman" w:cs="Times New Roman"/>
          <w:sz w:val="28"/>
          <w:szCs w:val="28"/>
          <w:lang w:eastAsia="ko-KR"/>
        </w:rPr>
        <w:t xml:space="preserve"> город. Современные технологии учета потребления энергоресурсов, своевременного моделирования и обнаружения аварий (так называемые «умные сети») позволят снижать затраты на источники энергии. Этому же будет способствовать строительство домов особой конструкции из особых материалов, начиненных электронными системами («умный дом»).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w:t>
      </w:r>
      <w:proofErr w:type="spellStart"/>
      <w:r w:rsidRPr="005B0D7D">
        <w:rPr>
          <w:rFonts w:ascii="Times New Roman" w:eastAsia="Batang" w:hAnsi="Times New Roman" w:cs="Times New Roman"/>
          <w:sz w:val="28"/>
          <w:szCs w:val="28"/>
          <w:lang w:eastAsia="ko-KR"/>
        </w:rPr>
        <w:t>Экополис</w:t>
      </w:r>
      <w:proofErr w:type="spellEnd"/>
      <w:r w:rsidRPr="005B0D7D">
        <w:rPr>
          <w:rFonts w:ascii="Times New Roman" w:eastAsia="Batang" w:hAnsi="Times New Roman" w:cs="Times New Roman"/>
          <w:sz w:val="28"/>
          <w:szCs w:val="28"/>
          <w:lang w:eastAsia="ko-KR"/>
        </w:rPr>
        <w:t>. Использование «умных технологий» позволит Ханты-Мансийску сохранить и в перспективе повысить уровень экологического благополучия. Так, прибавочный продукт будет создаваться за счет высоких технологий, не загрязняющих окружающую среду. Перевод двигателей автотранспорта на газомоторное топливо и электродвигатели позволит снизить негативное воздействие на природу от увеличивающего числа автотранспорта. Именно в Ханты-Мансийске должны быть созданы разработки, внедрение которых приведет к снижению экологического ущерба от добычи нефти на территориях соседних муниципальных образований.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основе модели «</w:t>
      </w:r>
      <w:proofErr w:type="gramStart"/>
      <w:r w:rsidRPr="005B0D7D">
        <w:rPr>
          <w:rFonts w:ascii="Times New Roman" w:eastAsia="Batang" w:hAnsi="Times New Roman" w:cs="Times New Roman"/>
          <w:sz w:val="28"/>
          <w:szCs w:val="28"/>
          <w:lang w:eastAsia="ko-KR"/>
        </w:rPr>
        <w:t>умного</w:t>
      </w:r>
      <w:proofErr w:type="gramEnd"/>
      <w:r w:rsidRPr="005B0D7D">
        <w:rPr>
          <w:rFonts w:ascii="Times New Roman" w:eastAsia="Batang" w:hAnsi="Times New Roman" w:cs="Times New Roman"/>
          <w:sz w:val="28"/>
          <w:szCs w:val="28"/>
          <w:lang w:eastAsia="ko-KR"/>
        </w:rPr>
        <w:t xml:space="preserve"> города» лежит ускоренное инновационное развитие. Основной предпосылкой развития Ханты-Мансийска по инновационному пути станет реализация идеи создания Индустриального парка и территории опережающего социально-экономического развития. Данный элемент инновационной инфраструктуры, с одной стороны, будет иметь самостоятельное значение как площадка для креативных производств, а с другой, будет встраиваться в технологическую цепочку как необходимое дополнение Технопарка высоких технологий Ханты-Мансийского автономного округа – Югры. Благодаря появлению действующей производственной площадки разработанные инновации не останутся на стадии проектирования, а будут оперативно запускаться в массовое производство.</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Создание инновационной инфраструктуры сделает город Ханты-Мансийск перспективным для талантливой молодежи. Исходя из этого, можно будет ожидать возвращения в город молодых людей, уехавших в Москву, Санкт-Петербург и на Урал получать высшее образование, уже в качестве высококвалифицированных специалистов. Данный процесс повысит социальный заказ на образовательные услуги повышенного уровня, а также усилятся требования к разнообразию и качеству культурного досуга.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Развертывание Сценария 3 должно качественно улучшить городскую среду. Поскольку ожидать рыночного ажиотажа на инновационную продукцию не приходится, функции главного заказчика инноваций должна взять на себя Администрация города Ханты-Мансийска. Формирование потребности муниципалитета в продукции, удовлетворять которую могут малые инновационные предприятия, с одной стороны, будет способствовать налаживанию их бизнеса (а значит, созданию новых рабочих мест и росту налоговых поступлений), а с другой, обеспечит положительный эффект в части реализации модели умного и креативного города.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Условиями повышения вероятности развертывания Сценария 3 является 1) систематическое проведение в городе конференций и форумов в области </w:t>
      </w:r>
      <w:r w:rsidRPr="005B0D7D">
        <w:rPr>
          <w:rFonts w:ascii="Times New Roman" w:eastAsia="Batang" w:hAnsi="Times New Roman" w:cs="Times New Roman"/>
          <w:sz w:val="28"/>
          <w:szCs w:val="28"/>
          <w:lang w:eastAsia="ko-KR"/>
        </w:rPr>
        <w:lastRenderedPageBreak/>
        <w:t xml:space="preserve">управления инвестициями и информационных технологий; 2) обучение ханты-мансийских старшеклассников и студентов основам лидерства, инновационной деятельности, инновационному проектированию, вопросам создания и защиты объектов интеллектуальной собственности; 3) обеспечение более тесного взаимодействия инновационных предприятий Ханты-Мансийска с окружными и федеральными государственными и негосударственными структурами, предоставляющими поддержку </w:t>
      </w:r>
      <w:proofErr w:type="spellStart"/>
      <w:r w:rsidRPr="005B0D7D">
        <w:rPr>
          <w:rFonts w:ascii="Times New Roman" w:eastAsia="Batang" w:hAnsi="Times New Roman" w:cs="Times New Roman"/>
          <w:sz w:val="28"/>
          <w:szCs w:val="28"/>
          <w:lang w:eastAsia="ko-KR"/>
        </w:rPr>
        <w:t>инноваторам</w:t>
      </w:r>
      <w:proofErr w:type="spellEnd"/>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Фактором, который ускорит инновационное развитие города, станет строительство Окружного лицея информационных технологий на 300 учащихся, предусмотренное Государственной программой Ханты-Мансийского автономного округа – Югры «Развитие образования </w:t>
      </w:r>
      <w:proofErr w:type="gramStart"/>
      <w:r w:rsidRPr="005B0D7D">
        <w:rPr>
          <w:rFonts w:ascii="Times New Roman" w:eastAsia="Batang" w:hAnsi="Times New Roman" w:cs="Times New Roman"/>
          <w:sz w:val="28"/>
          <w:szCs w:val="28"/>
          <w:lang w:eastAsia="ko-KR"/>
        </w:rPr>
        <w:t>в</w:t>
      </w:r>
      <w:proofErr w:type="gramEnd"/>
      <w:r w:rsidRPr="005B0D7D">
        <w:rPr>
          <w:rFonts w:ascii="Times New Roman" w:eastAsia="Batang" w:hAnsi="Times New Roman" w:cs="Times New Roman"/>
          <w:sz w:val="28"/>
          <w:szCs w:val="28"/>
          <w:lang w:eastAsia="ko-KR"/>
        </w:rPr>
        <w:t xml:space="preserve"> </w:t>
      </w:r>
      <w:proofErr w:type="gramStart"/>
      <w:r w:rsidRPr="005B0D7D">
        <w:rPr>
          <w:rFonts w:ascii="Times New Roman" w:eastAsia="Batang" w:hAnsi="Times New Roman" w:cs="Times New Roman"/>
          <w:sz w:val="28"/>
          <w:szCs w:val="28"/>
          <w:lang w:eastAsia="ko-KR"/>
        </w:rPr>
        <w:t>Ханты-Мансийском</w:t>
      </w:r>
      <w:proofErr w:type="gramEnd"/>
      <w:r w:rsidRPr="005B0D7D">
        <w:rPr>
          <w:rFonts w:ascii="Times New Roman" w:eastAsia="Batang" w:hAnsi="Times New Roman" w:cs="Times New Roman"/>
          <w:sz w:val="28"/>
          <w:szCs w:val="28"/>
          <w:lang w:eastAsia="ko-KR"/>
        </w:rPr>
        <w:t xml:space="preserve"> автономном округе – Югре на 2014-2020 годы».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развертывание Сценария 3 будет означать переход к экономике знаний, которая предполагает создание прибавочного продукта за счет инновационной деятельности.</w:t>
      </w:r>
    </w:p>
    <w:p w:rsidR="005B0D7D" w:rsidRPr="005B0D7D" w:rsidRDefault="005B0D7D" w:rsidP="005B0D7D">
      <w:pPr>
        <w:spacing w:before="120"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Настоящая Стратегия опирается на выбор умерено-оптимистического Сценария 2 в качестве базового, учитывая, что инерционный сценарий очень быстро приведет к упадку городской экономики, а развертывание инновационного сценария требует созревания достаточных предпосылок.</w:t>
      </w:r>
    </w:p>
    <w:p w:rsidR="005B0D7D" w:rsidRPr="005B0D7D" w:rsidRDefault="005B0D7D" w:rsidP="005B0D7D">
      <w:pPr>
        <w:keepNext/>
        <w:spacing w:before="240" w:after="60" w:line="240" w:lineRule="auto"/>
        <w:jc w:val="center"/>
        <w:outlineLvl w:val="0"/>
        <w:rPr>
          <w:rFonts w:ascii="Times New Roman" w:eastAsia="Batang" w:hAnsi="Times New Roman" w:cs="Times New Roman"/>
          <w:b/>
          <w:bCs/>
          <w:kern w:val="32"/>
          <w:sz w:val="28"/>
          <w:szCs w:val="32"/>
          <w:lang w:eastAsia="ko-KR"/>
        </w:rPr>
      </w:pPr>
      <w:bookmarkStart w:id="202" w:name="_Toc410639513"/>
      <w:r w:rsidRPr="005B0D7D">
        <w:rPr>
          <w:rFonts w:ascii="Times New Roman" w:eastAsia="Batang" w:hAnsi="Times New Roman" w:cs="Times New Roman"/>
          <w:b/>
          <w:bCs/>
          <w:kern w:val="32"/>
          <w:sz w:val="28"/>
          <w:szCs w:val="32"/>
          <w:lang w:eastAsia="ko-KR"/>
        </w:rPr>
        <w:br w:type="page"/>
      </w:r>
      <w:r w:rsidRPr="005B0D7D">
        <w:rPr>
          <w:rFonts w:ascii="Times New Roman" w:eastAsia="Batang" w:hAnsi="Times New Roman" w:cs="Times New Roman"/>
          <w:b/>
          <w:bCs/>
          <w:kern w:val="32"/>
          <w:sz w:val="28"/>
          <w:szCs w:val="32"/>
          <w:lang w:eastAsia="ko-KR"/>
        </w:rPr>
        <w:lastRenderedPageBreak/>
        <w:t>7. МИССИЯ, ЦЕЛИ И ЗАДАЧИ СТРАТЕГИЧЕСКОГО РАЗВИТИЯ ГОРОДА</w:t>
      </w:r>
      <w:bookmarkEnd w:id="202"/>
    </w:p>
    <w:p w:rsidR="005B0D7D" w:rsidRPr="005B0D7D" w:rsidRDefault="005B0D7D" w:rsidP="005B0D7D">
      <w:pPr>
        <w:spacing w:after="0" w:line="240" w:lineRule="auto"/>
        <w:ind w:firstLine="709"/>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Миссия города</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Ханты-Мансийск – административный центр округа, точка пересечения транспортных и финансовых потоков; инновационный центр, красивый город-заповедник с богатым историческим прошлым, высокой культурой, качественным образованием; город, комфортный для проживания и деловых контактов, центр удовлетворения разносторонних потребностей жителей города и Ханты-Мансийского автономного округа – Югры, методическая площадка для распространения управленческого опыта. </w:t>
      </w:r>
    </w:p>
    <w:p w:rsidR="005B0D7D" w:rsidRPr="005B0D7D" w:rsidRDefault="005B0D7D" w:rsidP="005B0D7D">
      <w:pPr>
        <w:spacing w:before="120" w:after="0" w:line="240" w:lineRule="auto"/>
        <w:ind w:firstLine="709"/>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Стратегическая цель</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Главная цель – повышение качества жизни населения в городе, ориентированном на формирование конкурентоспособной экономики инновационного типа, реализацию человеческого потенциала, максимальный комфорт городской среды и отлаженную работу управленческой системы.</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Достижение главной цели Стратегии предполагает реализацию двух приоритетных направлений:</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Укрепление и развитие позиций города как центра региона.</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Интенсификация социально-экономического развития.</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рамках приоритетного направления «Интенсификация социально-экономического развития» выделяются четыре цели:</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Цель</w:t>
      </w:r>
      <w:r w:rsidRPr="005B0D7D">
        <w:rPr>
          <w:rFonts w:ascii="Times New Roman" w:eastAsia="Batang" w:hAnsi="Times New Roman" w:cs="Times New Roman"/>
          <w:sz w:val="24"/>
          <w:szCs w:val="24"/>
          <w:lang w:eastAsia="ko-KR"/>
        </w:rPr>
        <w:t> </w:t>
      </w:r>
      <w:r w:rsidRPr="005B0D7D">
        <w:rPr>
          <w:rFonts w:ascii="Times New Roman" w:eastAsia="Batang" w:hAnsi="Times New Roman" w:cs="Times New Roman"/>
          <w:sz w:val="28"/>
          <w:szCs w:val="28"/>
          <w:lang w:eastAsia="ko-KR"/>
        </w:rPr>
        <w:t>1. Формирование конкурентоспособной экономики, ориентированной на инновации.</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Цель 2. Реализация человеческого потенциала.</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Цель 3. Обеспечение комфортности городской среды.</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Цель 4. Совершенствование системы местного самоуправления.</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Приоритетными задачами социально-экономического развития города Ханты-Мансийска на долгосрочную перспективу являются:</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 целью формирования конкурентоспособной экономики, ориентированной на инновации:</w:t>
      </w:r>
    </w:p>
    <w:p w:rsidR="005B0D7D" w:rsidRPr="005B0D7D" w:rsidRDefault="005B0D7D" w:rsidP="005B0D7D">
      <w:pPr>
        <w:tabs>
          <w:tab w:val="left" w:pos="993"/>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 Развитие реального сектора экономики.</w:t>
      </w:r>
    </w:p>
    <w:p w:rsidR="005B0D7D" w:rsidRPr="005B0D7D" w:rsidRDefault="005B0D7D" w:rsidP="005B0D7D">
      <w:pPr>
        <w:tabs>
          <w:tab w:val="left" w:pos="993"/>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2. Развитие агропромышленного комплекса, местной пищевой промышленности.</w:t>
      </w:r>
    </w:p>
    <w:p w:rsidR="005B0D7D" w:rsidRPr="005B0D7D" w:rsidRDefault="005B0D7D" w:rsidP="005B0D7D">
      <w:pPr>
        <w:tabs>
          <w:tab w:val="left" w:pos="993"/>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3. Обеспечение благоприятного инвестиционного климата.</w:t>
      </w:r>
    </w:p>
    <w:p w:rsidR="005B0D7D" w:rsidRPr="005B0D7D" w:rsidRDefault="005B0D7D" w:rsidP="005B0D7D">
      <w:pPr>
        <w:tabs>
          <w:tab w:val="left" w:pos="993"/>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4. Повышение роли малого и среднего предпринимательства в местном сообществе.</w:t>
      </w:r>
    </w:p>
    <w:p w:rsidR="005B0D7D" w:rsidRPr="005B0D7D" w:rsidRDefault="005B0D7D" w:rsidP="005B0D7D">
      <w:pPr>
        <w:tabs>
          <w:tab w:val="left" w:pos="993"/>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5. Инновационное развитие.</w:t>
      </w:r>
    </w:p>
    <w:p w:rsidR="005B0D7D" w:rsidRPr="005B0D7D" w:rsidRDefault="005B0D7D" w:rsidP="005B0D7D">
      <w:pPr>
        <w:tabs>
          <w:tab w:val="left" w:pos="993"/>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6. Развитие сектора услуг, потребительского рынка.</w:t>
      </w:r>
    </w:p>
    <w:p w:rsidR="005B0D7D" w:rsidRPr="005B0D7D" w:rsidRDefault="005B0D7D" w:rsidP="005B0D7D">
      <w:pPr>
        <w:spacing w:before="120"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 целью реализации человеческого потенциала:</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7. Развитие сферы социально-трудовых отношений.</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8. Обеспечение населения доступным и комфортным жильем.</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9. Снижение уровня социального неравенства, активизация социального потенциала населения.</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Задача 10. Развитие образования.</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11. Реализация социально-демографической политики.</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12. Развитие культуры.</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13. Развитие внутреннего и въездного туризма.</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14. Развитие физической культуры и массового спорта.</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15. Реализация молодежной политики.</w:t>
      </w:r>
    </w:p>
    <w:p w:rsidR="005B0D7D" w:rsidRPr="005B0D7D" w:rsidRDefault="005B0D7D" w:rsidP="005B0D7D">
      <w:pPr>
        <w:spacing w:before="120"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 целью обеспечения комфортности городской среды:</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16. Развитие транспортной инфраструктуры.</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17. Комплексное развитие систем коммунальной, энергетической и коммуникационной инфраструктур.</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18. Совершенствование системы предупреждения и защиты населения от чрезвычайных ситуаций природного и техногенного характера, охрана окружающей среды.</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19. Обеспечение личной безопасности граждан.</w:t>
      </w:r>
    </w:p>
    <w:p w:rsidR="005B0D7D" w:rsidRPr="005B0D7D" w:rsidRDefault="005B0D7D" w:rsidP="005B0D7D">
      <w:pPr>
        <w:spacing w:before="120"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 целью совершенствования системы местного самоуправления:</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20. Повышение эффективности муниципального управления на основе использования современных информационно-коммуникационных технологий.</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21. Профессиональное развитие муниципальных кадров.</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22. Рациональное и результативное управление бюджетным процессом и муниципальной собственностью.</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23. Развитие межмуниципального сотрудничества.</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24. Развитие средств массовых коммуникаций.</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p>
    <w:p w:rsidR="005B0D7D" w:rsidRPr="005B0D7D" w:rsidRDefault="005B0D7D" w:rsidP="005B0D7D">
      <w:pPr>
        <w:keepNext/>
        <w:spacing w:before="240" w:after="60" w:line="240" w:lineRule="auto"/>
        <w:jc w:val="center"/>
        <w:outlineLvl w:val="0"/>
        <w:rPr>
          <w:rFonts w:ascii="Times New Roman" w:eastAsia="Batang" w:hAnsi="Times New Roman" w:cs="Times New Roman"/>
          <w:b/>
          <w:bCs/>
          <w:kern w:val="32"/>
          <w:sz w:val="28"/>
          <w:szCs w:val="32"/>
          <w:lang w:eastAsia="ko-KR"/>
        </w:rPr>
      </w:pPr>
      <w:bookmarkStart w:id="203" w:name="_Toc410639514"/>
      <w:r w:rsidRPr="005B0D7D">
        <w:rPr>
          <w:rFonts w:ascii="Times New Roman" w:eastAsia="Batang" w:hAnsi="Times New Roman" w:cs="Times New Roman"/>
          <w:b/>
          <w:bCs/>
          <w:kern w:val="32"/>
          <w:sz w:val="28"/>
          <w:szCs w:val="32"/>
          <w:lang w:eastAsia="ko-KR"/>
        </w:rPr>
        <w:t>8. ДОЛГОСРОЧНЫЕ ПРИОРИТЕТНЫЕ НАПРАВЛЕНИЯ И ОРИЕНТИРЫ В РАМКАХ ВЫБРАННОГО СЦЕНАРИЯ</w:t>
      </w:r>
      <w:bookmarkEnd w:id="203"/>
    </w:p>
    <w:p w:rsidR="005B0D7D" w:rsidRPr="005B0D7D" w:rsidRDefault="005B0D7D" w:rsidP="005B0D7D">
      <w:pPr>
        <w:keepNext/>
        <w:spacing w:before="240" w:after="60" w:line="240" w:lineRule="auto"/>
        <w:jc w:val="center"/>
        <w:outlineLvl w:val="1"/>
        <w:rPr>
          <w:rFonts w:ascii="Times New Roman" w:eastAsia="Batang" w:hAnsi="Times New Roman" w:cs="Times New Roman"/>
          <w:b/>
          <w:bCs/>
          <w:iCs/>
          <w:sz w:val="28"/>
          <w:szCs w:val="28"/>
          <w:lang w:eastAsia="ko-KR"/>
        </w:rPr>
      </w:pPr>
      <w:bookmarkStart w:id="204" w:name="_Toc410639515"/>
      <w:r w:rsidRPr="005B0D7D">
        <w:rPr>
          <w:rFonts w:ascii="Times New Roman" w:eastAsia="Batang" w:hAnsi="Times New Roman" w:cs="Times New Roman"/>
          <w:b/>
          <w:bCs/>
          <w:iCs/>
          <w:sz w:val="28"/>
          <w:szCs w:val="28"/>
          <w:lang w:eastAsia="ko-KR"/>
        </w:rPr>
        <w:t>8.1. ПРИОРИТЕТНОЕ НАПРАВЛЕНИЕ «УКРЕПЛЕНИЕ И РАЗВИТИЕ ПОЗИЦИЙ ГОРОДА КАК ЦЕНТРА РЕГИОНА»</w:t>
      </w:r>
      <w:bookmarkEnd w:id="204"/>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реализация Ханты-Мансийском функций административного центра Ханты-Мансийского автономного округа – Югры как условие конкурентоспособности экономики города, развитости социальной сферы, образцовости городской среды и </w:t>
      </w:r>
      <w:proofErr w:type="spellStart"/>
      <w:r w:rsidRPr="005B0D7D">
        <w:rPr>
          <w:rFonts w:ascii="Times New Roman" w:eastAsia="Batang" w:hAnsi="Times New Roman" w:cs="Times New Roman"/>
          <w:sz w:val="28"/>
          <w:szCs w:val="28"/>
          <w:lang w:eastAsia="ko-KR"/>
        </w:rPr>
        <w:t>инновационности</w:t>
      </w:r>
      <w:proofErr w:type="spellEnd"/>
      <w:r w:rsidRPr="005B0D7D">
        <w:rPr>
          <w:rFonts w:ascii="Times New Roman" w:eastAsia="Batang" w:hAnsi="Times New Roman" w:cs="Times New Roman"/>
          <w:sz w:val="28"/>
          <w:szCs w:val="28"/>
          <w:lang w:eastAsia="ko-KR"/>
        </w:rPr>
        <w:t xml:space="preserve"> используемых управленческих методов.</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Статус Ханты-Мансийска как административного центра региона, регламентированный Законом Ханты-Мансийского автономного округа – Югры «О статусе административного центра Ханты-Мансийского автономного округа – Югры» от 8 апреля 2010 года №65-ОЗ, предполагает наличие ряда особенностей.</w:t>
      </w:r>
    </w:p>
    <w:p w:rsidR="005B0D7D" w:rsidRPr="005B0D7D" w:rsidRDefault="005B0D7D" w:rsidP="005B0D7D">
      <w:pPr>
        <w:numPr>
          <w:ilvl w:val="0"/>
          <w:numId w:val="11"/>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Ханты-Мансийск – центр современного образования, деловой, спортивной, научной и культурной жизни автономного округа, для которого характерна большая концентрация учреждений, направленных на удовлетворение высоких потребностей человека. Жители города имеют </w:t>
      </w:r>
      <w:r w:rsidRPr="005B0D7D">
        <w:rPr>
          <w:rFonts w:ascii="Times New Roman" w:eastAsia="Batang" w:hAnsi="Times New Roman" w:cs="Times New Roman"/>
          <w:sz w:val="28"/>
          <w:szCs w:val="28"/>
          <w:lang w:eastAsia="ru-RU"/>
        </w:rPr>
        <w:lastRenderedPageBreak/>
        <w:t>возможность пользоваться не только муниципальными, но также федеральными и окружными образовательными, спортивными, культурными учреждениями.</w:t>
      </w:r>
    </w:p>
    <w:p w:rsidR="005B0D7D" w:rsidRPr="005B0D7D" w:rsidRDefault="005B0D7D" w:rsidP="005B0D7D">
      <w:pPr>
        <w:numPr>
          <w:ilvl w:val="0"/>
          <w:numId w:val="11"/>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Административный центр предполагает место постоянного нахождения органов государственной власти автономного округа, их структурных подразделений и должностных лиц, а также территориальных подразделений федеральных органов исполнительной власти.</w:t>
      </w:r>
    </w:p>
    <w:p w:rsidR="005B0D7D" w:rsidRPr="005B0D7D" w:rsidRDefault="005B0D7D" w:rsidP="005B0D7D">
      <w:pPr>
        <w:numPr>
          <w:ilvl w:val="0"/>
          <w:numId w:val="11"/>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Статус административного центра позволяет Ханты-Мансийску выполнять посредническую роль во внутрироссийских и междугородних связях. С этой целью в городе могут создаваться представительства субъектов Российской Федерации, представительства иностранных государств, в том числе представительства субъектов иностранных федеративных государств и административно-территориальных образований иностранных государств. Благодаря статусу административного центра город имеет возможность обеспечивать продвижение на внешние </w:t>
      </w:r>
      <w:proofErr w:type="gramStart"/>
      <w:r w:rsidRPr="005B0D7D">
        <w:rPr>
          <w:rFonts w:ascii="Times New Roman" w:eastAsia="Batang" w:hAnsi="Times New Roman" w:cs="Times New Roman"/>
          <w:sz w:val="28"/>
          <w:szCs w:val="28"/>
          <w:lang w:eastAsia="ru-RU"/>
        </w:rPr>
        <w:t>рынки</w:t>
      </w:r>
      <w:proofErr w:type="gramEnd"/>
      <w:r w:rsidRPr="005B0D7D">
        <w:rPr>
          <w:rFonts w:ascii="Times New Roman" w:eastAsia="Batang" w:hAnsi="Times New Roman" w:cs="Times New Roman"/>
          <w:sz w:val="28"/>
          <w:szCs w:val="28"/>
          <w:lang w:eastAsia="ru-RU"/>
        </w:rPr>
        <w:t xml:space="preserve"> как собственной продукции, так и продукции других муниципальных образований Ханты-Мансийского автономного округа. </w:t>
      </w:r>
    </w:p>
    <w:p w:rsidR="005B0D7D" w:rsidRPr="005B0D7D" w:rsidRDefault="005B0D7D" w:rsidP="005B0D7D">
      <w:pPr>
        <w:numPr>
          <w:ilvl w:val="0"/>
          <w:numId w:val="11"/>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Статус административного центра дает городу возможность проводить окружные, общероссийские и международные мероприятия, выступать в качестве площадки при организации встреч федеральных чиновников, бизнесменов и общественных деятелей российского масштаба с представителями автономного округа, Урала и других регионов России.</w:t>
      </w:r>
    </w:p>
    <w:p w:rsidR="005B0D7D" w:rsidRPr="005B0D7D" w:rsidRDefault="005B0D7D" w:rsidP="005B0D7D">
      <w:pPr>
        <w:numPr>
          <w:ilvl w:val="0"/>
          <w:numId w:val="11"/>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Ханты-Мансийск как административный центр имеет возможность использовать ресурсы близлежащих территорий – земельные, рекреационные, трудовые – с помощью механизмов агломерации.</w:t>
      </w:r>
    </w:p>
    <w:p w:rsidR="005B0D7D" w:rsidRPr="005B0D7D" w:rsidRDefault="005B0D7D" w:rsidP="005B0D7D">
      <w:pPr>
        <w:numPr>
          <w:ilvl w:val="0"/>
          <w:numId w:val="11"/>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Статус города как административного центра оказывает влияние на социальный состав населения, которому присущ ряд особенностей: многонациональный город; большая концентрация творческих деятелей; место жительства и работы представителей редких профессий, обслуживающих различные города и районы Ханты-Мансийского автономного округа – Югры.</w:t>
      </w:r>
    </w:p>
    <w:p w:rsidR="005B0D7D" w:rsidRPr="005B0D7D" w:rsidRDefault="005B0D7D" w:rsidP="005B0D7D">
      <w:p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Развитие Ханты-Мансийска как административного центра предполагает следующие направления деятельности:</w:t>
      </w:r>
    </w:p>
    <w:p w:rsidR="005B0D7D" w:rsidRPr="005B0D7D" w:rsidRDefault="005B0D7D" w:rsidP="002D6BC3">
      <w:pPr>
        <w:numPr>
          <w:ilvl w:val="2"/>
          <w:numId w:val="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интенсификация деловой, спортивной, образовательной, научной и культурной жизни города, презентация города в российском масштабе как площадки для проведения масштабных мероприятий;</w:t>
      </w:r>
    </w:p>
    <w:p w:rsidR="005B0D7D" w:rsidRPr="005B0D7D" w:rsidRDefault="005B0D7D" w:rsidP="002D6BC3">
      <w:pPr>
        <w:numPr>
          <w:ilvl w:val="2"/>
          <w:numId w:val="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поддержание «столичной» культурной среды, начиная от высокой культуры обслуживания и заканчивая малыми архитектурными формами и частотными яркими событиями;</w:t>
      </w:r>
    </w:p>
    <w:p w:rsidR="005B0D7D" w:rsidRPr="005B0D7D" w:rsidRDefault="005B0D7D" w:rsidP="002D6BC3">
      <w:pPr>
        <w:numPr>
          <w:ilvl w:val="2"/>
          <w:numId w:val="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оптимизация сети маршрутов общественного транспорта, ориентация перевозчиков не только на внутренний, но и на внешний пассажиропоток (прибытие гостей из других городов, перемещения жителей в пределах агломерации). Размещение в автобусах и маршрутных такси информации об объектах, представляющих интерес для иногородних лиц;</w:t>
      </w:r>
    </w:p>
    <w:p w:rsidR="005B0D7D" w:rsidRPr="005B0D7D" w:rsidRDefault="005B0D7D" w:rsidP="002D6BC3">
      <w:pPr>
        <w:numPr>
          <w:ilvl w:val="2"/>
          <w:numId w:val="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lastRenderedPageBreak/>
        <w:t>размещение на улицах указателей в отношении объектов, представляющих интерес для иногородних лиц, создание сети пунктов получения полезной информации о городе;</w:t>
      </w:r>
    </w:p>
    <w:p w:rsidR="005B0D7D" w:rsidRPr="005B0D7D" w:rsidRDefault="005B0D7D" w:rsidP="002D6BC3">
      <w:pPr>
        <w:numPr>
          <w:ilvl w:val="2"/>
          <w:numId w:val="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размещение в городе Ханты-Мансийске инновационных объектов и систем, свидетельствующих о реализации идеи «умного города»: интеллектуальное управление пассажирским транспортом, QR-кодирование памятников культуры, точки доступа </w:t>
      </w:r>
      <w:proofErr w:type="spellStart"/>
      <w:r w:rsidRPr="005B0D7D">
        <w:rPr>
          <w:rFonts w:ascii="Times New Roman" w:eastAsia="Batang" w:hAnsi="Times New Roman" w:cs="Times New Roman"/>
          <w:sz w:val="28"/>
          <w:szCs w:val="28"/>
          <w:lang w:eastAsia="ru-RU"/>
        </w:rPr>
        <w:t>Wi-Fi</w:t>
      </w:r>
      <w:proofErr w:type="spellEnd"/>
      <w:r w:rsidRPr="005B0D7D">
        <w:rPr>
          <w:rFonts w:ascii="Times New Roman" w:eastAsia="Batang" w:hAnsi="Times New Roman" w:cs="Times New Roman"/>
          <w:sz w:val="28"/>
          <w:szCs w:val="28"/>
          <w:lang w:eastAsia="ru-RU"/>
        </w:rPr>
        <w:t xml:space="preserve"> в общественных местах и в общественном транспорте;</w:t>
      </w:r>
    </w:p>
    <w:p w:rsidR="005B0D7D" w:rsidRPr="005B0D7D" w:rsidRDefault="005B0D7D" w:rsidP="002D6BC3">
      <w:pPr>
        <w:numPr>
          <w:ilvl w:val="2"/>
          <w:numId w:val="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размещение в городе элементов креатива: уникальных малых архитектурных форм, различных электронных информаторов, энергосберегающих фонарей, цветной разметки пешеходных переходов и т.п.;</w:t>
      </w:r>
    </w:p>
    <w:p w:rsidR="005B0D7D" w:rsidRPr="005B0D7D" w:rsidRDefault="005B0D7D" w:rsidP="002D6BC3">
      <w:pPr>
        <w:numPr>
          <w:ilvl w:val="2"/>
          <w:numId w:val="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развитие системы безопасности города, обеспечение возможности принятия дополнительных мер безопасности и правопорядка во время проведения массовых мероприятий;</w:t>
      </w:r>
    </w:p>
    <w:p w:rsidR="005B0D7D" w:rsidRPr="005B0D7D" w:rsidRDefault="005B0D7D" w:rsidP="002D6BC3">
      <w:pPr>
        <w:numPr>
          <w:ilvl w:val="2"/>
          <w:numId w:val="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позиционирование города как надежного партнера в рамках межмуниципального сотрудничества.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4"/>
          <w:lang w:eastAsia="ko-KR"/>
        </w:rPr>
      </w:pPr>
      <w:r w:rsidRPr="005B0D7D">
        <w:rPr>
          <w:rFonts w:ascii="Times New Roman" w:eastAsia="Batang" w:hAnsi="Times New Roman" w:cs="Times New Roman"/>
          <w:sz w:val="28"/>
          <w:szCs w:val="24"/>
          <w:lang w:eastAsia="ko-KR"/>
        </w:rPr>
        <w:t>Реализация данного направления будет осуществляться в рамках мероприятий, относящихся к различным сферам жизнедеятельности.</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iCs/>
          <w:sz w:val="28"/>
          <w:szCs w:val="28"/>
          <w:lang w:eastAsia="ko-KR"/>
        </w:rPr>
      </w:pPr>
      <w:bookmarkStart w:id="205" w:name="_Toc410639516"/>
      <w:r w:rsidRPr="005B0D7D">
        <w:rPr>
          <w:rFonts w:ascii="Times New Roman" w:eastAsia="Batang" w:hAnsi="Times New Roman" w:cs="Times New Roman"/>
          <w:b/>
          <w:bCs/>
          <w:iCs/>
          <w:sz w:val="28"/>
          <w:szCs w:val="28"/>
          <w:lang w:eastAsia="ko-KR"/>
        </w:rPr>
        <w:t>8.2. ПРИОРИТЕТНОЕ НАПРАВЛЕНИЕ «ИНТЕНСИФИКАЦИЯ СОЦИАЛЬНО-ЭКОНОМИЧЕСКОГО РАЗВИТИЯ»</w:t>
      </w:r>
      <w:bookmarkEnd w:id="205"/>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06" w:name="_Toc404211552"/>
      <w:bookmarkStart w:id="207" w:name="_Toc404218186"/>
      <w:bookmarkStart w:id="208" w:name="_Toc406591402"/>
      <w:bookmarkStart w:id="209" w:name="_Toc410639517"/>
      <w:bookmarkStart w:id="210" w:name="_Toc404211540"/>
      <w:bookmarkStart w:id="211" w:name="_Toc404218174"/>
      <w:bookmarkEnd w:id="178"/>
      <w:bookmarkEnd w:id="179"/>
      <w:bookmarkEnd w:id="180"/>
      <w:r w:rsidRPr="005B0D7D">
        <w:rPr>
          <w:rFonts w:ascii="Times New Roman" w:eastAsia="Batang" w:hAnsi="Times New Roman" w:cs="Times New Roman"/>
          <w:b/>
          <w:bCs/>
          <w:sz w:val="28"/>
          <w:szCs w:val="28"/>
          <w:lang w:eastAsia="ko-KR"/>
        </w:rPr>
        <w:t xml:space="preserve">Задача 1. </w:t>
      </w:r>
      <w:bookmarkEnd w:id="206"/>
      <w:bookmarkEnd w:id="207"/>
      <w:r w:rsidRPr="005B0D7D">
        <w:rPr>
          <w:rFonts w:ascii="Times New Roman" w:eastAsia="Batang" w:hAnsi="Times New Roman" w:cs="Times New Roman"/>
          <w:b/>
          <w:bCs/>
          <w:sz w:val="28"/>
          <w:szCs w:val="28"/>
          <w:lang w:eastAsia="ko-KR"/>
        </w:rPr>
        <w:t>Развитие реального сектора экономики</w:t>
      </w:r>
      <w:bookmarkEnd w:id="208"/>
      <w:bookmarkEnd w:id="20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roofErr w:type="gramStart"/>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Ханты-Мансийск – город с диверсифицированной экономикой, создающий благоприятную среду для развития отдельных цехов и небольших производств, которые максимально используют местные сырьевые и трудовые ресурсы, ориентированы преимущественно на местный рынок сбыта, обслуживают актуальные потребности города и его жителей, не оказывая при этом существенного негативного воздействия на природную среду.</w:t>
      </w:r>
      <w:proofErr w:type="gramEnd"/>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ближайшей перспективе дальнейшее развитие получат сложившиеся отрасли экономики города: производство и распределение электроэнергии, газа и воды; обрабатывающие производства (деревообработка, промышленность стройматериалов); добыча полезных ископаемых (оказание инжиниринговых услуг </w:t>
      </w:r>
      <w:proofErr w:type="spellStart"/>
      <w:r w:rsidRPr="005B0D7D">
        <w:rPr>
          <w:rFonts w:ascii="Times New Roman" w:eastAsia="Batang" w:hAnsi="Times New Roman" w:cs="Times New Roman"/>
          <w:sz w:val="28"/>
          <w:szCs w:val="28"/>
          <w:lang w:eastAsia="ko-KR"/>
        </w:rPr>
        <w:t>нефтесервисным</w:t>
      </w:r>
      <w:proofErr w:type="spellEnd"/>
      <w:r w:rsidRPr="005B0D7D">
        <w:rPr>
          <w:rFonts w:ascii="Times New Roman" w:eastAsia="Batang" w:hAnsi="Times New Roman" w:cs="Times New Roman"/>
          <w:sz w:val="28"/>
          <w:szCs w:val="28"/>
          <w:lang w:eastAsia="ko-KR"/>
        </w:rPr>
        <w:t xml:space="preserve"> компаниям). Общими приоритетными задачами для всех отраслей является модернизация производства, внедрение инновационных технологий.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Обеспечение развития реального сектора экономики предполагает реализацию следующих направлений деятельности:</w:t>
      </w:r>
    </w:p>
    <w:p w:rsidR="005B0D7D" w:rsidRPr="005B0D7D" w:rsidRDefault="005B0D7D" w:rsidP="002D6BC3">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Планирование размещения новых производств на территории города с учетом Генерального плана, Правил землепользования и застройки, местных нормативов градостроительного проектирования. Создание благоустроенных и архитектурно-выразительных производственных и коммунально-складских зон.</w:t>
      </w:r>
    </w:p>
    <w:p w:rsidR="005B0D7D" w:rsidRPr="005B0D7D" w:rsidRDefault="005B0D7D" w:rsidP="002D6BC3">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Предоставление налоговых льгот и иных форм поддержки инвесторам, реализующим проекты по созданию производства.</w:t>
      </w:r>
    </w:p>
    <w:p w:rsidR="005B0D7D" w:rsidRPr="005B0D7D" w:rsidRDefault="005B0D7D" w:rsidP="00400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lastRenderedPageBreak/>
        <w:t>Устранение административных барьеров для организаторов производства, в том числе упрощение получения разрешения на строительство новых производственных мощностей.</w:t>
      </w:r>
    </w:p>
    <w:p w:rsidR="005B0D7D" w:rsidRPr="005B0D7D" w:rsidRDefault="005B0D7D" w:rsidP="00400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Повышение производительности труда путем модернизации рабочих мест, закупки нового оборудования, внедрение мер стимулирования рабочих за высокие производственные результаты.</w:t>
      </w:r>
    </w:p>
    <w:p w:rsidR="005B0D7D" w:rsidRPr="005B0D7D" w:rsidRDefault="005B0D7D" w:rsidP="00400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Обеспечение возможности приобретения оборудования на условиях лизинга.</w:t>
      </w:r>
    </w:p>
    <w:p w:rsidR="005B0D7D" w:rsidRPr="005B0D7D" w:rsidRDefault="005B0D7D" w:rsidP="00400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Стимулирование создания кредитных кооперативов на территории города.</w:t>
      </w:r>
    </w:p>
    <w:p w:rsidR="005B0D7D" w:rsidRPr="005B0D7D" w:rsidRDefault="005B0D7D" w:rsidP="00400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Создание условий для развития сервисных и инжиниринговых компаний, оказывающих услуги предприятиям реального сектора экономики.</w:t>
      </w:r>
    </w:p>
    <w:p w:rsidR="005B0D7D" w:rsidRPr="005B0D7D" w:rsidRDefault="005B0D7D" w:rsidP="00400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Обеспечение доступа организаторов производства к новейшим продуктам и технологиям.</w:t>
      </w:r>
    </w:p>
    <w:p w:rsidR="005B0D7D" w:rsidRPr="005B0D7D" w:rsidRDefault="005B0D7D" w:rsidP="00193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Встраивание местных произво</w:t>
      </w:r>
      <w:proofErr w:type="gramStart"/>
      <w:r w:rsidRPr="005B0D7D">
        <w:rPr>
          <w:rFonts w:ascii="Times New Roman" w:eastAsia="Batang" w:hAnsi="Times New Roman" w:cs="Times New Roman"/>
          <w:sz w:val="28"/>
          <w:szCs w:val="28"/>
          <w:lang w:eastAsia="ru-RU"/>
        </w:rPr>
        <w:t>дств в ф</w:t>
      </w:r>
      <w:proofErr w:type="gramEnd"/>
      <w:r w:rsidRPr="005B0D7D">
        <w:rPr>
          <w:rFonts w:ascii="Times New Roman" w:eastAsia="Batang" w:hAnsi="Times New Roman" w:cs="Times New Roman"/>
          <w:sz w:val="28"/>
          <w:szCs w:val="28"/>
          <w:lang w:eastAsia="ru-RU"/>
        </w:rPr>
        <w:t>ормирующиеся региональные кластеры.</w:t>
      </w:r>
    </w:p>
    <w:p w:rsidR="005B0D7D" w:rsidRPr="005B0D7D" w:rsidRDefault="005B0D7D" w:rsidP="00193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Организация профессионального обучения начинающих руководителей предприятий и организаторов производства основам менеджмента в производственной сфере, эффективным процедурам ведения бизнеса.</w:t>
      </w:r>
    </w:p>
    <w:p w:rsidR="005B0D7D" w:rsidRPr="005B0D7D" w:rsidRDefault="005B0D7D" w:rsidP="00193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Поддержка мастерских и производств, направленных на внедрение энергосберегающих технологий в жилищно-коммунальном хозяйстве, технологий вторичной переработки отходов, коммерциализации побочных эффектов.</w:t>
      </w:r>
    </w:p>
    <w:p w:rsidR="005B0D7D" w:rsidRPr="005B0D7D" w:rsidRDefault="005B0D7D" w:rsidP="00193F39">
      <w:pPr>
        <w:numPr>
          <w:ilvl w:val="0"/>
          <w:numId w:val="37"/>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Организация обучения широких слоев населения – потенциальных инвесторов – возможностям работы на фондовом и валютном рынке Российской Федерации.</w:t>
      </w:r>
    </w:p>
    <w:p w:rsidR="005B0D7D" w:rsidRPr="005B0D7D" w:rsidRDefault="005B0D7D" w:rsidP="005B0D7D">
      <w:pPr>
        <w:tabs>
          <w:tab w:val="left" w:pos="1134"/>
        </w:tabs>
        <w:spacing w:after="0" w:line="240" w:lineRule="auto"/>
        <w:ind w:firstLine="709"/>
        <w:contextualSpacing/>
        <w:jc w:val="both"/>
        <w:rPr>
          <w:rFonts w:ascii="Times New Roman" w:eastAsia="Batang" w:hAnsi="Times New Roman" w:cs="Times New Roman"/>
          <w:sz w:val="28"/>
          <w:szCs w:val="28"/>
          <w:lang w:eastAsia="ru-RU"/>
        </w:rPr>
      </w:pPr>
      <w:proofErr w:type="gramStart"/>
      <w:r w:rsidRPr="005B0D7D">
        <w:rPr>
          <w:rFonts w:ascii="Times New Roman" w:eastAsia="Batang" w:hAnsi="Times New Roman" w:cs="Times New Roman"/>
          <w:sz w:val="28"/>
          <w:szCs w:val="28"/>
          <w:lang w:eastAsia="ru-RU"/>
        </w:rPr>
        <w:t>Проект планировки и проект межевания северо-западной производственной и коммунально-складской зоны города Ханты-Мансийска создает условия для размещения на данной территории следующих производственных объектов (наряду с торговыми, складскими и прочими): завод по переработке макулатуры, завод по переработке пластмасс, малое лесоперерабатывающее производство, малые предприятия пищевой промышленности, мясокомбинат, предприятия по переработке рыбы, полиграфическое производство, инкубатор, предприятие по переработке дикоросов, производство строительных блоков и материалов</w:t>
      </w:r>
      <w:proofErr w:type="gramEnd"/>
      <w:r w:rsidRPr="005B0D7D">
        <w:rPr>
          <w:rFonts w:ascii="Times New Roman" w:eastAsia="Batang" w:hAnsi="Times New Roman" w:cs="Times New Roman"/>
          <w:sz w:val="28"/>
          <w:szCs w:val="28"/>
          <w:lang w:eastAsia="ru-RU"/>
        </w:rPr>
        <w:t>, домостроительный завод, авторынок, предприятия автомобильного транспорта и связи.</w:t>
      </w:r>
    </w:p>
    <w:p w:rsidR="005B0D7D" w:rsidRPr="005B0D7D" w:rsidRDefault="005B0D7D" w:rsidP="005B0D7D">
      <w:p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Предлагается создать в городе следующие промышленные предприятия: </w:t>
      </w:r>
    </w:p>
    <w:p w:rsidR="005B0D7D" w:rsidRPr="005B0D7D" w:rsidRDefault="005B0D7D" w:rsidP="00193F39">
      <w:pPr>
        <w:numPr>
          <w:ilvl w:val="1"/>
          <w:numId w:val="1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цех по модернизации парка электродвигателей, применяемых в жилищно-коммунальном хозяйстве, а также на нефтепромыслах, в целях повышения их энергоэффективности;</w:t>
      </w:r>
    </w:p>
    <w:p w:rsidR="005B0D7D" w:rsidRPr="005B0D7D" w:rsidRDefault="005B0D7D" w:rsidP="00193F39">
      <w:pPr>
        <w:numPr>
          <w:ilvl w:val="1"/>
          <w:numId w:val="1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предприятие по очистке инженерных и технологических коммуникаций от накипи и внутренних отложений, которое предполагает использование </w:t>
      </w:r>
      <w:proofErr w:type="spellStart"/>
      <w:r w:rsidRPr="005B0D7D">
        <w:rPr>
          <w:rFonts w:ascii="Times New Roman" w:eastAsia="Batang" w:hAnsi="Times New Roman" w:cs="Times New Roman"/>
          <w:sz w:val="28"/>
          <w:szCs w:val="28"/>
          <w:lang w:eastAsia="ru-RU"/>
        </w:rPr>
        <w:t>биореагентов</w:t>
      </w:r>
      <w:proofErr w:type="spellEnd"/>
      <w:r w:rsidRPr="005B0D7D">
        <w:rPr>
          <w:rFonts w:ascii="Times New Roman" w:eastAsia="Batang" w:hAnsi="Times New Roman" w:cs="Times New Roman"/>
          <w:sz w:val="28"/>
          <w:szCs w:val="28"/>
          <w:lang w:eastAsia="ru-RU"/>
        </w:rPr>
        <w:t>, безопасных для окружающей среды;</w:t>
      </w:r>
    </w:p>
    <w:p w:rsidR="005B0D7D" w:rsidRPr="005B0D7D" w:rsidRDefault="005B0D7D" w:rsidP="00193F39">
      <w:pPr>
        <w:numPr>
          <w:ilvl w:val="1"/>
          <w:numId w:val="1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комплекс </w:t>
      </w:r>
      <w:proofErr w:type="gramStart"/>
      <w:r w:rsidRPr="005B0D7D">
        <w:rPr>
          <w:rFonts w:ascii="Times New Roman" w:eastAsia="Batang" w:hAnsi="Times New Roman" w:cs="Times New Roman"/>
          <w:sz w:val="28"/>
          <w:szCs w:val="28"/>
          <w:lang w:eastAsia="ru-RU"/>
        </w:rPr>
        <w:t>вакуум-импульсной</w:t>
      </w:r>
      <w:proofErr w:type="gramEnd"/>
      <w:r w:rsidRPr="005B0D7D">
        <w:rPr>
          <w:rFonts w:ascii="Times New Roman" w:eastAsia="Batang" w:hAnsi="Times New Roman" w:cs="Times New Roman"/>
          <w:sz w:val="28"/>
          <w:szCs w:val="28"/>
          <w:lang w:eastAsia="ru-RU"/>
        </w:rPr>
        <w:t xml:space="preserve"> сушки кругляка и пиломатериалов, позволяющий сушить древесину в 10-15 раз быстрее и, соответственно, в 2-3 раза </w:t>
      </w:r>
      <w:proofErr w:type="spellStart"/>
      <w:r w:rsidRPr="005B0D7D">
        <w:rPr>
          <w:rFonts w:ascii="Times New Roman" w:eastAsia="Batang" w:hAnsi="Times New Roman" w:cs="Times New Roman"/>
          <w:sz w:val="28"/>
          <w:szCs w:val="28"/>
          <w:lang w:eastAsia="ru-RU"/>
        </w:rPr>
        <w:t>энергоэффективнее</w:t>
      </w:r>
      <w:proofErr w:type="spellEnd"/>
      <w:r w:rsidRPr="005B0D7D">
        <w:rPr>
          <w:rFonts w:ascii="Times New Roman" w:eastAsia="Batang" w:hAnsi="Times New Roman" w:cs="Times New Roman"/>
          <w:sz w:val="28"/>
          <w:szCs w:val="28"/>
          <w:lang w:eastAsia="ru-RU"/>
        </w:rPr>
        <w:t xml:space="preserve"> имеющихся аналогов;</w:t>
      </w:r>
    </w:p>
    <w:p w:rsidR="005B0D7D" w:rsidRPr="005B0D7D" w:rsidRDefault="005B0D7D" w:rsidP="00193F39">
      <w:pPr>
        <w:numPr>
          <w:ilvl w:val="1"/>
          <w:numId w:val="1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lastRenderedPageBreak/>
        <w:t xml:space="preserve">цех по внедрению технологии </w:t>
      </w:r>
      <w:proofErr w:type="spellStart"/>
      <w:r w:rsidRPr="005B0D7D">
        <w:rPr>
          <w:rFonts w:ascii="Times New Roman" w:eastAsia="Batang" w:hAnsi="Times New Roman" w:cs="Times New Roman"/>
          <w:sz w:val="28"/>
          <w:szCs w:val="28"/>
          <w:lang w:eastAsia="ru-RU"/>
        </w:rPr>
        <w:t>кавитационной</w:t>
      </w:r>
      <w:proofErr w:type="spellEnd"/>
      <w:r w:rsidRPr="005B0D7D">
        <w:rPr>
          <w:rFonts w:ascii="Times New Roman" w:eastAsia="Batang" w:hAnsi="Times New Roman" w:cs="Times New Roman"/>
          <w:sz w:val="28"/>
          <w:szCs w:val="28"/>
          <w:lang w:eastAsia="ru-RU"/>
        </w:rPr>
        <w:t xml:space="preserve"> обработки флотского мазута в топливных системах низкого давления судов. Дооснащение топливной системы судов позволит повысить эффективность сжигания топлива и сократить эмиссию продуктов сгорания в окружающую среду.</w:t>
      </w:r>
    </w:p>
    <w:p w:rsidR="005B0D7D" w:rsidRPr="005B0D7D" w:rsidRDefault="005B0D7D" w:rsidP="00193F39">
      <w:pPr>
        <w:numPr>
          <w:ilvl w:val="1"/>
          <w:numId w:val="1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производство газобетона, работающее с использованием местного сырья. Современная технология позволяет производить газобетон без отходов, загрязняющих окружающую среду.</w:t>
      </w:r>
    </w:p>
    <w:p w:rsidR="005B0D7D" w:rsidRPr="005B0D7D" w:rsidRDefault="005B0D7D" w:rsidP="00193F39">
      <w:pPr>
        <w:numPr>
          <w:ilvl w:val="1"/>
          <w:numId w:val="1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предприятие по производству и внедрению инновационных технологий в дорожном строительстве. Использование полимерных эмульсий для укрепления грунтов позволит поддерживать целостность дорожного полотна в течение долгого времени после начала эксплуатации дороги.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Описание технических характеристик данных производств и особенностей их размещения приведено в Приложении 1.</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Также на территории города Ханты-Мансийска может быть организовано производство комплектов домов для деревянного малоэтажного строительства; производство тротуарной плитки и других строительных и отделочных материалов; производство деревянных игрушек; мебельный цех; консервный комбинат и другие виды производства.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Преимущественное развитие небольших экологически-чистых и экологически-ориентированных производств позволит Ханты-Мансийску сохранить статус города-заповедника и вместе с тем выйти на более высокий уровень экономической самообеспеченности и устойчивости. </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12" w:name="_Toc404211565"/>
      <w:bookmarkStart w:id="213" w:name="_Toc404218199"/>
      <w:bookmarkStart w:id="214" w:name="_Toc406591403"/>
      <w:bookmarkStart w:id="215" w:name="_Toc410639518"/>
      <w:bookmarkStart w:id="216" w:name="_Toc404211553"/>
      <w:bookmarkStart w:id="217" w:name="_Toc404218187"/>
      <w:r w:rsidRPr="005B0D7D">
        <w:rPr>
          <w:rFonts w:ascii="Times New Roman" w:eastAsia="Batang" w:hAnsi="Times New Roman" w:cs="Times New Roman"/>
          <w:b/>
          <w:bCs/>
          <w:sz w:val="28"/>
          <w:szCs w:val="28"/>
          <w:lang w:eastAsia="ko-KR"/>
        </w:rPr>
        <w:t xml:space="preserve">Задача 2. </w:t>
      </w:r>
      <w:bookmarkEnd w:id="212"/>
      <w:bookmarkEnd w:id="213"/>
      <w:r w:rsidRPr="005B0D7D">
        <w:rPr>
          <w:rFonts w:ascii="Times New Roman" w:eastAsia="Batang" w:hAnsi="Times New Roman" w:cs="Times New Roman"/>
          <w:b/>
          <w:bCs/>
          <w:sz w:val="28"/>
          <w:szCs w:val="28"/>
          <w:lang w:eastAsia="ko-KR"/>
        </w:rPr>
        <w:t>Развитие агропромышленного комплекса, местной пищевой промышленности</w:t>
      </w:r>
      <w:bookmarkEnd w:id="214"/>
      <w:bookmarkEnd w:id="215"/>
    </w:p>
    <w:p w:rsidR="005B0D7D" w:rsidRPr="005B0D7D" w:rsidRDefault="005B0D7D" w:rsidP="005B0D7D">
      <w:pPr>
        <w:spacing w:after="0" w:line="240" w:lineRule="auto"/>
        <w:ind w:firstLine="720"/>
        <w:jc w:val="both"/>
        <w:rPr>
          <w:rFonts w:ascii="Times New Roman" w:eastAsia="Batang" w:hAnsi="Times New Roman" w:cs="Times New Roman"/>
          <w:spacing w:val="1"/>
          <w:sz w:val="28"/>
          <w:szCs w:val="28"/>
          <w:lang w:eastAsia="ko-KR"/>
        </w:rPr>
      </w:pPr>
      <w:r w:rsidRPr="005B0D7D">
        <w:rPr>
          <w:rFonts w:ascii="Times New Roman" w:eastAsia="Batang" w:hAnsi="Times New Roman" w:cs="Times New Roman"/>
          <w:spacing w:val="1"/>
          <w:sz w:val="28"/>
          <w:szCs w:val="28"/>
          <w:u w:val="single"/>
          <w:lang w:eastAsia="ko-KR"/>
        </w:rPr>
        <w:t>Ориентир</w:t>
      </w:r>
      <w:r w:rsidRPr="005B0D7D">
        <w:rPr>
          <w:rFonts w:ascii="Times New Roman" w:eastAsia="Batang" w:hAnsi="Times New Roman" w:cs="Times New Roman"/>
          <w:spacing w:val="1"/>
          <w:sz w:val="28"/>
          <w:szCs w:val="28"/>
          <w:lang w:eastAsia="ko-KR"/>
        </w:rPr>
        <w:t xml:space="preserve"> – обеспечение продовольственной безопасности города, удовлетворение растущего спроса населения города на сельскохозяйственную продукцию путем создания условий для устойчивого развития агропромышленного комплекса, стимулирования инновационной деятельности в сельском хозяйстве, содействия продвижения продукции высокого качества как внутренние, так и на внешние рынки сбыта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Обеспечение развития агропромышленного комплекса и местной пищевой промышленности предполагает реализацию следующих направлений деятельности:</w:t>
      </w:r>
    </w:p>
    <w:p w:rsidR="005B0D7D" w:rsidRPr="005B0D7D" w:rsidRDefault="005B0D7D" w:rsidP="00193F39">
      <w:pPr>
        <w:numPr>
          <w:ilvl w:val="0"/>
          <w:numId w:val="39"/>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proofErr w:type="gramStart"/>
      <w:r w:rsidRPr="005B0D7D">
        <w:rPr>
          <w:rFonts w:ascii="Times New Roman" w:eastAsia="Batang" w:hAnsi="Times New Roman" w:cs="Times New Roman"/>
          <w:spacing w:val="1"/>
          <w:sz w:val="28"/>
          <w:szCs w:val="28"/>
          <w:lang w:eastAsia="ru-RU"/>
        </w:rPr>
        <w:t>Стимулирование создания новых и сохранения действующих сельскохозяйственных предприятий и крестьянских (фермерских) хозяйств в сферах животноводства, рыбоводства и растениеводства путем ф</w:t>
      </w:r>
      <w:r w:rsidRPr="005B0D7D">
        <w:rPr>
          <w:rFonts w:ascii="Times New Roman" w:eastAsia="Batang" w:hAnsi="Times New Roman" w:cs="Times New Roman"/>
          <w:sz w:val="28"/>
          <w:szCs w:val="28"/>
          <w:lang w:eastAsia="ru-RU"/>
        </w:rPr>
        <w:t xml:space="preserve">инансовой поддержки в виде грантов, субсидий, обеспечения доступа к дешевым кредитам, снижения процентных ставок по местным налогам, обращения в органы исполнительной власти окружного уровня с предложением о снижении региональных налогов в отношении конкретных хозяйств. </w:t>
      </w:r>
      <w:proofErr w:type="gramEnd"/>
    </w:p>
    <w:p w:rsidR="005B0D7D" w:rsidRPr="005B0D7D" w:rsidRDefault="005B0D7D" w:rsidP="00193F39">
      <w:pPr>
        <w:numPr>
          <w:ilvl w:val="0"/>
          <w:numId w:val="39"/>
        </w:numPr>
        <w:tabs>
          <w:tab w:val="left" w:pos="1134"/>
        </w:tabs>
        <w:spacing w:after="0" w:line="240" w:lineRule="auto"/>
        <w:ind w:left="0" w:firstLine="709"/>
        <w:contextualSpacing/>
        <w:jc w:val="both"/>
        <w:rPr>
          <w:rFonts w:ascii="Times New Roman" w:eastAsia="Batang" w:hAnsi="Times New Roman" w:cs="Times New Roman"/>
          <w:spacing w:val="1"/>
          <w:sz w:val="28"/>
          <w:szCs w:val="28"/>
          <w:lang w:eastAsia="ru-RU"/>
        </w:rPr>
      </w:pPr>
      <w:r w:rsidRPr="005B0D7D">
        <w:rPr>
          <w:rFonts w:ascii="Times New Roman" w:eastAsia="Batang" w:hAnsi="Times New Roman" w:cs="Times New Roman"/>
          <w:spacing w:val="1"/>
          <w:sz w:val="28"/>
          <w:szCs w:val="28"/>
          <w:lang w:eastAsia="ru-RU"/>
        </w:rPr>
        <w:t>Повышение интереса сельхозпроизводителей к внедрению инновационных разработок, в том числе в целях обеспечения доходности сельского хозяйства и пищевой промышленности – убыточного в современных условиях сектора экономики.</w:t>
      </w:r>
    </w:p>
    <w:p w:rsidR="005B0D7D" w:rsidRPr="005B0D7D" w:rsidRDefault="005B0D7D" w:rsidP="00193F39">
      <w:pPr>
        <w:numPr>
          <w:ilvl w:val="0"/>
          <w:numId w:val="39"/>
        </w:numPr>
        <w:tabs>
          <w:tab w:val="left" w:pos="1134"/>
        </w:tabs>
        <w:spacing w:after="0" w:line="240" w:lineRule="auto"/>
        <w:ind w:left="0" w:firstLine="709"/>
        <w:contextualSpacing/>
        <w:jc w:val="both"/>
        <w:rPr>
          <w:rFonts w:ascii="Times New Roman" w:eastAsia="Batang" w:hAnsi="Times New Roman" w:cs="Times New Roman"/>
          <w:spacing w:val="1"/>
          <w:sz w:val="28"/>
          <w:szCs w:val="28"/>
          <w:lang w:eastAsia="ru-RU"/>
        </w:rPr>
      </w:pPr>
      <w:r w:rsidRPr="005B0D7D">
        <w:rPr>
          <w:rFonts w:ascii="Times New Roman" w:eastAsia="Batang" w:hAnsi="Times New Roman" w:cs="Times New Roman"/>
          <w:spacing w:val="1"/>
          <w:sz w:val="28"/>
          <w:szCs w:val="28"/>
          <w:lang w:eastAsia="ru-RU"/>
        </w:rPr>
        <w:lastRenderedPageBreak/>
        <w:t>Формирование бренда продукции города Ханты-Мансийска. Необходимо создать условия, при которых производство пищевых продуктов будет не только безубыточным, но и интересным увлечением, почетным трудом на благо города.</w:t>
      </w:r>
    </w:p>
    <w:p w:rsidR="005B0D7D" w:rsidRPr="005B0D7D" w:rsidRDefault="005B0D7D" w:rsidP="00193F39">
      <w:pPr>
        <w:numPr>
          <w:ilvl w:val="0"/>
          <w:numId w:val="39"/>
        </w:numPr>
        <w:tabs>
          <w:tab w:val="left" w:pos="1134"/>
        </w:tabs>
        <w:spacing w:after="0" w:line="240" w:lineRule="auto"/>
        <w:ind w:left="0" w:firstLine="709"/>
        <w:contextualSpacing/>
        <w:jc w:val="both"/>
        <w:rPr>
          <w:rFonts w:ascii="Times New Roman" w:eastAsia="Batang" w:hAnsi="Times New Roman" w:cs="Times New Roman"/>
          <w:spacing w:val="1"/>
          <w:sz w:val="28"/>
          <w:szCs w:val="28"/>
          <w:lang w:eastAsia="ru-RU"/>
        </w:rPr>
      </w:pPr>
      <w:r w:rsidRPr="005B0D7D">
        <w:rPr>
          <w:rFonts w:ascii="Times New Roman" w:eastAsia="Batang" w:hAnsi="Times New Roman" w:cs="Times New Roman"/>
          <w:spacing w:val="1"/>
          <w:sz w:val="28"/>
          <w:szCs w:val="28"/>
          <w:lang w:eastAsia="ru-RU"/>
        </w:rPr>
        <w:t>Проведение маркетинговых исследований в целях содействия предпринимателям в получении информац</w:t>
      </w:r>
      <w:proofErr w:type="gramStart"/>
      <w:r w:rsidRPr="005B0D7D">
        <w:rPr>
          <w:rFonts w:ascii="Times New Roman" w:eastAsia="Batang" w:hAnsi="Times New Roman" w:cs="Times New Roman"/>
          <w:spacing w:val="1"/>
          <w:sz w:val="28"/>
          <w:szCs w:val="28"/>
          <w:lang w:eastAsia="ru-RU"/>
        </w:rPr>
        <w:t>ии о е</w:t>
      </w:r>
      <w:proofErr w:type="gramEnd"/>
      <w:r w:rsidRPr="005B0D7D">
        <w:rPr>
          <w:rFonts w:ascii="Times New Roman" w:eastAsia="Batang" w:hAnsi="Times New Roman" w:cs="Times New Roman"/>
          <w:spacing w:val="1"/>
          <w:sz w:val="28"/>
          <w:szCs w:val="28"/>
          <w:lang w:eastAsia="ru-RU"/>
        </w:rPr>
        <w:t xml:space="preserve">мкости местного рынка. </w:t>
      </w:r>
    </w:p>
    <w:p w:rsidR="005B0D7D" w:rsidRPr="005B0D7D" w:rsidRDefault="005B0D7D" w:rsidP="00193F39">
      <w:pPr>
        <w:numPr>
          <w:ilvl w:val="0"/>
          <w:numId w:val="39"/>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pacing w:val="1"/>
          <w:sz w:val="28"/>
          <w:szCs w:val="28"/>
          <w:lang w:eastAsia="ru-RU"/>
        </w:rPr>
        <w:t xml:space="preserve">Обеспечение гарантированного доступа местных товаропроизводителей на </w:t>
      </w:r>
      <w:r w:rsidRPr="005B0D7D">
        <w:rPr>
          <w:rFonts w:ascii="Times New Roman" w:eastAsia="Batang" w:hAnsi="Times New Roman" w:cs="Times New Roman"/>
          <w:sz w:val="28"/>
          <w:szCs w:val="28"/>
          <w:lang w:eastAsia="ru-RU"/>
        </w:rPr>
        <w:t>рынки города, напрямую к покупателю. Организация ярмарок выходного дня в микрорайонах города. В перспективе, при условии развития системы общественного самоуправления, возможно создание механизма реализации дешевых и экологически чистых продуктов в рамках соседских сообществ.</w:t>
      </w:r>
    </w:p>
    <w:p w:rsidR="005B0D7D" w:rsidRPr="005B0D7D" w:rsidRDefault="005B0D7D" w:rsidP="00193F39">
      <w:pPr>
        <w:numPr>
          <w:ilvl w:val="0"/>
          <w:numId w:val="39"/>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Задействование сельскохозяйственного потенциала ханты-мансийской агломерации и других территорий для обеспечения продовольственной безопасности города. Предполагается создание многоконтурной системы продовольственной безопасности, в рамках которой спрос населения на продукты питания будет удовлетворяться при возможности в ближайшем контуре, а при дефиците либо отсутствии соответствующих продуктов – потребность будет передаваться на следующий контур. Основные контуры – это город Ханты-Мансийск; Ханты-Мансийский район и иные ближайшие территории; Тюменская область; Урал; иные регионы России; зарубежные страны. </w:t>
      </w:r>
    </w:p>
    <w:p w:rsidR="005B0D7D" w:rsidRPr="005B0D7D" w:rsidRDefault="005B0D7D" w:rsidP="00193F39">
      <w:pPr>
        <w:numPr>
          <w:ilvl w:val="0"/>
          <w:numId w:val="39"/>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pacing w:val="1"/>
          <w:sz w:val="28"/>
          <w:szCs w:val="28"/>
          <w:lang w:eastAsia="ru-RU"/>
        </w:rPr>
        <w:t xml:space="preserve">Обеспечение доступа граждан, ведущих личные подсобные хозяйства, на рынки города. </w:t>
      </w:r>
      <w:r w:rsidRPr="005B0D7D">
        <w:rPr>
          <w:rFonts w:ascii="Times New Roman" w:eastAsia="Batang" w:hAnsi="Times New Roman" w:cs="Times New Roman"/>
          <w:sz w:val="28"/>
          <w:szCs w:val="28"/>
          <w:lang w:eastAsia="ru-RU"/>
        </w:rPr>
        <w:t>Поддержка выращивания сельскохозяйственной продукции на дачных участках, в частности, путем предоставления льготного проезда на отдельных маршрутах общественного транспорта.</w:t>
      </w:r>
    </w:p>
    <w:p w:rsidR="005B0D7D" w:rsidRPr="005B0D7D" w:rsidRDefault="005B0D7D" w:rsidP="00193F39">
      <w:pPr>
        <w:numPr>
          <w:ilvl w:val="0"/>
          <w:numId w:val="39"/>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Создание условий для развития </w:t>
      </w:r>
      <w:proofErr w:type="gramStart"/>
      <w:r w:rsidRPr="005B0D7D">
        <w:rPr>
          <w:rFonts w:ascii="Times New Roman" w:eastAsia="Batang" w:hAnsi="Times New Roman" w:cs="Times New Roman"/>
          <w:sz w:val="28"/>
          <w:szCs w:val="28"/>
          <w:lang w:eastAsia="ru-RU"/>
        </w:rPr>
        <w:t>кооперации сельхозпроизводителей, позволяющей осуществлять централизованные закупки сырья и сбыт</w:t>
      </w:r>
      <w:proofErr w:type="gramEnd"/>
      <w:r w:rsidRPr="005B0D7D">
        <w:rPr>
          <w:rFonts w:ascii="Times New Roman" w:eastAsia="Batang" w:hAnsi="Times New Roman" w:cs="Times New Roman"/>
          <w:sz w:val="28"/>
          <w:szCs w:val="28"/>
          <w:lang w:eastAsia="ru-RU"/>
        </w:rPr>
        <w:t xml:space="preserve"> готовой продукции, представлять их интересы и организовывать мелкие производства в частных подворьях.</w:t>
      </w:r>
    </w:p>
    <w:p w:rsidR="005B0D7D" w:rsidRPr="005B0D7D" w:rsidRDefault="005B0D7D" w:rsidP="005B0D7D">
      <w:pPr>
        <w:spacing w:after="0" w:line="240" w:lineRule="auto"/>
        <w:ind w:firstLine="720"/>
        <w:jc w:val="both"/>
        <w:rPr>
          <w:rFonts w:ascii="Times New Roman" w:eastAsia="Batang" w:hAnsi="Times New Roman" w:cs="Times New Roman"/>
          <w:spacing w:val="1"/>
          <w:sz w:val="28"/>
          <w:szCs w:val="28"/>
          <w:lang w:eastAsia="ko-KR"/>
        </w:rPr>
      </w:pPr>
      <w:r w:rsidRPr="005B0D7D">
        <w:rPr>
          <w:rFonts w:ascii="Times New Roman" w:eastAsia="Batang" w:hAnsi="Times New Roman" w:cs="Times New Roman"/>
          <w:spacing w:val="1"/>
          <w:sz w:val="28"/>
          <w:szCs w:val="28"/>
          <w:lang w:eastAsia="ko-KR"/>
        </w:rPr>
        <w:t xml:space="preserve">В части развития агропромышленного комплекса предлагается на территории северо-западной промышленной зоны города Ханты-Мансийска создать </w:t>
      </w:r>
      <w:proofErr w:type="spellStart"/>
      <w:r w:rsidRPr="005B0D7D">
        <w:rPr>
          <w:rFonts w:ascii="Times New Roman" w:eastAsia="Batang" w:hAnsi="Times New Roman" w:cs="Times New Roman"/>
          <w:spacing w:val="1"/>
          <w:sz w:val="28"/>
          <w:szCs w:val="28"/>
          <w:lang w:eastAsia="ko-KR"/>
        </w:rPr>
        <w:t>Агротехнопарк</w:t>
      </w:r>
      <w:proofErr w:type="spellEnd"/>
      <w:r w:rsidRPr="005B0D7D">
        <w:rPr>
          <w:rFonts w:ascii="Times New Roman" w:eastAsia="Batang" w:hAnsi="Times New Roman" w:cs="Times New Roman"/>
          <w:spacing w:val="1"/>
          <w:sz w:val="28"/>
          <w:szCs w:val="28"/>
          <w:lang w:eastAsia="ko-KR"/>
        </w:rPr>
        <w:t xml:space="preserve">. Приоритетными направлениями деятельности </w:t>
      </w:r>
      <w:proofErr w:type="spellStart"/>
      <w:r w:rsidRPr="005B0D7D">
        <w:rPr>
          <w:rFonts w:ascii="Times New Roman" w:eastAsia="Batang" w:hAnsi="Times New Roman" w:cs="Times New Roman"/>
          <w:spacing w:val="1"/>
          <w:sz w:val="28"/>
          <w:szCs w:val="28"/>
          <w:lang w:eastAsia="ko-KR"/>
        </w:rPr>
        <w:t>Агропарка</w:t>
      </w:r>
      <w:proofErr w:type="spellEnd"/>
      <w:r w:rsidRPr="005B0D7D">
        <w:rPr>
          <w:rFonts w:ascii="Times New Roman" w:eastAsia="Batang" w:hAnsi="Times New Roman" w:cs="Times New Roman"/>
          <w:spacing w:val="1"/>
          <w:sz w:val="28"/>
          <w:szCs w:val="28"/>
          <w:lang w:eastAsia="ko-KR"/>
        </w:rPr>
        <w:t xml:space="preserve"> станут 1) ставка на инновационные технологии и 2) ставка на кооперацию. В перспективе </w:t>
      </w:r>
      <w:proofErr w:type="spellStart"/>
      <w:r w:rsidRPr="005B0D7D">
        <w:rPr>
          <w:rFonts w:ascii="Times New Roman" w:eastAsia="Batang" w:hAnsi="Times New Roman" w:cs="Times New Roman"/>
          <w:spacing w:val="1"/>
          <w:sz w:val="28"/>
          <w:szCs w:val="28"/>
          <w:lang w:eastAsia="ko-KR"/>
        </w:rPr>
        <w:t>Агропарк</w:t>
      </w:r>
      <w:proofErr w:type="spellEnd"/>
      <w:r w:rsidRPr="005B0D7D">
        <w:rPr>
          <w:rFonts w:ascii="Times New Roman" w:eastAsia="Batang" w:hAnsi="Times New Roman" w:cs="Times New Roman"/>
          <w:spacing w:val="1"/>
          <w:sz w:val="28"/>
          <w:szCs w:val="28"/>
          <w:lang w:eastAsia="ko-KR"/>
        </w:rPr>
        <w:t xml:space="preserve"> может стать экспериментальной площадкой планируемого к созданию Югорского исследовательского центра Российской Академии наук. В рамках </w:t>
      </w:r>
      <w:proofErr w:type="spellStart"/>
      <w:r w:rsidRPr="005B0D7D">
        <w:rPr>
          <w:rFonts w:ascii="Times New Roman" w:eastAsia="Batang" w:hAnsi="Times New Roman" w:cs="Times New Roman"/>
          <w:spacing w:val="1"/>
          <w:sz w:val="28"/>
          <w:szCs w:val="28"/>
          <w:lang w:eastAsia="ko-KR"/>
        </w:rPr>
        <w:t>Агропарка</w:t>
      </w:r>
      <w:proofErr w:type="spellEnd"/>
      <w:r w:rsidRPr="005B0D7D">
        <w:rPr>
          <w:rFonts w:ascii="Times New Roman" w:eastAsia="Batang" w:hAnsi="Times New Roman" w:cs="Times New Roman"/>
          <w:spacing w:val="1"/>
          <w:sz w:val="28"/>
          <w:szCs w:val="28"/>
          <w:lang w:eastAsia="ko-KR"/>
        </w:rPr>
        <w:t xml:space="preserve"> целесообразно разместить следующие производства:</w:t>
      </w:r>
    </w:p>
    <w:p w:rsidR="005B0D7D" w:rsidRPr="005B0D7D" w:rsidRDefault="005B0D7D" w:rsidP="00193F39">
      <w:pPr>
        <w:numPr>
          <w:ilvl w:val="0"/>
          <w:numId w:val="38"/>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Тепличное хозяйство. Современные технологии позволяют обеспечивать большой выход продукции без использования в качестве удобрений веществ, вредных для организма человека. С учетом предполагаемого создания крупного тепличного хозяйства на территории Ханты-Мансийского района городские теплицы могут специализироваться не на массовом производстве продукции растениеводства, а на внедрении опытно-экспериментальных разработок и инновационных технологий. К тому же целесообразно стимулировать население к созданию теплиц в рамках личных подсобных хозяйств, чему будет способствовать организация ресурсного центра. Данная модель взаимодействия </w:t>
      </w:r>
      <w:r w:rsidRPr="005B0D7D">
        <w:rPr>
          <w:rFonts w:ascii="Times New Roman" w:eastAsia="Batang" w:hAnsi="Times New Roman" w:cs="Times New Roman"/>
          <w:sz w:val="28"/>
          <w:szCs w:val="28"/>
          <w:lang w:eastAsia="ru-RU"/>
        </w:rPr>
        <w:lastRenderedPageBreak/>
        <w:t>кооператива и частных производителей обеспечит гибкость производства по срокам, номенклатуре и объемам.</w:t>
      </w:r>
    </w:p>
    <w:p w:rsidR="005B0D7D" w:rsidRPr="005B0D7D" w:rsidRDefault="005B0D7D" w:rsidP="00193F39">
      <w:pPr>
        <w:numPr>
          <w:ilvl w:val="0"/>
          <w:numId w:val="38"/>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Цех по производству </w:t>
      </w:r>
      <w:proofErr w:type="spellStart"/>
      <w:r w:rsidRPr="005B0D7D">
        <w:rPr>
          <w:rFonts w:ascii="Times New Roman" w:eastAsia="Batang" w:hAnsi="Times New Roman" w:cs="Times New Roman"/>
          <w:sz w:val="28"/>
          <w:szCs w:val="28"/>
          <w:lang w:eastAsia="ru-RU"/>
        </w:rPr>
        <w:t>экочерноземов</w:t>
      </w:r>
      <w:proofErr w:type="spellEnd"/>
      <w:r w:rsidRPr="005B0D7D">
        <w:rPr>
          <w:rFonts w:ascii="Times New Roman" w:eastAsia="Batang" w:hAnsi="Times New Roman" w:cs="Times New Roman"/>
          <w:sz w:val="28"/>
          <w:szCs w:val="28"/>
          <w:lang w:eastAsia="ru-RU"/>
        </w:rPr>
        <w:t xml:space="preserve">, в том числе для </w:t>
      </w:r>
      <w:proofErr w:type="gramStart"/>
      <w:r w:rsidRPr="005B0D7D">
        <w:rPr>
          <w:rFonts w:ascii="Times New Roman" w:eastAsia="Batang" w:hAnsi="Times New Roman" w:cs="Times New Roman"/>
          <w:sz w:val="28"/>
          <w:szCs w:val="28"/>
          <w:lang w:eastAsia="ru-RU"/>
        </w:rPr>
        <w:t>тепличного</w:t>
      </w:r>
      <w:proofErr w:type="gramEnd"/>
      <w:r w:rsidRPr="005B0D7D">
        <w:rPr>
          <w:rFonts w:ascii="Times New Roman" w:eastAsia="Batang" w:hAnsi="Times New Roman" w:cs="Times New Roman"/>
          <w:sz w:val="28"/>
          <w:szCs w:val="28"/>
          <w:lang w:eastAsia="ru-RU"/>
        </w:rPr>
        <w:t xml:space="preserve"> </w:t>
      </w:r>
      <w:proofErr w:type="spellStart"/>
      <w:r w:rsidRPr="005B0D7D">
        <w:rPr>
          <w:rFonts w:ascii="Times New Roman" w:eastAsia="Batang" w:hAnsi="Times New Roman" w:cs="Times New Roman"/>
          <w:sz w:val="28"/>
          <w:szCs w:val="28"/>
          <w:lang w:eastAsia="ru-RU"/>
        </w:rPr>
        <w:t>хохяйства</w:t>
      </w:r>
      <w:proofErr w:type="spellEnd"/>
      <w:r w:rsidRPr="005B0D7D">
        <w:rPr>
          <w:rFonts w:ascii="Times New Roman" w:eastAsia="Batang" w:hAnsi="Times New Roman" w:cs="Times New Roman"/>
          <w:sz w:val="28"/>
          <w:szCs w:val="28"/>
          <w:lang w:eastAsia="ru-RU"/>
        </w:rPr>
        <w:t xml:space="preserve">. Данное производство обеспечивает получение питательного грунта для теплиц с использованием торфа и, вместе с тем, позволяет избавиться от илистых отложений, опилок и отдельных компонентов строительного и бытового мусора, которые используются в качестве питательной среды для червей и микроорганизмов  – производителей грунта. </w:t>
      </w:r>
    </w:p>
    <w:p w:rsidR="005B0D7D" w:rsidRPr="005B0D7D" w:rsidRDefault="005B0D7D" w:rsidP="00193F39">
      <w:pPr>
        <w:numPr>
          <w:ilvl w:val="0"/>
          <w:numId w:val="38"/>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Рекультивация торфяников. Обогащение торфа с использованием червей особого вида позволяет получать </w:t>
      </w:r>
      <w:proofErr w:type="spellStart"/>
      <w:r w:rsidRPr="005B0D7D">
        <w:rPr>
          <w:rFonts w:ascii="Times New Roman" w:eastAsia="Batang" w:hAnsi="Times New Roman" w:cs="Times New Roman"/>
          <w:sz w:val="28"/>
          <w:szCs w:val="28"/>
          <w:lang w:eastAsia="ru-RU"/>
        </w:rPr>
        <w:t>экочернозем</w:t>
      </w:r>
      <w:proofErr w:type="spellEnd"/>
      <w:r w:rsidRPr="005B0D7D">
        <w:rPr>
          <w:rFonts w:ascii="Times New Roman" w:eastAsia="Batang" w:hAnsi="Times New Roman" w:cs="Times New Roman"/>
          <w:sz w:val="28"/>
          <w:szCs w:val="28"/>
          <w:lang w:eastAsia="ru-RU"/>
        </w:rPr>
        <w:t xml:space="preserve"> и уменьшить содержание радионуклидов в растениях, попутно используя образующееся тепло и углекислый газ.</w:t>
      </w:r>
    </w:p>
    <w:p w:rsidR="005B0D7D" w:rsidRPr="005B0D7D" w:rsidRDefault="005B0D7D" w:rsidP="00193F39">
      <w:pPr>
        <w:numPr>
          <w:ilvl w:val="0"/>
          <w:numId w:val="38"/>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Сушка и </w:t>
      </w:r>
      <w:proofErr w:type="spellStart"/>
      <w:r w:rsidRPr="005B0D7D">
        <w:rPr>
          <w:rFonts w:ascii="Times New Roman" w:eastAsia="Batang" w:hAnsi="Times New Roman" w:cs="Times New Roman"/>
          <w:sz w:val="28"/>
          <w:szCs w:val="28"/>
          <w:lang w:eastAsia="ru-RU"/>
        </w:rPr>
        <w:t>сокодоработка</w:t>
      </w:r>
      <w:proofErr w:type="spellEnd"/>
      <w:r w:rsidRPr="005B0D7D">
        <w:rPr>
          <w:rFonts w:ascii="Times New Roman" w:eastAsia="Batang" w:hAnsi="Times New Roman" w:cs="Times New Roman"/>
          <w:sz w:val="28"/>
          <w:szCs w:val="28"/>
          <w:lang w:eastAsia="ru-RU"/>
        </w:rPr>
        <w:t xml:space="preserve"> дикоросов. Использование инновационных видов оборудования позволяет в 2-3 раза снизить </w:t>
      </w:r>
      <w:proofErr w:type="spellStart"/>
      <w:r w:rsidRPr="005B0D7D">
        <w:rPr>
          <w:rFonts w:ascii="Times New Roman" w:eastAsia="Batang" w:hAnsi="Times New Roman" w:cs="Times New Roman"/>
          <w:sz w:val="28"/>
          <w:szCs w:val="28"/>
          <w:lang w:eastAsia="ru-RU"/>
        </w:rPr>
        <w:t>энергозатраты</w:t>
      </w:r>
      <w:proofErr w:type="spellEnd"/>
      <w:r w:rsidRPr="005B0D7D">
        <w:rPr>
          <w:rFonts w:ascii="Times New Roman" w:eastAsia="Batang" w:hAnsi="Times New Roman" w:cs="Times New Roman"/>
          <w:sz w:val="28"/>
          <w:szCs w:val="28"/>
          <w:lang w:eastAsia="ru-RU"/>
        </w:rPr>
        <w:t xml:space="preserve"> и, соответственно, уменьшить себестоимость получаемой продукции по сравнению с аналогами. Обрабатываемый продукт за счет минимального нагрева, отсутствия контакта с кислородом и отсутствия </w:t>
      </w:r>
      <w:proofErr w:type="spellStart"/>
      <w:r w:rsidRPr="005B0D7D">
        <w:rPr>
          <w:rFonts w:ascii="Times New Roman" w:eastAsia="Batang" w:hAnsi="Times New Roman" w:cs="Times New Roman"/>
          <w:sz w:val="28"/>
          <w:szCs w:val="28"/>
          <w:lang w:eastAsia="ru-RU"/>
        </w:rPr>
        <w:t>бакобсеменения</w:t>
      </w:r>
      <w:proofErr w:type="spellEnd"/>
      <w:r w:rsidRPr="005B0D7D">
        <w:rPr>
          <w:rFonts w:ascii="Times New Roman" w:eastAsia="Batang" w:hAnsi="Times New Roman" w:cs="Times New Roman"/>
          <w:sz w:val="28"/>
          <w:szCs w:val="28"/>
          <w:lang w:eastAsia="ru-RU"/>
        </w:rPr>
        <w:t xml:space="preserve"> в процессе переработки отличается высоким качеством и биологической активностью. Данная технология позволяет обеспечить выпуск новой линейки сухих и жидких продуктов питания с использованием дикоросов.</w:t>
      </w:r>
    </w:p>
    <w:p w:rsidR="005B0D7D" w:rsidRPr="005B0D7D" w:rsidRDefault="005B0D7D" w:rsidP="00193F39">
      <w:pPr>
        <w:numPr>
          <w:ilvl w:val="0"/>
          <w:numId w:val="38"/>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Птицефабрика. Создание инкубатора обеспечит население города высококачественным мясом птицы, в первую очередь охлажденными продуктами. Организация Ресурсного центра птицеводства будет на принципах кооперации обеспечивать частные подворья поголовьем различных пород птицы, в том числе ценных пород, для разведения и выращивания в домашних условиях. </w:t>
      </w:r>
    </w:p>
    <w:p w:rsidR="005B0D7D" w:rsidRPr="005B0D7D" w:rsidRDefault="005B0D7D" w:rsidP="00193F39">
      <w:pPr>
        <w:numPr>
          <w:ilvl w:val="0"/>
          <w:numId w:val="38"/>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Цех по выпечке </w:t>
      </w:r>
      <w:proofErr w:type="spellStart"/>
      <w:r w:rsidRPr="005B0D7D">
        <w:rPr>
          <w:rFonts w:ascii="Times New Roman" w:eastAsia="Batang" w:hAnsi="Times New Roman" w:cs="Times New Roman"/>
          <w:sz w:val="28"/>
          <w:szCs w:val="28"/>
          <w:lang w:eastAsia="ru-RU"/>
        </w:rPr>
        <w:t>бездрожжевого</w:t>
      </w:r>
      <w:proofErr w:type="spellEnd"/>
      <w:r w:rsidRPr="005B0D7D">
        <w:rPr>
          <w:rFonts w:ascii="Times New Roman" w:eastAsia="Batang" w:hAnsi="Times New Roman" w:cs="Times New Roman"/>
          <w:sz w:val="28"/>
          <w:szCs w:val="28"/>
          <w:lang w:eastAsia="ru-RU"/>
        </w:rPr>
        <w:t xml:space="preserve"> зернового хлеба. Употребление в пищу хлеба, выпекаемого без разрыхлителей и других химических добавок из измельчённого и ферментированного в жидкой среде цельного зерна, способствует укреплению здоровья и увеличению продолжительности жизни человека.</w:t>
      </w:r>
    </w:p>
    <w:p w:rsidR="005B0D7D" w:rsidRPr="005B0D7D" w:rsidRDefault="005B0D7D" w:rsidP="00193F39">
      <w:pPr>
        <w:numPr>
          <w:ilvl w:val="0"/>
          <w:numId w:val="38"/>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pacing w:val="2"/>
          <w:sz w:val="28"/>
          <w:szCs w:val="28"/>
          <w:lang w:eastAsia="ru-RU"/>
        </w:rPr>
        <w:t xml:space="preserve">Завод </w:t>
      </w:r>
      <w:r w:rsidRPr="005B0D7D">
        <w:rPr>
          <w:rFonts w:ascii="Times New Roman" w:eastAsia="Batang" w:hAnsi="Times New Roman" w:cs="Times New Roman"/>
          <w:sz w:val="28"/>
          <w:szCs w:val="28"/>
          <w:lang w:eastAsia="ru-RU"/>
        </w:rPr>
        <w:t xml:space="preserve">по глубокой переработке рыбы с использованием инновационного оборудования. </w:t>
      </w:r>
    </w:p>
    <w:p w:rsidR="005B0D7D" w:rsidRPr="005B0D7D" w:rsidRDefault="005B0D7D" w:rsidP="00193F39">
      <w:pPr>
        <w:numPr>
          <w:ilvl w:val="0"/>
          <w:numId w:val="38"/>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Рыборазводный завод по воспроизводству ценных видов промысловых рыб – также с использованием инновационного оборудования.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Описание технических характеристик отдельных предложенных производств и особенностей их размещения приведено в Приложении 1.</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Итак, обеспечение продовольственной безопасности позволит сдерживать цены на поступающую сельскохозяйственную продукцию из других регионов, сохранять здоровье как нынешнего, так и будущих поколений жителей города, увеличивать продолжительность жизни, улучшать экологическую обстановку и раскрывать социальный потенциал населения.</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18" w:name="_Toc406591404"/>
      <w:bookmarkStart w:id="219" w:name="_Toc410639519"/>
      <w:bookmarkStart w:id="220" w:name="_Toc404211557"/>
      <w:bookmarkStart w:id="221" w:name="_Toc404218191"/>
      <w:r w:rsidRPr="005B0D7D">
        <w:rPr>
          <w:rFonts w:ascii="Times New Roman" w:eastAsia="Batang" w:hAnsi="Times New Roman" w:cs="Times New Roman"/>
          <w:b/>
          <w:bCs/>
          <w:sz w:val="28"/>
          <w:szCs w:val="28"/>
          <w:lang w:eastAsia="ko-KR"/>
        </w:rPr>
        <w:t>Задача 3. Обеспечение благоприятного инвестиционного климата</w:t>
      </w:r>
      <w:bookmarkEnd w:id="218"/>
      <w:bookmarkEnd w:id="21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обеспечение на территории города Ханты-Мансийка благоприятного инвестиционного климата, мобилизация внутренних и </w:t>
      </w:r>
      <w:r w:rsidRPr="005B0D7D">
        <w:rPr>
          <w:rFonts w:ascii="Times New Roman" w:eastAsia="Batang" w:hAnsi="Times New Roman" w:cs="Times New Roman"/>
          <w:sz w:val="28"/>
          <w:szCs w:val="28"/>
          <w:lang w:eastAsia="ko-KR"/>
        </w:rPr>
        <w:lastRenderedPageBreak/>
        <w:t xml:space="preserve">увеличение притока внешних инвестиционных ресурсов путем совершенствования системы сопровождения и инфраструктурного </w:t>
      </w:r>
      <w:proofErr w:type="gramStart"/>
      <w:r w:rsidRPr="005B0D7D">
        <w:rPr>
          <w:rFonts w:ascii="Times New Roman" w:eastAsia="Batang" w:hAnsi="Times New Roman" w:cs="Times New Roman"/>
          <w:sz w:val="28"/>
          <w:szCs w:val="28"/>
          <w:lang w:eastAsia="ko-KR"/>
        </w:rPr>
        <w:t>обеспечения</w:t>
      </w:r>
      <w:proofErr w:type="gramEnd"/>
      <w:r w:rsidRPr="005B0D7D">
        <w:rPr>
          <w:rFonts w:ascii="Times New Roman" w:eastAsia="Batang" w:hAnsi="Times New Roman" w:cs="Times New Roman"/>
          <w:sz w:val="28"/>
          <w:szCs w:val="28"/>
          <w:lang w:eastAsia="ko-KR"/>
        </w:rPr>
        <w:t xml:space="preserve"> значимых для города инвестиционных проектов, поддержки реального сектора экономики и инновационной деятельности.</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Ханты-Мансийску как административному центру региона больше всего подходит роль субъекта инвестиционной политики, не подстраивающегося под требования инвесторов, а самостоятельно задающего ориентиры.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Стратегическими ориентирами инвестиционного развития отраслей, представленных в городе Ханты-Мансийске, является технологическое обновление производственных мощностей, внедрение энергосберегающих и ресурсосберегающих технологий, получение продукции с высокой добавленной стоимостью и, как следствие, увеличение объёма инвестиций, диверсификация экономики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качестве основных направлений обеспечения благоприятного инвестиционного климата предусмотрены:</w:t>
      </w:r>
    </w:p>
    <w:p w:rsidR="005B0D7D" w:rsidRPr="005B0D7D" w:rsidRDefault="005B0D7D" w:rsidP="00193F39">
      <w:pPr>
        <w:numPr>
          <w:ilvl w:val="0"/>
          <w:numId w:val="40"/>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Разработка Инвестиционного паспорта города Ханты-Мансийска, который обеспечит реализацию инвестиционных возможностей города,  более результативное взаимодействие между властью и бизнесом, регулирование инвестиционной деятельности по следующим аспектам:</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Снижение административных барьеров. Разработка системы мер, направленных на уменьшение количества согласований (разрешений) в сфере строительства и сокращение сроков формирования и предоставления земельных участков, предназначенных для строительства.</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Укрепление сотрудничества с организациями окружной инвестиционной инфраструктуры. </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Расширение практики использования механизмов государственно-частного партнерства и иных форм оказания инвесторам финансовой поддержки.</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Стимулирование инвестиционной активности хозяйствующих субъектов.</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Совершенствование системы отбора и сопровождения значимых инвестиционных проектов в части дифференциации форм поддержки инвестиционных проектов в зависимости от приоритетности.</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Содействие модернизации существующих и созданию новых производств, внедрению энергосберегающих технологий.</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Развитие инвестиционной инфраструктуры, в том числе модернизация коммунальных сетей и подведение их к вновь сформированным инвестиционным площадкам.</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Обеспечение приживаемости перспективных производств путем содействия в налаживании контактов производителей с поставщиками, </w:t>
      </w:r>
      <w:proofErr w:type="spellStart"/>
      <w:r w:rsidRPr="005B0D7D">
        <w:rPr>
          <w:rFonts w:ascii="Times New Roman" w:eastAsia="Batang" w:hAnsi="Times New Roman" w:cs="Times New Roman"/>
          <w:sz w:val="28"/>
          <w:szCs w:val="28"/>
          <w:lang w:eastAsia="ru-RU"/>
        </w:rPr>
        <w:t>выставочно</w:t>
      </w:r>
      <w:proofErr w:type="spellEnd"/>
      <w:r w:rsidRPr="005B0D7D">
        <w:rPr>
          <w:rFonts w:ascii="Times New Roman" w:eastAsia="Batang" w:hAnsi="Times New Roman" w:cs="Times New Roman"/>
          <w:sz w:val="28"/>
          <w:szCs w:val="28"/>
          <w:lang w:eastAsia="ru-RU"/>
        </w:rPr>
        <w:t>-ярмарочной деятельности.</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Проведение </w:t>
      </w:r>
      <w:proofErr w:type="gramStart"/>
      <w:r w:rsidRPr="005B0D7D">
        <w:rPr>
          <w:rFonts w:ascii="Times New Roman" w:eastAsia="Batang" w:hAnsi="Times New Roman" w:cs="Times New Roman"/>
          <w:sz w:val="28"/>
          <w:szCs w:val="28"/>
          <w:lang w:eastAsia="ru-RU"/>
        </w:rPr>
        <w:t>анализа эффективности работы каналов прямой связи инвесторов</w:t>
      </w:r>
      <w:proofErr w:type="gramEnd"/>
      <w:r w:rsidRPr="005B0D7D">
        <w:rPr>
          <w:rFonts w:ascii="Times New Roman" w:eastAsia="Batang" w:hAnsi="Times New Roman" w:cs="Times New Roman"/>
          <w:sz w:val="28"/>
          <w:szCs w:val="28"/>
          <w:lang w:eastAsia="ru-RU"/>
        </w:rPr>
        <w:t xml:space="preserve"> и руководства муниципального образования для оперативного решения вопросов, возникающих в процессе инвестиционной деятельности.</w:t>
      </w:r>
    </w:p>
    <w:p w:rsidR="005B0D7D" w:rsidRPr="005B0D7D" w:rsidRDefault="005B0D7D" w:rsidP="0085547B">
      <w:pPr>
        <w:numPr>
          <w:ilvl w:val="1"/>
          <w:numId w:val="49"/>
        </w:numPr>
        <w:tabs>
          <w:tab w:val="left" w:pos="1134"/>
        </w:tabs>
        <w:spacing w:after="0" w:line="240" w:lineRule="auto"/>
        <w:ind w:left="142" w:firstLine="567"/>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lastRenderedPageBreak/>
        <w:t xml:space="preserve">Формирование </w:t>
      </w:r>
      <w:proofErr w:type="spellStart"/>
      <w:r w:rsidRPr="005B0D7D">
        <w:rPr>
          <w:rFonts w:ascii="Times New Roman" w:eastAsia="Batang" w:hAnsi="Times New Roman" w:cs="Times New Roman"/>
          <w:sz w:val="28"/>
          <w:szCs w:val="28"/>
          <w:lang w:eastAsia="ru-RU"/>
        </w:rPr>
        <w:t>имиджевой</w:t>
      </w:r>
      <w:proofErr w:type="spellEnd"/>
      <w:r w:rsidRPr="005B0D7D">
        <w:rPr>
          <w:rFonts w:ascii="Times New Roman" w:eastAsia="Batang" w:hAnsi="Times New Roman" w:cs="Times New Roman"/>
          <w:sz w:val="28"/>
          <w:szCs w:val="28"/>
          <w:lang w:eastAsia="ru-RU"/>
        </w:rPr>
        <w:t xml:space="preserve"> составляющей инвестиционной привлекательности. Этому будет способствовать утверждение «дорожной карты» по продвижению инвестиционных возможностей города Ханты-Мансийка в России и за рубежом, </w:t>
      </w:r>
      <w:proofErr w:type="spellStart"/>
      <w:r w:rsidRPr="005B0D7D">
        <w:rPr>
          <w:rFonts w:ascii="Times New Roman" w:eastAsia="Batang" w:hAnsi="Times New Roman" w:cs="Times New Roman"/>
          <w:sz w:val="28"/>
          <w:szCs w:val="28"/>
          <w:lang w:eastAsia="ru-RU"/>
        </w:rPr>
        <w:t>медиапланирование</w:t>
      </w:r>
      <w:proofErr w:type="spellEnd"/>
      <w:r w:rsidRPr="005B0D7D">
        <w:rPr>
          <w:rFonts w:ascii="Times New Roman" w:eastAsia="Batang" w:hAnsi="Times New Roman" w:cs="Times New Roman"/>
          <w:sz w:val="28"/>
          <w:szCs w:val="28"/>
          <w:lang w:eastAsia="ru-RU"/>
        </w:rPr>
        <w:t xml:space="preserve"> освещения инвестиционной деятельности в местных, региональных и федеральных средствах массовой информации. Целесообразным представляется разработка и продвижение проекта «Инвестиционный туризм», в рамках которого демонстрирование ресурсов и возможностей Ханты-Мансийска будет сочетаться с элитным отдыхом и рыбалкой. Параллельно следует разработать инвестиционный </w:t>
      </w:r>
      <w:proofErr w:type="spellStart"/>
      <w:r w:rsidRPr="005B0D7D">
        <w:rPr>
          <w:rFonts w:ascii="Times New Roman" w:eastAsia="Batang" w:hAnsi="Times New Roman" w:cs="Times New Roman"/>
          <w:sz w:val="28"/>
          <w:szCs w:val="28"/>
          <w:lang w:eastAsia="ru-RU"/>
        </w:rPr>
        <w:t>видеотур</w:t>
      </w:r>
      <w:proofErr w:type="spellEnd"/>
      <w:r w:rsidRPr="005B0D7D">
        <w:rPr>
          <w:rFonts w:ascii="Times New Roman" w:eastAsia="Batang" w:hAnsi="Times New Roman" w:cs="Times New Roman"/>
          <w:sz w:val="28"/>
          <w:szCs w:val="28"/>
          <w:lang w:eastAsia="ru-RU"/>
        </w:rPr>
        <w:t>.</w:t>
      </w:r>
    </w:p>
    <w:p w:rsidR="005B0D7D" w:rsidRPr="005B0D7D" w:rsidRDefault="005B0D7D" w:rsidP="005B0D7D">
      <w:pPr>
        <w:spacing w:after="0" w:line="240" w:lineRule="auto"/>
        <w:ind w:left="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Концепция Инвестиционного паспорта приводится в Приложении 2.</w:t>
      </w:r>
    </w:p>
    <w:p w:rsidR="005B0D7D" w:rsidRPr="005B0D7D" w:rsidRDefault="005B0D7D" w:rsidP="00193F39">
      <w:pPr>
        <w:numPr>
          <w:ilvl w:val="0"/>
          <w:numId w:val="40"/>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Разработка Муниципальной программы повышения инвестиционной привлекательности города Ханты-Мансийска на 2016-2020 годы в целях систематизации деятельности по обеспечению благоприятного инвестиционного климата на территории города Ханты-Мансийска. Предложения по содержанию и структуре данной программы приводятся в Приложении 3. </w:t>
      </w:r>
    </w:p>
    <w:p w:rsidR="005B0D7D" w:rsidRPr="005B0D7D" w:rsidRDefault="005B0D7D" w:rsidP="00193F39">
      <w:pPr>
        <w:numPr>
          <w:ilvl w:val="0"/>
          <w:numId w:val="40"/>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Создание Фонда прямых инвестиций, позволяющего активизировать инвестиционный потенциал населения.</w:t>
      </w:r>
    </w:p>
    <w:p w:rsidR="005B0D7D" w:rsidRPr="005B0D7D" w:rsidRDefault="005B0D7D" w:rsidP="00193F39">
      <w:pPr>
        <w:numPr>
          <w:ilvl w:val="0"/>
          <w:numId w:val="40"/>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Ориентация системы образования на потребности производственной и инновационной сферы в части профориентации школьников, поддержки соответствующих программ дополнительного образования, развития кадрового потенциала для обеспечения инвестиционного процесса.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Совершенствование мер поддержки инвестиционной деятельности позволит усилить приток инвестиций, а также обеспечить реализацию инвестиционных проектов в интересах города и его жителей.</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22" w:name="_Toc406591405"/>
      <w:bookmarkStart w:id="223" w:name="_Toc410639520"/>
      <w:r w:rsidRPr="005B0D7D">
        <w:rPr>
          <w:rFonts w:ascii="Times New Roman" w:eastAsia="Batang" w:hAnsi="Times New Roman" w:cs="Times New Roman"/>
          <w:b/>
          <w:bCs/>
          <w:sz w:val="28"/>
          <w:szCs w:val="28"/>
          <w:lang w:eastAsia="ko-KR"/>
        </w:rPr>
        <w:t>Задача 4. Повышение роли малого и среднего предпринимательства в местном сообществе</w:t>
      </w:r>
      <w:bookmarkEnd w:id="222"/>
      <w:bookmarkEnd w:id="223"/>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комбинированное использование различных инструментов поддержки малого и среднего предпринимательства в интересах создания диверсифицированной и инновационной экономики города, содействия развитию конкуренции, а также роста социального потенциала населения.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Стратегия поддержки малого и среднего бизнеса в городе Ханты-Мансийске основывается на обоснованном сочетании множественности субъектов, объектов и механизмов поддержки.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Субъектом поддержки малого и среднего бизнеса станут не только органы местного самоуправления, но и негосударственные организации. Речь идет об организациях следующих типов:</w:t>
      </w:r>
    </w:p>
    <w:p w:rsidR="005B0D7D" w:rsidRPr="005B0D7D" w:rsidRDefault="005B0D7D" w:rsidP="00193F39">
      <w:pPr>
        <w:numPr>
          <w:ilvl w:val="0"/>
          <w:numId w:val="41"/>
        </w:numPr>
        <w:tabs>
          <w:tab w:val="left" w:pos="1134"/>
        </w:tabs>
        <w:spacing w:after="0" w:line="240" w:lineRule="auto"/>
        <w:ind w:left="0" w:firstLine="77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ресурсные центры, в частности коммерческие </w:t>
      </w:r>
      <w:proofErr w:type="gramStart"/>
      <w:r w:rsidRPr="005B0D7D">
        <w:rPr>
          <w:rFonts w:ascii="Times New Roman" w:eastAsia="Batang" w:hAnsi="Times New Roman" w:cs="Times New Roman"/>
          <w:sz w:val="28"/>
          <w:szCs w:val="28"/>
          <w:lang w:eastAsia="ru-RU"/>
        </w:rPr>
        <w:t>бизнес-инкубаторы</w:t>
      </w:r>
      <w:proofErr w:type="gramEnd"/>
      <w:r w:rsidRPr="005B0D7D">
        <w:rPr>
          <w:rFonts w:ascii="Times New Roman" w:eastAsia="Batang" w:hAnsi="Times New Roman" w:cs="Times New Roman"/>
          <w:sz w:val="28"/>
          <w:szCs w:val="28"/>
          <w:lang w:eastAsia="ru-RU"/>
        </w:rPr>
        <w:t xml:space="preserve"> и иные организации, предоставляющие имущество малому и среднему бизнесу в аренду по льготной цене;</w:t>
      </w:r>
    </w:p>
    <w:p w:rsidR="005B0D7D" w:rsidRPr="005B0D7D" w:rsidRDefault="005B0D7D" w:rsidP="00193F39">
      <w:pPr>
        <w:numPr>
          <w:ilvl w:val="0"/>
          <w:numId w:val="41"/>
        </w:numPr>
        <w:tabs>
          <w:tab w:val="left" w:pos="1134"/>
        </w:tabs>
        <w:spacing w:after="0" w:line="240" w:lineRule="auto"/>
        <w:ind w:left="0" w:firstLine="77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консалтинговые центры, оказывающие необходимые услуги на приемлемых для малого бизнеса условиях, </w:t>
      </w:r>
    </w:p>
    <w:p w:rsidR="005B0D7D" w:rsidRPr="005B0D7D" w:rsidRDefault="005B0D7D" w:rsidP="00193F39">
      <w:pPr>
        <w:numPr>
          <w:ilvl w:val="0"/>
          <w:numId w:val="41"/>
        </w:numPr>
        <w:tabs>
          <w:tab w:val="left" w:pos="1134"/>
        </w:tabs>
        <w:spacing w:after="0" w:line="240" w:lineRule="auto"/>
        <w:ind w:left="0" w:firstLine="77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образовательные структуры, занимающиеся разработкой учебных пособий по основам ведения бизнеса;</w:t>
      </w:r>
    </w:p>
    <w:p w:rsidR="005B0D7D" w:rsidRPr="005B0D7D" w:rsidRDefault="005B0D7D" w:rsidP="00193F39">
      <w:pPr>
        <w:numPr>
          <w:ilvl w:val="0"/>
          <w:numId w:val="41"/>
        </w:numPr>
        <w:tabs>
          <w:tab w:val="left" w:pos="1134"/>
        </w:tabs>
        <w:spacing w:after="0" w:line="240" w:lineRule="auto"/>
        <w:ind w:left="0" w:firstLine="77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lastRenderedPageBreak/>
        <w:t>фонды микрофинансирования, предоставляющие кредиты субъектам малого и среднего предпринимательства на более выгодных условиях, чем банки;</w:t>
      </w:r>
    </w:p>
    <w:p w:rsidR="005B0D7D" w:rsidRPr="005B0D7D" w:rsidRDefault="005B0D7D" w:rsidP="00193F39">
      <w:pPr>
        <w:numPr>
          <w:ilvl w:val="0"/>
          <w:numId w:val="41"/>
        </w:numPr>
        <w:tabs>
          <w:tab w:val="left" w:pos="1134"/>
        </w:tabs>
        <w:spacing w:after="0" w:line="240" w:lineRule="auto"/>
        <w:ind w:left="0" w:firstLine="77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маркетинговые компании, проводящие исследования, часть результатов которых предназначена для открытого пользования;</w:t>
      </w:r>
    </w:p>
    <w:p w:rsidR="005B0D7D" w:rsidRPr="005B0D7D" w:rsidRDefault="005B0D7D" w:rsidP="00193F39">
      <w:pPr>
        <w:numPr>
          <w:ilvl w:val="0"/>
          <w:numId w:val="41"/>
        </w:numPr>
        <w:tabs>
          <w:tab w:val="left" w:pos="1134"/>
        </w:tabs>
        <w:spacing w:after="0" w:line="240" w:lineRule="auto"/>
        <w:ind w:left="0" w:firstLine="77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организации, оказывающие услуги по созданию бизнес-планов, формирование заявок на получение финансовой поддержки субъектов малого и среднего предпринимательства из различных источников;</w:t>
      </w:r>
    </w:p>
    <w:p w:rsidR="005B0D7D" w:rsidRPr="005B0D7D" w:rsidRDefault="005B0D7D" w:rsidP="00193F39">
      <w:pPr>
        <w:numPr>
          <w:ilvl w:val="0"/>
          <w:numId w:val="41"/>
        </w:numPr>
        <w:tabs>
          <w:tab w:val="left" w:pos="1134"/>
        </w:tabs>
        <w:spacing w:after="0" w:line="240" w:lineRule="auto"/>
        <w:ind w:left="0" w:firstLine="77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организации, занимающиеся преобразованием идей начинающих предпринимателей в </w:t>
      </w:r>
      <w:proofErr w:type="gramStart"/>
      <w:r w:rsidRPr="005B0D7D">
        <w:rPr>
          <w:rFonts w:ascii="Times New Roman" w:eastAsia="Batang" w:hAnsi="Times New Roman" w:cs="Times New Roman"/>
          <w:sz w:val="28"/>
          <w:szCs w:val="28"/>
          <w:lang w:eastAsia="ru-RU"/>
        </w:rPr>
        <w:t>бизнес-проекты</w:t>
      </w:r>
      <w:proofErr w:type="gramEnd"/>
      <w:r w:rsidRPr="005B0D7D">
        <w:rPr>
          <w:rFonts w:ascii="Times New Roman" w:eastAsia="Batang" w:hAnsi="Times New Roman" w:cs="Times New Roman"/>
          <w:sz w:val="28"/>
          <w:szCs w:val="28"/>
          <w:lang w:eastAsia="ru-RU"/>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Чтобы механизм передачи отдельных форм поддержки субъектов малого и среднего предпринимательства на аутсорсинг начал работать, необходимо предпринять следующие шаги:</w:t>
      </w:r>
    </w:p>
    <w:p w:rsidR="005B0D7D" w:rsidRPr="005B0D7D" w:rsidRDefault="005B0D7D" w:rsidP="005B0D7D">
      <w:pPr>
        <w:numPr>
          <w:ilvl w:val="0"/>
          <w:numId w:val="2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предусмотреть финансовые и иные затраты на проект, рассчитать объемы выпадающих доходов и ожидаемого эффекта;</w:t>
      </w:r>
    </w:p>
    <w:p w:rsidR="005B0D7D" w:rsidRPr="005B0D7D" w:rsidRDefault="005B0D7D" w:rsidP="005B0D7D">
      <w:pPr>
        <w:numPr>
          <w:ilvl w:val="0"/>
          <w:numId w:val="2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разработать Положение о поддержке организаций, оказывающих помощь субъектам малого и среднего предпринимательства на льготных условиях;</w:t>
      </w:r>
    </w:p>
    <w:p w:rsidR="005B0D7D" w:rsidRPr="005B0D7D" w:rsidRDefault="005B0D7D" w:rsidP="005B0D7D">
      <w:pPr>
        <w:numPr>
          <w:ilvl w:val="0"/>
          <w:numId w:val="2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сформировать реестр участников данного проекта;</w:t>
      </w:r>
    </w:p>
    <w:p w:rsidR="005B0D7D" w:rsidRPr="005B0D7D" w:rsidRDefault="005B0D7D" w:rsidP="005B0D7D">
      <w:pPr>
        <w:numPr>
          <w:ilvl w:val="0"/>
          <w:numId w:val="2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провести установочную конференцию.</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Передача поддержки малого и среднего предпринимательства на аутсорсинг расширит его возможности даже в условиях сокращения муниципальной поддержки и запустит механизмы социального партнерства.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Наряду с передачей части функций по поддержке субъектов малого и среднего предпринимательства на аутсорсинг, будут </w:t>
      </w:r>
      <w:proofErr w:type="gramStart"/>
      <w:r w:rsidRPr="005B0D7D">
        <w:rPr>
          <w:rFonts w:ascii="Times New Roman" w:eastAsia="Batang" w:hAnsi="Times New Roman" w:cs="Times New Roman"/>
          <w:sz w:val="28"/>
          <w:szCs w:val="28"/>
          <w:lang w:eastAsia="ko-KR"/>
        </w:rPr>
        <w:t>совершенствоваться</w:t>
      </w:r>
      <w:proofErr w:type="gramEnd"/>
      <w:r w:rsidRPr="005B0D7D">
        <w:rPr>
          <w:rFonts w:ascii="Times New Roman" w:eastAsia="Batang" w:hAnsi="Times New Roman" w:cs="Times New Roman"/>
          <w:sz w:val="28"/>
          <w:szCs w:val="28"/>
          <w:lang w:eastAsia="ko-KR"/>
        </w:rPr>
        <w:t xml:space="preserve"> и упорядочиваться все практикуемые формы муниципальной поддержки.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Основные формы планируемой поддержки малого и среднего бизнеса – имущественная, административная, финансовая, организационная, информационно-консультационная, образовательная и </w:t>
      </w:r>
      <w:proofErr w:type="spellStart"/>
      <w:r w:rsidRPr="005B0D7D">
        <w:rPr>
          <w:rFonts w:ascii="Times New Roman" w:eastAsia="Batang" w:hAnsi="Times New Roman" w:cs="Times New Roman"/>
          <w:sz w:val="28"/>
          <w:szCs w:val="28"/>
          <w:lang w:eastAsia="ko-KR"/>
        </w:rPr>
        <w:t>имиджевая</w:t>
      </w:r>
      <w:proofErr w:type="spellEnd"/>
      <w:r w:rsidRPr="005B0D7D">
        <w:rPr>
          <w:rFonts w:ascii="Times New Roman" w:eastAsia="Batang" w:hAnsi="Times New Roman" w:cs="Times New Roman"/>
          <w:sz w:val="28"/>
          <w:szCs w:val="28"/>
          <w:lang w:eastAsia="ko-KR"/>
        </w:rPr>
        <w:t>. В настоящей Стратегии представлены наиболее важные механизмы в рамках каждой формы.</w:t>
      </w:r>
    </w:p>
    <w:p w:rsidR="005B0D7D" w:rsidRPr="005B0D7D" w:rsidRDefault="005B0D7D" w:rsidP="005B0D7D">
      <w:pPr>
        <w:tabs>
          <w:tab w:val="left" w:pos="993"/>
        </w:tabs>
        <w:spacing w:before="120" w:after="0" w:line="240" w:lineRule="auto"/>
        <w:ind w:left="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1. Имущественная поддержка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Строительство </w:t>
      </w:r>
      <w:proofErr w:type="spellStart"/>
      <w:r w:rsidRPr="005B0D7D">
        <w:rPr>
          <w:rFonts w:ascii="Times New Roman" w:eastAsia="Batang" w:hAnsi="Times New Roman" w:cs="Times New Roman"/>
          <w:sz w:val="28"/>
          <w:szCs w:val="28"/>
          <w:lang w:eastAsia="ko-KR"/>
        </w:rPr>
        <w:t>коворкингового</w:t>
      </w:r>
      <w:proofErr w:type="spellEnd"/>
      <w:r w:rsidRPr="005B0D7D">
        <w:rPr>
          <w:rFonts w:ascii="Times New Roman" w:eastAsia="Batang" w:hAnsi="Times New Roman" w:cs="Times New Roman"/>
          <w:sz w:val="28"/>
          <w:szCs w:val="28"/>
          <w:lang w:eastAsia="ko-KR"/>
        </w:rPr>
        <w:t xml:space="preserve"> центра – офисного здания с оборудованными рабочими местами, оснащенными современной компьютерной техникой, переговорными комнатами, залом для проведения презентаций. Места в </w:t>
      </w:r>
      <w:proofErr w:type="spellStart"/>
      <w:r w:rsidRPr="005B0D7D">
        <w:rPr>
          <w:rFonts w:ascii="Times New Roman" w:eastAsia="Batang" w:hAnsi="Times New Roman" w:cs="Times New Roman"/>
          <w:sz w:val="28"/>
          <w:szCs w:val="28"/>
          <w:lang w:eastAsia="ko-KR"/>
        </w:rPr>
        <w:t>коворкинговом</w:t>
      </w:r>
      <w:proofErr w:type="spellEnd"/>
      <w:r w:rsidRPr="005B0D7D">
        <w:rPr>
          <w:rFonts w:ascii="Times New Roman" w:eastAsia="Batang" w:hAnsi="Times New Roman" w:cs="Times New Roman"/>
          <w:sz w:val="28"/>
          <w:szCs w:val="28"/>
          <w:lang w:eastAsia="ko-KR"/>
        </w:rPr>
        <w:t xml:space="preserve"> центре можно будет арендовать на срок от нескольких часов до нескольких лет.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Предоставление помещений, находящихся в муниципальной собственности, в аренду по льготной цене (понижающий коэффициент 0,5 сроком на 3 года).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Предоставление субсидий на компенсацию затрат, связанных с уплатой платежей по договорам аренды (субаренды) нежилых помещений.</w:t>
      </w:r>
    </w:p>
    <w:p w:rsidR="005B0D7D" w:rsidRPr="005B0D7D" w:rsidRDefault="005B0D7D" w:rsidP="005B0D7D">
      <w:pPr>
        <w:tabs>
          <w:tab w:val="left" w:pos="993"/>
        </w:tabs>
        <w:spacing w:before="120" w:after="0" w:line="240" w:lineRule="auto"/>
        <w:ind w:left="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2. Административная поддержка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Предоставление преференций субъектам малого предпринимательства при осуществлении закупок товаров, работ, услуг для муниципальных ну</w:t>
      </w:r>
      <w:proofErr w:type="gramStart"/>
      <w:r w:rsidRPr="005B0D7D">
        <w:rPr>
          <w:rFonts w:ascii="Times New Roman" w:eastAsia="Batang" w:hAnsi="Times New Roman" w:cs="Times New Roman"/>
          <w:sz w:val="28"/>
          <w:szCs w:val="28"/>
          <w:lang w:eastAsia="ko-KR"/>
        </w:rPr>
        <w:t>жд в сф</w:t>
      </w:r>
      <w:proofErr w:type="gramEnd"/>
      <w:r w:rsidRPr="005B0D7D">
        <w:rPr>
          <w:rFonts w:ascii="Times New Roman" w:eastAsia="Batang" w:hAnsi="Times New Roman" w:cs="Times New Roman"/>
          <w:sz w:val="28"/>
          <w:szCs w:val="28"/>
          <w:lang w:eastAsia="ko-KR"/>
        </w:rPr>
        <w:t xml:space="preserve">ерах образования, здравоохранения, туризма, транспорта, жилищно-коммунального хозяйства и др. в целях содействия развитию конкуренции.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Предоставление льготных услуг по государственной регистрации субъектов малого и среднего предпринимательства, предполагающих реализовывать социально-значимые и инновационные направления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Пакетное оформление документов (по землеотводу, разрешения на право торговли) в согласующих инстанциях для группы малых предприятий в целях экономии времени как предпринимателей, так и регулирующих организаций.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Упрощение процедуры и порядка оформления исходно-разрешительной документации на ремонт, реконструкцию и строительство производственных объектов малых предприятий.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Установление нормативных сроков по утверждению исходно-разрешительной документации на ремонт, реконструкцию и строительство для небольших объектов до двух месяцев.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Проведение социологического опроса предпринимателей «Оценка удовлетворенности предоставлением муниципальных услуг субъектам предпринимательской деятельности».</w:t>
      </w:r>
    </w:p>
    <w:p w:rsidR="005B0D7D" w:rsidRPr="005B0D7D" w:rsidRDefault="005B0D7D" w:rsidP="005B0D7D">
      <w:pPr>
        <w:tabs>
          <w:tab w:val="left" w:pos="993"/>
        </w:tabs>
        <w:spacing w:before="120" w:after="0" w:line="240" w:lineRule="auto"/>
        <w:ind w:left="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3. Финансовая поддержка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Развитие системы формирования кредитных историй субъектов малого и среднего предпринимательства.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Субсидирование части процентной ставки по кредитам.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Стимулирование создания обще</w:t>
      </w:r>
      <w:proofErr w:type="gramStart"/>
      <w:r w:rsidRPr="005B0D7D">
        <w:rPr>
          <w:rFonts w:ascii="Times New Roman" w:eastAsia="Batang" w:hAnsi="Times New Roman" w:cs="Times New Roman"/>
          <w:sz w:val="28"/>
          <w:szCs w:val="28"/>
          <w:lang w:eastAsia="ko-KR"/>
        </w:rPr>
        <w:t>ств вз</w:t>
      </w:r>
      <w:proofErr w:type="gramEnd"/>
      <w:r w:rsidRPr="005B0D7D">
        <w:rPr>
          <w:rFonts w:ascii="Times New Roman" w:eastAsia="Batang" w:hAnsi="Times New Roman" w:cs="Times New Roman"/>
          <w:sz w:val="28"/>
          <w:szCs w:val="28"/>
          <w:lang w:eastAsia="ko-KR"/>
        </w:rPr>
        <w:t>аимного кредитования.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roofErr w:type="spellStart"/>
      <w:r w:rsidRPr="005B0D7D">
        <w:rPr>
          <w:rFonts w:ascii="Times New Roman" w:eastAsia="Batang" w:hAnsi="Times New Roman" w:cs="Times New Roman"/>
          <w:sz w:val="28"/>
          <w:szCs w:val="28"/>
          <w:lang w:eastAsia="ko-KR"/>
        </w:rPr>
        <w:t>Грантовая</w:t>
      </w:r>
      <w:proofErr w:type="spellEnd"/>
      <w:r w:rsidRPr="005B0D7D">
        <w:rPr>
          <w:rFonts w:ascii="Times New Roman" w:eastAsia="Batang" w:hAnsi="Times New Roman" w:cs="Times New Roman"/>
          <w:sz w:val="28"/>
          <w:szCs w:val="28"/>
          <w:lang w:eastAsia="ko-KR"/>
        </w:rPr>
        <w:t xml:space="preserve"> поддержка начинающих предпринимателей.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Компенсация затрат социальному предпринимательству.</w:t>
      </w:r>
    </w:p>
    <w:p w:rsidR="005B0D7D" w:rsidRPr="005B0D7D" w:rsidRDefault="005B0D7D" w:rsidP="005B0D7D">
      <w:pPr>
        <w:tabs>
          <w:tab w:val="left" w:pos="993"/>
        </w:tabs>
        <w:spacing w:before="120" w:after="0" w:line="240" w:lineRule="auto"/>
        <w:ind w:left="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4. Организационная поддержка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Организация взаимодействия между малыми и крупными предприятиями. Содействие малому и среднему бизнесу в поиске заказчика, готового профинансировать проект, из числа крупных предприятий. Содействие созданию цепочек увеличения добавленной стоимости.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Расширение доступа субъектов малого и среднего предпринимательства к закупкам инфраструктурных монополий и компаний с государственным участием.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Информирование субъектов малого и среднего предпринимательства о планируемых к реализации проектах с целью привлечения их в качестве инвесторов.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Помощь в установлении деловых контактов предпринимателям по отдельным видам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Стимулирование спроса на товары и услуги малых предприятий по отдельным социально-значимым видам деятельности.</w:t>
      </w:r>
    </w:p>
    <w:p w:rsidR="005B0D7D" w:rsidRPr="005B0D7D" w:rsidRDefault="005B0D7D" w:rsidP="005B0D7D">
      <w:pPr>
        <w:tabs>
          <w:tab w:val="left" w:pos="993"/>
        </w:tabs>
        <w:spacing w:before="120" w:after="0" w:line="240" w:lineRule="auto"/>
        <w:ind w:left="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5. Информационно-консультационная поддержка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Информирование представителей малого и среднего бизнеса о возможностях получения поддержки посредством участия в федеральных и окружных программах, включая пошаговые инструкции.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Информирование о наиболее эффективных формах получения консалтинговых услуг: консультации по правовым вопросам, налогообложению, разработке бизнес-плана, проведению финансового анализа в целях увеличения доходности.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Проведение регулярных Конференций представителей малого и среднего бизнеса города Ханты-Мансийска с целью получения обратной связи – обеспечение понимания Администрацией города проблем и потребностей субъектов малого и среднего предпринимательства.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Создание </w:t>
      </w:r>
      <w:proofErr w:type="gramStart"/>
      <w:r w:rsidRPr="005B0D7D">
        <w:rPr>
          <w:rFonts w:ascii="Times New Roman" w:eastAsia="Batang" w:hAnsi="Times New Roman" w:cs="Times New Roman"/>
          <w:sz w:val="28"/>
          <w:szCs w:val="28"/>
          <w:lang w:eastAsia="ko-KR"/>
        </w:rPr>
        <w:t>бизнес-карты</w:t>
      </w:r>
      <w:proofErr w:type="gramEnd"/>
      <w:r w:rsidRPr="005B0D7D">
        <w:rPr>
          <w:rFonts w:ascii="Times New Roman" w:eastAsia="Batang" w:hAnsi="Times New Roman" w:cs="Times New Roman"/>
          <w:sz w:val="28"/>
          <w:szCs w:val="28"/>
          <w:lang w:eastAsia="ko-KR"/>
        </w:rPr>
        <w:t xml:space="preserve"> занятых и свободных рыночных ниш для развития малого и среднего предпринимательства по направлениям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Оказание содействия субъектам малого и среднего предпринимательства в оформлении конкурсной документации на участие в тендерах.</w:t>
      </w:r>
    </w:p>
    <w:p w:rsidR="005B0D7D" w:rsidRPr="005B0D7D" w:rsidRDefault="005B0D7D" w:rsidP="005B0D7D">
      <w:pPr>
        <w:tabs>
          <w:tab w:val="left" w:pos="993"/>
        </w:tabs>
        <w:spacing w:before="120" w:after="0" w:line="240" w:lineRule="auto"/>
        <w:ind w:left="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6. Образовательная поддержка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Использование новых форм обучения в сфере образования взрослых – дистанционного, он-</w:t>
      </w:r>
      <w:proofErr w:type="spellStart"/>
      <w:r w:rsidRPr="005B0D7D">
        <w:rPr>
          <w:rFonts w:ascii="Times New Roman" w:eastAsia="Batang" w:hAnsi="Times New Roman" w:cs="Times New Roman"/>
          <w:sz w:val="28"/>
          <w:szCs w:val="28"/>
          <w:lang w:eastAsia="ko-KR"/>
        </w:rPr>
        <w:t>лайн</w:t>
      </w:r>
      <w:proofErr w:type="spellEnd"/>
      <w:r w:rsidRPr="005B0D7D">
        <w:rPr>
          <w:rFonts w:ascii="Times New Roman" w:eastAsia="Batang" w:hAnsi="Times New Roman" w:cs="Times New Roman"/>
          <w:sz w:val="28"/>
          <w:szCs w:val="28"/>
          <w:lang w:eastAsia="ko-KR"/>
        </w:rPr>
        <w:t>, пакетного. Компенсация расходов на образовательные услуги для отдельных категорий предпринимателей.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Обучение общим вопросам ведения бизнеса, психологии, информационным технологиям, способам защиты интеллектуальной собственности.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Организация подготовки кадров для субъектов малого и среднего предпринимательства, ведущих деятельность в отраслях, наиболее отвечающих задачам стратегического развития города (инновации, туризм, консалтинг, использование местного сырья).</w:t>
      </w:r>
    </w:p>
    <w:p w:rsidR="005B0D7D" w:rsidRPr="005B0D7D" w:rsidRDefault="005B0D7D" w:rsidP="005B0D7D">
      <w:pPr>
        <w:tabs>
          <w:tab w:val="left" w:pos="993"/>
        </w:tabs>
        <w:spacing w:before="120" w:after="0" w:line="240" w:lineRule="auto"/>
        <w:ind w:left="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7. </w:t>
      </w:r>
      <w:proofErr w:type="spellStart"/>
      <w:r w:rsidRPr="005B0D7D">
        <w:rPr>
          <w:rFonts w:ascii="Times New Roman" w:eastAsia="Batang" w:hAnsi="Times New Roman" w:cs="Times New Roman"/>
          <w:sz w:val="28"/>
          <w:szCs w:val="28"/>
          <w:lang w:eastAsia="ru-RU"/>
        </w:rPr>
        <w:t>Имиджевая</w:t>
      </w:r>
      <w:proofErr w:type="spellEnd"/>
      <w:r w:rsidRPr="005B0D7D">
        <w:rPr>
          <w:rFonts w:ascii="Times New Roman" w:eastAsia="Batang" w:hAnsi="Times New Roman" w:cs="Times New Roman"/>
          <w:sz w:val="28"/>
          <w:szCs w:val="28"/>
          <w:lang w:eastAsia="ru-RU"/>
        </w:rPr>
        <w:t xml:space="preserve"> поддержка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Публикация серии материалов в средствах массовой информации об историях успеха предпринимателей, а также о социально-ориентированной профессиональной деятельности и современном меценатстве.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Проведение конкурсов «Лучшее предприятие потребительского рынка», «Лучшее предприятие малого бизнеса», «Меценат года». Проведение рейтинга малых предприятий.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Торжественный прием предпринимателей, занимающихся благотворительной деятельностью.</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Ожидается, что комплексное использование данных механизмов поддержки субъектов малого и среднего предпринимательства приведет к увеличению деловой активности населения, развитию конкуренции, наращиванию оборота малых и средних предприятий, созданию новых рабочих мест, росту налоговых поступлений в местный бюджет.</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24" w:name="_Toc406591406"/>
      <w:bookmarkStart w:id="225" w:name="_Toc410639521"/>
      <w:r w:rsidRPr="005B0D7D">
        <w:rPr>
          <w:rFonts w:ascii="Times New Roman" w:eastAsia="Batang" w:hAnsi="Times New Roman" w:cs="Times New Roman"/>
          <w:b/>
          <w:bCs/>
          <w:sz w:val="28"/>
          <w:szCs w:val="28"/>
          <w:lang w:eastAsia="ko-KR"/>
        </w:rPr>
        <w:t>Задача 5. Инновационное развитие</w:t>
      </w:r>
      <w:bookmarkEnd w:id="224"/>
      <w:bookmarkEnd w:id="225"/>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переориентация экономики города с сервисного на инновационный масштаб развития, позиционирование Ханты-Мансийска как города инноваций, содействие переходу на инновационный путь развития всех территорий автономного округа.</w:t>
      </w:r>
    </w:p>
    <w:p w:rsidR="005B0D7D" w:rsidRPr="005B0D7D" w:rsidRDefault="005B0D7D" w:rsidP="005B0D7D">
      <w:pPr>
        <w:spacing w:after="0" w:line="240" w:lineRule="auto"/>
        <w:ind w:firstLine="720"/>
        <w:jc w:val="both"/>
        <w:rPr>
          <w:rFonts w:ascii="Times New Roman" w:eastAsia="Batang" w:hAnsi="Times New Roman" w:cs="Times New Roman"/>
          <w:i/>
          <w:sz w:val="28"/>
          <w:szCs w:val="28"/>
          <w:lang w:eastAsia="ko-KR"/>
        </w:rPr>
      </w:pPr>
      <w:proofErr w:type="gramStart"/>
      <w:r w:rsidRPr="005B0D7D">
        <w:rPr>
          <w:rFonts w:ascii="Times New Roman" w:eastAsia="Batang" w:hAnsi="Times New Roman" w:cs="Times New Roman"/>
          <w:sz w:val="28"/>
          <w:szCs w:val="28"/>
          <w:lang w:eastAsia="ko-KR"/>
        </w:rPr>
        <w:t xml:space="preserve">Базовый вектор инновационного развития города Ханты-Мансийска определен следующим образом: </w:t>
      </w:r>
      <w:r w:rsidRPr="005B0D7D">
        <w:rPr>
          <w:rFonts w:ascii="Times New Roman" w:eastAsia="Batang" w:hAnsi="Times New Roman" w:cs="Times New Roman"/>
          <w:i/>
          <w:sz w:val="28"/>
          <w:szCs w:val="28"/>
          <w:lang w:eastAsia="ko-KR"/>
        </w:rPr>
        <w:t xml:space="preserve">опираясь на институты инновационного развития окружного уровня и создавая городскую инфраструктуру содействия инновациям, создавать условия для развития в городе </w:t>
      </w:r>
      <w:proofErr w:type="spellStart"/>
      <w:r w:rsidRPr="005B0D7D">
        <w:rPr>
          <w:rFonts w:ascii="Times New Roman" w:eastAsia="Batang" w:hAnsi="Times New Roman" w:cs="Times New Roman"/>
          <w:i/>
          <w:sz w:val="28"/>
          <w:szCs w:val="28"/>
          <w:lang w:eastAsia="ko-KR"/>
        </w:rPr>
        <w:t>несырьевых</w:t>
      </w:r>
      <w:proofErr w:type="spellEnd"/>
      <w:r w:rsidRPr="005B0D7D">
        <w:rPr>
          <w:rFonts w:ascii="Times New Roman" w:eastAsia="Batang" w:hAnsi="Times New Roman" w:cs="Times New Roman"/>
          <w:i/>
          <w:sz w:val="28"/>
          <w:szCs w:val="28"/>
          <w:lang w:eastAsia="ko-KR"/>
        </w:rPr>
        <w:t xml:space="preserve"> видов деятельности, обеспечивать доведение перспективных инноваций до этапа серийного производства, содействовать получению охранных документов на </w:t>
      </w:r>
      <w:r w:rsidRPr="005B0D7D">
        <w:rPr>
          <w:rFonts w:ascii="Times New Roman" w:eastAsia="Batang" w:hAnsi="Times New Roman" w:cs="Times New Roman"/>
          <w:i/>
          <w:sz w:val="28"/>
          <w:szCs w:val="28"/>
          <w:lang w:eastAsia="ko-KR"/>
        </w:rPr>
        <w:lastRenderedPageBreak/>
        <w:t>объекты интеллектуальной собственности, оказывать методическую помощь предприятиям округа в процессе их инновационной модернизации.</w:t>
      </w:r>
      <w:proofErr w:type="gramEnd"/>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целях обеспечения инновационного развития города настоящая Стратегия предполагает восемь направлений деятельности.</w:t>
      </w:r>
    </w:p>
    <w:p w:rsidR="005B0D7D" w:rsidRPr="005B0D7D" w:rsidRDefault="005B0D7D" w:rsidP="00193F39">
      <w:pPr>
        <w:numPr>
          <w:ilvl w:val="0"/>
          <w:numId w:val="14"/>
        </w:numPr>
        <w:tabs>
          <w:tab w:val="left" w:pos="-142"/>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Заключение договоров о взаимодействии между органами местного самоуправления города Ханты-Мансийска и Технопарком высоких технологий Ханты-Мансийского автономного округа – Югры, включающим ряд действующих и проектируемых структур: сетевой центр коллективного пользования научным оборудованием, Центр </w:t>
      </w:r>
      <w:proofErr w:type="spellStart"/>
      <w:r w:rsidRPr="005B0D7D">
        <w:rPr>
          <w:rFonts w:ascii="Times New Roman" w:eastAsia="Batang" w:hAnsi="Times New Roman" w:cs="Times New Roman"/>
          <w:sz w:val="28"/>
          <w:szCs w:val="28"/>
          <w:lang w:eastAsia="ru-RU"/>
        </w:rPr>
        <w:t>прототипирования</w:t>
      </w:r>
      <w:proofErr w:type="spellEnd"/>
      <w:r w:rsidRPr="005B0D7D">
        <w:rPr>
          <w:rFonts w:ascii="Times New Roman" w:eastAsia="Batang" w:hAnsi="Times New Roman" w:cs="Times New Roman"/>
          <w:sz w:val="28"/>
          <w:szCs w:val="28"/>
          <w:lang w:eastAsia="ru-RU"/>
        </w:rPr>
        <w:t xml:space="preserve">, </w:t>
      </w:r>
      <w:proofErr w:type="spellStart"/>
      <w:r w:rsidRPr="005B0D7D">
        <w:rPr>
          <w:rFonts w:ascii="Times New Roman" w:eastAsia="Batang" w:hAnsi="Times New Roman" w:cs="Times New Roman"/>
          <w:sz w:val="28"/>
          <w:szCs w:val="28"/>
          <w:lang w:eastAsia="ru-RU"/>
        </w:rPr>
        <w:t>Сертификационно</w:t>
      </w:r>
      <w:proofErr w:type="spellEnd"/>
      <w:r w:rsidRPr="005B0D7D">
        <w:rPr>
          <w:rFonts w:ascii="Times New Roman" w:eastAsia="Batang" w:hAnsi="Times New Roman" w:cs="Times New Roman"/>
          <w:sz w:val="28"/>
          <w:szCs w:val="28"/>
          <w:lang w:eastAsia="ru-RU"/>
        </w:rPr>
        <w:t xml:space="preserve">-аналитический центр, Центр кластерного развития, Региональный центр инжиниринга. Предмет договоров – разработка инновационной продукции для нужд города, разработка концепций технического перевооружения местных производств и оптимизации управления производством в рамках инжиниринговой деятельности, встраивание городских предприятий в региональные кластеры, проведение </w:t>
      </w:r>
      <w:proofErr w:type="spellStart"/>
      <w:r w:rsidRPr="005B0D7D">
        <w:rPr>
          <w:rFonts w:ascii="Times New Roman" w:eastAsia="Batang" w:hAnsi="Times New Roman" w:cs="Times New Roman"/>
          <w:sz w:val="28"/>
          <w:szCs w:val="28"/>
          <w:lang w:eastAsia="ru-RU"/>
        </w:rPr>
        <w:t>профориентционных</w:t>
      </w:r>
      <w:proofErr w:type="spellEnd"/>
      <w:r w:rsidRPr="005B0D7D">
        <w:rPr>
          <w:rFonts w:ascii="Times New Roman" w:eastAsia="Batang" w:hAnsi="Times New Roman" w:cs="Times New Roman"/>
          <w:sz w:val="28"/>
          <w:szCs w:val="28"/>
          <w:lang w:eastAsia="ru-RU"/>
        </w:rPr>
        <w:t xml:space="preserve"> мероприятий для школьников.</w:t>
      </w:r>
    </w:p>
    <w:p w:rsidR="005B0D7D" w:rsidRPr="005B0D7D" w:rsidRDefault="005B0D7D" w:rsidP="00193F39">
      <w:pPr>
        <w:numPr>
          <w:ilvl w:val="0"/>
          <w:numId w:val="14"/>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Содействие дальнейшему развитию окружной инновационной инфраструктуры – в частности, созданию </w:t>
      </w:r>
      <w:proofErr w:type="spellStart"/>
      <w:r w:rsidRPr="005B0D7D">
        <w:rPr>
          <w:rFonts w:ascii="Times New Roman" w:eastAsia="Batang" w:hAnsi="Times New Roman" w:cs="Times New Roman"/>
          <w:bCs/>
          <w:sz w:val="28"/>
          <w:szCs w:val="28"/>
          <w:lang w:eastAsia="ru-RU"/>
        </w:rPr>
        <w:t>Технополиса</w:t>
      </w:r>
      <w:proofErr w:type="spellEnd"/>
      <w:r w:rsidRPr="005B0D7D">
        <w:rPr>
          <w:rFonts w:ascii="Times New Roman" w:eastAsia="Batang" w:hAnsi="Times New Roman" w:cs="Times New Roman"/>
          <w:bCs/>
          <w:sz w:val="28"/>
          <w:szCs w:val="28"/>
          <w:lang w:eastAsia="ru-RU"/>
        </w:rPr>
        <w:t xml:space="preserve"> Югры, </w:t>
      </w:r>
      <w:r w:rsidRPr="005B0D7D">
        <w:rPr>
          <w:rFonts w:ascii="Times New Roman" w:eastAsia="Batang" w:hAnsi="Times New Roman" w:cs="Times New Roman"/>
          <w:spacing w:val="1"/>
          <w:sz w:val="28"/>
          <w:szCs w:val="28"/>
          <w:lang w:eastAsia="ru-RU"/>
        </w:rPr>
        <w:t xml:space="preserve">Югорского </w:t>
      </w:r>
      <w:r w:rsidRPr="005B0D7D">
        <w:rPr>
          <w:rFonts w:ascii="Times New Roman" w:eastAsia="Batang" w:hAnsi="Times New Roman" w:cs="Times New Roman"/>
          <w:bCs/>
          <w:sz w:val="28"/>
          <w:szCs w:val="28"/>
          <w:lang w:eastAsia="ru-RU"/>
        </w:rPr>
        <w:t xml:space="preserve">исследовательского центра Российской Академии наук. </w:t>
      </w:r>
    </w:p>
    <w:p w:rsidR="005B0D7D" w:rsidRPr="005B0D7D" w:rsidRDefault="005B0D7D" w:rsidP="00193F39">
      <w:pPr>
        <w:numPr>
          <w:ilvl w:val="0"/>
          <w:numId w:val="14"/>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Обеспечение при формировании планов закупок товаров для государственных и муниципальных нужд приоритета закупок инновационной и высокотехнологической продукции – товаров и услуг, способствующих повышению уровня эстетики и удобства городской среды, энергосбережению в сфере жилищно-коммунального хозяйства и т.д.</w:t>
      </w:r>
    </w:p>
    <w:p w:rsidR="005B0D7D" w:rsidRPr="005B0D7D" w:rsidRDefault="005B0D7D" w:rsidP="00193F39">
      <w:pPr>
        <w:numPr>
          <w:ilvl w:val="0"/>
          <w:numId w:val="14"/>
        </w:numPr>
        <w:tabs>
          <w:tab w:val="left" w:pos="-142"/>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Содействие инновационным предприятиям в оформлении и регистрации патентов на изобретения и полезные модели (в частности, информационная поддержка путем разработки и издания методических рекомендаций, обеспечение взаимодействия с научными организациями).</w:t>
      </w:r>
    </w:p>
    <w:p w:rsidR="005B0D7D" w:rsidRPr="005B0D7D" w:rsidRDefault="005B0D7D" w:rsidP="00193F39">
      <w:pPr>
        <w:numPr>
          <w:ilvl w:val="0"/>
          <w:numId w:val="14"/>
        </w:numPr>
        <w:tabs>
          <w:tab w:val="left" w:pos="567"/>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Содействие формированию сетевых сообществ научных организаций, изобретателей и внедренческих структур.</w:t>
      </w:r>
    </w:p>
    <w:p w:rsidR="005B0D7D" w:rsidRPr="005B0D7D" w:rsidRDefault="005B0D7D" w:rsidP="00193F39">
      <w:pPr>
        <w:numPr>
          <w:ilvl w:val="0"/>
          <w:numId w:val="14"/>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Оказание содействия и стимулирование контактов предпринимателей города с российскими и иностранными инвесторами. </w:t>
      </w:r>
    </w:p>
    <w:p w:rsidR="005B0D7D" w:rsidRPr="005B0D7D" w:rsidRDefault="005B0D7D" w:rsidP="00193F39">
      <w:pPr>
        <w:numPr>
          <w:ilvl w:val="0"/>
          <w:numId w:val="14"/>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Поддержка местных производителей импортозамещающей и </w:t>
      </w:r>
      <w:proofErr w:type="spellStart"/>
      <w:r w:rsidRPr="005B0D7D">
        <w:rPr>
          <w:rFonts w:ascii="Times New Roman" w:eastAsia="Batang" w:hAnsi="Times New Roman" w:cs="Times New Roman"/>
          <w:sz w:val="28"/>
          <w:szCs w:val="28"/>
          <w:lang w:eastAsia="ru-RU"/>
        </w:rPr>
        <w:t>экспортноориентированной</w:t>
      </w:r>
      <w:proofErr w:type="spellEnd"/>
      <w:r w:rsidRPr="005B0D7D">
        <w:rPr>
          <w:rFonts w:ascii="Times New Roman" w:eastAsia="Batang" w:hAnsi="Times New Roman" w:cs="Times New Roman"/>
          <w:sz w:val="28"/>
          <w:szCs w:val="28"/>
          <w:lang w:eastAsia="ru-RU"/>
        </w:rPr>
        <w:t xml:space="preserve"> продукции.</w:t>
      </w:r>
    </w:p>
    <w:p w:rsidR="005B0D7D" w:rsidRPr="005B0D7D" w:rsidRDefault="005B0D7D" w:rsidP="00193F39">
      <w:pPr>
        <w:numPr>
          <w:ilvl w:val="0"/>
          <w:numId w:val="14"/>
        </w:numPr>
        <w:tabs>
          <w:tab w:val="left" w:pos="-142"/>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Создание Индустриального парка.</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Процесс поддержки инновационного развития города найдет свое воплощение в создании </w:t>
      </w:r>
      <w:r w:rsidRPr="005B0D7D">
        <w:rPr>
          <w:rFonts w:ascii="Times New Roman" w:eastAsia="Batang" w:hAnsi="Times New Roman" w:cs="Times New Roman"/>
          <w:b/>
          <w:sz w:val="28"/>
          <w:szCs w:val="28"/>
          <w:lang w:eastAsia="ko-KR"/>
        </w:rPr>
        <w:t>Индустриального парка</w:t>
      </w:r>
      <w:r w:rsidRPr="005B0D7D">
        <w:rPr>
          <w:rFonts w:ascii="Times New Roman" w:eastAsia="Batang" w:hAnsi="Times New Roman" w:cs="Times New Roman"/>
          <w:sz w:val="28"/>
          <w:szCs w:val="28"/>
          <w:lang w:eastAsia="ko-KR"/>
        </w:rPr>
        <w:t xml:space="preserve"> </w:t>
      </w:r>
      <w:r w:rsidRPr="005B0D7D">
        <w:rPr>
          <w:rFonts w:ascii="Times New Roman" w:eastAsia="Batang" w:hAnsi="Times New Roman" w:cs="Times New Roman"/>
          <w:bCs/>
          <w:sz w:val="28"/>
          <w:szCs w:val="28"/>
          <w:lang w:eastAsia="ko-KR"/>
        </w:rPr>
        <w:t>площадью 50 тыс. кв. м.</w:t>
      </w:r>
      <w:r w:rsidRPr="005B0D7D">
        <w:rPr>
          <w:rFonts w:ascii="Times New Roman" w:eastAsia="Batang" w:hAnsi="Times New Roman" w:cs="Times New Roman"/>
          <w:sz w:val="28"/>
          <w:szCs w:val="28"/>
          <w:lang w:eastAsia="ko-KR"/>
        </w:rPr>
        <w:t xml:space="preserve"> В перспективе </w:t>
      </w:r>
      <w:r w:rsidRPr="005B0D7D">
        <w:rPr>
          <w:rFonts w:ascii="Times New Roman" w:eastAsia="Batang" w:hAnsi="Times New Roman" w:cs="Times New Roman"/>
          <w:bCs/>
          <w:sz w:val="28"/>
          <w:szCs w:val="28"/>
          <w:lang w:eastAsia="ko-KR"/>
        </w:rPr>
        <w:t>Индустриальный парк призван стать градообразующим предприятием города Ханты-Мансийска.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Индустриальный парк – это организация, в задачу которой входит привлечение инвесторов на заранее подготовленную и </w:t>
      </w:r>
      <w:proofErr w:type="spellStart"/>
      <w:r w:rsidRPr="005B0D7D">
        <w:rPr>
          <w:rFonts w:ascii="Times New Roman" w:eastAsia="Batang" w:hAnsi="Times New Roman" w:cs="Times New Roman"/>
          <w:sz w:val="28"/>
          <w:szCs w:val="28"/>
          <w:lang w:eastAsia="ko-KR"/>
        </w:rPr>
        <w:t>инфраструктурно</w:t>
      </w:r>
      <w:proofErr w:type="spellEnd"/>
      <w:r w:rsidRPr="005B0D7D">
        <w:rPr>
          <w:rFonts w:ascii="Times New Roman" w:eastAsia="Batang" w:hAnsi="Times New Roman" w:cs="Times New Roman"/>
          <w:sz w:val="28"/>
          <w:szCs w:val="28"/>
          <w:lang w:eastAsia="ko-KR"/>
        </w:rPr>
        <w:t xml:space="preserve"> обеспеченную территорию с целью размещения на ней перспективных для города производств.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Ханты-Мансийский индустриальный парк будет одним из звеньев системы индустриальных парков, создаваемых в разных городах Ханты-Мансийского автономного округа – Югры под эгидой Технопарка высоких технологий. Создание индустриального парка позволит обеспечить серийное производство инновационных разработок, в том числе спроектированных резидентами Технопарка.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Содружество малых, средних и крупных предприятий в рамках Индустриального парка позволит сформировать кластерные структуры. В рамках Индустриального парка планируется развивать следующие отрасли:</w:t>
      </w:r>
    </w:p>
    <w:p w:rsidR="005B0D7D" w:rsidRPr="005B0D7D" w:rsidRDefault="005B0D7D" w:rsidP="00193F39">
      <w:pPr>
        <w:numPr>
          <w:ilvl w:val="0"/>
          <w:numId w:val="12"/>
        </w:numPr>
        <w:tabs>
          <w:tab w:val="left" w:pos="993"/>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топливно-энергетический комплекс (развитие, освоение и промышленное применение методов увеличения </w:t>
      </w:r>
      <w:proofErr w:type="spellStart"/>
      <w:r w:rsidRPr="005B0D7D">
        <w:rPr>
          <w:rFonts w:ascii="Times New Roman" w:eastAsia="Batang" w:hAnsi="Times New Roman" w:cs="Times New Roman"/>
          <w:sz w:val="28"/>
          <w:szCs w:val="28"/>
          <w:lang w:eastAsia="ru-RU"/>
        </w:rPr>
        <w:t>нефтеотдачи</w:t>
      </w:r>
      <w:proofErr w:type="spellEnd"/>
      <w:r w:rsidRPr="005B0D7D">
        <w:rPr>
          <w:rFonts w:ascii="Times New Roman" w:eastAsia="Batang" w:hAnsi="Times New Roman" w:cs="Times New Roman"/>
          <w:sz w:val="28"/>
          <w:szCs w:val="28"/>
          <w:lang w:eastAsia="ru-RU"/>
        </w:rPr>
        <w:t>; разработка и применение современных технологий глубокой переработки углеводородного сырья);</w:t>
      </w:r>
    </w:p>
    <w:p w:rsidR="005B0D7D" w:rsidRPr="005B0D7D" w:rsidRDefault="005B0D7D" w:rsidP="00FA10BE">
      <w:pPr>
        <w:numPr>
          <w:ilvl w:val="0"/>
          <w:numId w:val="12"/>
        </w:numPr>
        <w:tabs>
          <w:tab w:val="left" w:pos="993"/>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информационные технологии;</w:t>
      </w:r>
    </w:p>
    <w:p w:rsidR="005B0D7D" w:rsidRPr="005B0D7D" w:rsidRDefault="005B0D7D" w:rsidP="00FA10BE">
      <w:pPr>
        <w:numPr>
          <w:ilvl w:val="0"/>
          <w:numId w:val="12"/>
        </w:numPr>
        <w:tabs>
          <w:tab w:val="left" w:pos="993"/>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строительство и жилищно-коммунальное хозяйство;</w:t>
      </w:r>
    </w:p>
    <w:p w:rsidR="005B0D7D" w:rsidRPr="005B0D7D" w:rsidRDefault="005B0D7D" w:rsidP="00FA10BE">
      <w:pPr>
        <w:numPr>
          <w:ilvl w:val="0"/>
          <w:numId w:val="12"/>
        </w:numPr>
        <w:tabs>
          <w:tab w:val="left" w:pos="993"/>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приборостроение и транспорт;</w:t>
      </w:r>
    </w:p>
    <w:p w:rsidR="005B0D7D" w:rsidRPr="005B0D7D" w:rsidRDefault="005B0D7D" w:rsidP="00FA10BE">
      <w:pPr>
        <w:numPr>
          <w:ilvl w:val="0"/>
          <w:numId w:val="12"/>
        </w:numPr>
        <w:tabs>
          <w:tab w:val="left" w:pos="993"/>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экологические технологии;</w:t>
      </w:r>
    </w:p>
    <w:p w:rsidR="005B0D7D" w:rsidRPr="005B0D7D" w:rsidRDefault="005B0D7D" w:rsidP="00FA10BE">
      <w:pPr>
        <w:numPr>
          <w:ilvl w:val="0"/>
          <w:numId w:val="12"/>
        </w:numPr>
        <w:tabs>
          <w:tab w:val="left" w:pos="993"/>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высокотехнологичные медицинские услуги и биотехнологии;</w:t>
      </w:r>
    </w:p>
    <w:p w:rsidR="005B0D7D" w:rsidRPr="005B0D7D" w:rsidRDefault="005B0D7D" w:rsidP="00FA10BE">
      <w:pPr>
        <w:numPr>
          <w:ilvl w:val="0"/>
          <w:numId w:val="12"/>
        </w:numPr>
        <w:tabs>
          <w:tab w:val="left" w:pos="993"/>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фармацевтическую промышленность;</w:t>
      </w:r>
    </w:p>
    <w:p w:rsidR="005B0D7D" w:rsidRPr="005B0D7D" w:rsidRDefault="005B0D7D" w:rsidP="00FA10BE">
      <w:pPr>
        <w:numPr>
          <w:ilvl w:val="0"/>
          <w:numId w:val="12"/>
        </w:numPr>
        <w:tabs>
          <w:tab w:val="left" w:pos="993"/>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авиакосмические технологии (получение, обработка и предоставление потребителям </w:t>
      </w:r>
      <w:proofErr w:type="spellStart"/>
      <w:r w:rsidRPr="005B0D7D">
        <w:rPr>
          <w:rFonts w:ascii="Times New Roman" w:eastAsia="Batang" w:hAnsi="Times New Roman" w:cs="Times New Roman"/>
          <w:sz w:val="28"/>
          <w:szCs w:val="28"/>
          <w:lang w:eastAsia="ru-RU"/>
        </w:rPr>
        <w:t>геоданных</w:t>
      </w:r>
      <w:proofErr w:type="spellEnd"/>
      <w:r w:rsidRPr="005B0D7D">
        <w:rPr>
          <w:rFonts w:ascii="Times New Roman" w:eastAsia="Batang" w:hAnsi="Times New Roman" w:cs="Times New Roman"/>
          <w:sz w:val="28"/>
          <w:szCs w:val="28"/>
          <w:lang w:eastAsia="ru-RU"/>
        </w:rPr>
        <w:t xml:space="preserve"> на основе материалов дистанционного зондирования Земли из космоса).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Управление развитием Индустриального парка будет осуществлять управляющая компания, выполняя ряд значимых функций:</w:t>
      </w:r>
    </w:p>
    <w:p w:rsidR="005B0D7D" w:rsidRPr="005B0D7D" w:rsidRDefault="005B0D7D" w:rsidP="00FA10BE">
      <w:pPr>
        <w:numPr>
          <w:ilvl w:val="0"/>
          <w:numId w:val="30"/>
        </w:numPr>
        <w:tabs>
          <w:tab w:val="clear" w:pos="72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Стартовый отбор резидентов</w:t>
      </w:r>
      <w:r w:rsidRPr="005B0D7D">
        <w:rPr>
          <w:rFonts w:ascii="Times New Roman" w:eastAsia="Batang" w:hAnsi="Times New Roman" w:cs="Times New Roman"/>
          <w:sz w:val="28"/>
          <w:szCs w:val="28"/>
          <w:lang w:eastAsia="ko-KR"/>
        </w:rPr>
        <w:t>. Организация информационных кампаний по привлечению новых резидентов, в том числе стратегических инвесторов. Проведение экспертизы бизнес-планов и конкурсного отбора резидентов индустриального парка. Формирование первичного перечня резидентов и «листа ожидания».</w:t>
      </w:r>
    </w:p>
    <w:p w:rsidR="005B0D7D" w:rsidRPr="005B0D7D" w:rsidRDefault="005B0D7D" w:rsidP="00FA10BE">
      <w:pPr>
        <w:numPr>
          <w:ilvl w:val="0"/>
          <w:numId w:val="30"/>
        </w:numPr>
        <w:tabs>
          <w:tab w:val="clear" w:pos="72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Оптимизация использования площадей Индустриального парка</w:t>
      </w:r>
      <w:r w:rsidRPr="005B0D7D">
        <w:rPr>
          <w:rFonts w:ascii="Times New Roman" w:eastAsia="Batang" w:hAnsi="Times New Roman" w:cs="Times New Roman"/>
          <w:sz w:val="28"/>
          <w:szCs w:val="28"/>
          <w:lang w:eastAsia="ko-KR"/>
        </w:rPr>
        <w:t>. Мониторинг эффективности использования площадей. Создание системы дифференцированных арендных ставок в зависимости от приоритетности производственной деятельности данного типа и социального эффекта. Подготовка технико-экономического обоснования реализации проектов модернизации и (или) создания новых производств.</w:t>
      </w:r>
    </w:p>
    <w:p w:rsidR="005B0D7D" w:rsidRPr="005B0D7D" w:rsidRDefault="005B0D7D" w:rsidP="00FA10BE">
      <w:pPr>
        <w:numPr>
          <w:ilvl w:val="0"/>
          <w:numId w:val="30"/>
        </w:numPr>
        <w:tabs>
          <w:tab w:val="clear" w:pos="72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Создание комфортных условий для производственной деятельности резидентов Индустриального парка</w:t>
      </w:r>
      <w:r w:rsidRPr="005B0D7D">
        <w:rPr>
          <w:rFonts w:ascii="Times New Roman" w:eastAsia="Batang" w:hAnsi="Times New Roman" w:cs="Times New Roman"/>
          <w:sz w:val="28"/>
          <w:szCs w:val="28"/>
          <w:lang w:eastAsia="ko-KR"/>
        </w:rPr>
        <w:t>. Обеспечение функционирования систем жизнеобеспечения объекта (электроснабжение, отопление и вентиляция, кондиционирование, водоснабжение и водо</w:t>
      </w:r>
      <w:r w:rsidR="00FA10BE">
        <w:rPr>
          <w:rFonts w:ascii="Times New Roman" w:eastAsia="Batang" w:hAnsi="Times New Roman" w:cs="Times New Roman"/>
          <w:sz w:val="28"/>
          <w:szCs w:val="28"/>
          <w:lang w:eastAsia="ko-KR"/>
        </w:rPr>
        <w:t>о</w:t>
      </w:r>
      <w:r w:rsidRPr="005B0D7D">
        <w:rPr>
          <w:rFonts w:ascii="Times New Roman" w:eastAsia="Batang" w:hAnsi="Times New Roman" w:cs="Times New Roman"/>
          <w:sz w:val="28"/>
          <w:szCs w:val="28"/>
          <w:lang w:eastAsia="ko-KR"/>
        </w:rPr>
        <w:t>тведение). Контроль состояния зданий, сооружений, оборудования, коммуникаций на территории, в пределах внешнего ограждения Индустриального парка. Содержание складов для вспомогательных материалов и энергоносителей. Контроль въездов и выездов автотранспорта.</w:t>
      </w:r>
    </w:p>
    <w:p w:rsidR="005B0D7D" w:rsidRPr="005B0D7D" w:rsidRDefault="005B0D7D" w:rsidP="00FA10BE">
      <w:pPr>
        <w:numPr>
          <w:ilvl w:val="0"/>
          <w:numId w:val="30"/>
        </w:numPr>
        <w:tabs>
          <w:tab w:val="clear" w:pos="72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lastRenderedPageBreak/>
        <w:t>Организация строительства</w:t>
      </w:r>
      <w:r w:rsidRPr="005B0D7D">
        <w:rPr>
          <w:rFonts w:ascii="Times New Roman" w:eastAsia="Batang" w:hAnsi="Times New Roman" w:cs="Times New Roman"/>
          <w:sz w:val="28"/>
          <w:szCs w:val="28"/>
          <w:lang w:eastAsia="ko-KR"/>
        </w:rPr>
        <w:t xml:space="preserve"> любых объектов, в том числе сложных специализированных производственных сооружений. Помощь в согласовании разрешительной документации. Выполнение функций заказчика-застройщика.</w:t>
      </w:r>
    </w:p>
    <w:p w:rsidR="005B0D7D" w:rsidRPr="005B0D7D" w:rsidRDefault="005B0D7D" w:rsidP="00FA10BE">
      <w:pPr>
        <w:numPr>
          <w:ilvl w:val="0"/>
          <w:numId w:val="30"/>
        </w:numPr>
        <w:tabs>
          <w:tab w:val="clear" w:pos="72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Предоставление сопутствующих услуг резидентам</w:t>
      </w:r>
      <w:r w:rsidRPr="005B0D7D">
        <w:rPr>
          <w:rFonts w:ascii="Times New Roman" w:eastAsia="Batang" w:hAnsi="Times New Roman" w:cs="Times New Roman"/>
          <w:sz w:val="28"/>
          <w:szCs w:val="28"/>
          <w:lang w:eastAsia="ko-KR"/>
        </w:rPr>
        <w:t xml:space="preserve"> (грузоперевозки, консалтинг, подбор персонала, микрофинансирование, содействие в получении кредита, содействие в регистрации прав инновационных компаний на объекты интеллектуальной собственности, услуги таможенного брокера, организация мероприятий, питания и т.п.).</w:t>
      </w:r>
    </w:p>
    <w:p w:rsidR="005B0D7D" w:rsidRPr="005B0D7D" w:rsidRDefault="005B0D7D" w:rsidP="00FA10BE">
      <w:pPr>
        <w:numPr>
          <w:ilvl w:val="0"/>
          <w:numId w:val="30"/>
        </w:numPr>
        <w:tabs>
          <w:tab w:val="clear" w:pos="72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Создание позитивного имиджа Индустриального парка и его резидентов</w:t>
      </w:r>
      <w:r w:rsidRPr="005B0D7D">
        <w:rPr>
          <w:rFonts w:ascii="Times New Roman" w:eastAsia="Batang" w:hAnsi="Times New Roman" w:cs="Times New Roman"/>
          <w:sz w:val="28"/>
          <w:szCs w:val="28"/>
          <w:lang w:eastAsia="ko-KR"/>
        </w:rPr>
        <w:t xml:space="preserve">. Участие в выставках, научно-практических конференциях, семинарах. Публикация информации об инновационных проектах. Разработка и ведение </w:t>
      </w:r>
      <w:proofErr w:type="gramStart"/>
      <w:r w:rsidRPr="005B0D7D">
        <w:rPr>
          <w:rFonts w:ascii="Times New Roman" w:eastAsia="Batang" w:hAnsi="Times New Roman" w:cs="Times New Roman"/>
          <w:sz w:val="28"/>
          <w:szCs w:val="28"/>
          <w:lang w:eastAsia="ko-KR"/>
        </w:rPr>
        <w:t>Интернет-портала</w:t>
      </w:r>
      <w:proofErr w:type="gramEnd"/>
      <w:r w:rsidRPr="005B0D7D">
        <w:rPr>
          <w:rFonts w:ascii="Times New Roman" w:eastAsia="Batang" w:hAnsi="Times New Roman" w:cs="Times New Roman"/>
          <w:sz w:val="28"/>
          <w:szCs w:val="28"/>
          <w:lang w:eastAsia="ko-KR"/>
        </w:rPr>
        <w:t xml:space="preserve"> Индустриального парка. Проведение на базе Индустриального парка конкурсов профессионального мастерства с целью интеграции в его деятельность системы среднего специального образования. Пропаганда инновационных разработок в производственной среде. Организация презентаций инновационных проектов и продукции потенциальным потребителям.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Средства, полученные управляющей компанией в результате своей деятельности, будут использоваться исключительно на проведение мероприятий, связанных с развитием инфраструктуры Индустриального парка и поддержкой местных высокотехнологичных предприятий-резидентов при их выходе на внешний и внутренний рынки.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Создание Индустриального парка в Ханты-Мансийске будет способствовать наращиванию экономического потенциала города и автономного округа, диверсификации экономики, формированию конкурентоспособных кластеров и, в конечном счете, – переходу экономики города на инновационный путь развития.</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sz w:val="28"/>
          <w:szCs w:val="28"/>
          <w:lang w:eastAsia="ko-KR"/>
        </w:rPr>
        <w:t xml:space="preserve">В перспективе, помимо Индустриального парка, в городе должно появиться еще несколько точек инновационного развития. В данном русле будет проводиться работа по превращению бывших </w:t>
      </w:r>
      <w:proofErr w:type="spellStart"/>
      <w:r w:rsidRPr="005B0D7D">
        <w:rPr>
          <w:rFonts w:ascii="Times New Roman" w:eastAsia="Batang" w:hAnsi="Times New Roman" w:cs="Times New Roman"/>
          <w:sz w:val="28"/>
          <w:szCs w:val="28"/>
          <w:lang w:eastAsia="ko-KR"/>
        </w:rPr>
        <w:t>промплощадок</w:t>
      </w:r>
      <w:proofErr w:type="spellEnd"/>
      <w:r w:rsidRPr="005B0D7D">
        <w:rPr>
          <w:rFonts w:ascii="Times New Roman" w:eastAsia="Batang" w:hAnsi="Times New Roman" w:cs="Times New Roman"/>
          <w:sz w:val="28"/>
          <w:szCs w:val="28"/>
          <w:lang w:eastAsia="ko-KR"/>
        </w:rPr>
        <w:t xml:space="preserve"> в центры креативных индустрий</w:t>
      </w:r>
      <w:r w:rsidRPr="005B0D7D">
        <w:rPr>
          <w:rFonts w:ascii="Times New Roman" w:eastAsia="Batang" w:hAnsi="Times New Roman" w:cs="Times New Roman"/>
          <w:bCs/>
          <w:sz w:val="28"/>
          <w:szCs w:val="28"/>
          <w:lang w:eastAsia="ko-KR"/>
        </w:rPr>
        <w:t>.</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26" w:name="_Toc406591407"/>
      <w:bookmarkStart w:id="227" w:name="_Toc410639522"/>
      <w:bookmarkStart w:id="228" w:name="_Toc404211554"/>
      <w:bookmarkStart w:id="229" w:name="_Toc404218188"/>
      <w:r w:rsidRPr="005B0D7D">
        <w:rPr>
          <w:rFonts w:ascii="Times New Roman" w:eastAsia="Batang" w:hAnsi="Times New Roman" w:cs="Times New Roman"/>
          <w:b/>
          <w:bCs/>
          <w:sz w:val="28"/>
          <w:szCs w:val="28"/>
          <w:lang w:eastAsia="ko-KR"/>
        </w:rPr>
        <w:t>Задача 6. Развитие сектора услуг, потребительского рынка</w:t>
      </w:r>
      <w:bookmarkEnd w:id="226"/>
      <w:bookmarkEnd w:id="22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содействие развитию инфраструктуры потребительского рынка, обеспечивающей ценовую и территориальную доступность широкого ассортимента товаров и разнообразие услуг с соблюдением гарантий качества и безопасности; формирование конкурентной среды и поддержка российских товаропроизводителей.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Рычагами муниципального воздействия на сферу потребительского рынка является использование муниципального имущества и земель, налоговое регулирование, различные иные формы поддержки малого и среднего предпринимательства, гибкая инвестиционная политика в отношении крупных компаний, размещающих торговые объекты на территории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Важная задача в рамках настоящей Стратегии – обеспечение гармонии между сетевыми магазинами и торговыми точками субъектов малого предпринимательства. Крупные сетевые магазины полезны городу тем, что создают рабочие места, платят налоги, предлагают широкий ассортимент </w:t>
      </w:r>
      <w:r w:rsidRPr="005B0D7D">
        <w:rPr>
          <w:rFonts w:ascii="Times New Roman" w:eastAsia="Batang" w:hAnsi="Times New Roman" w:cs="Times New Roman"/>
          <w:sz w:val="28"/>
          <w:szCs w:val="28"/>
          <w:lang w:eastAsia="ko-KR"/>
        </w:rPr>
        <w:lastRenderedPageBreak/>
        <w:t>продукции по более низким ценам, чем небольшие торговые предприятия, наконец, создают общественные пространства (фактически – аналоги паркам, проспектам и скверам), столь необходимые в северных условиях. Вместе с тем, чтобы крупный бизнес не препятствовал развитию деловой активности местных субъектов, решения, принимаемые в порядке реализации Стратегии, будут содержать меры по продвижению товаров и услуг производителей, зарегистрированных в городе Ханты-Мансийске.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Регулирование потребительского рынка предполагается в таких координатах, как ассортимент товаров и услуг, в том числе недостаточно выгодных, но важных для населения; повышение экономической доступности товаров; равная доступность основных товаров и услуг независимо от места проживания в пределах города; развитие системы </w:t>
      </w:r>
      <w:proofErr w:type="spellStart"/>
      <w:r w:rsidRPr="005B0D7D">
        <w:rPr>
          <w:rFonts w:ascii="Times New Roman" w:eastAsia="Batang" w:hAnsi="Times New Roman" w:cs="Times New Roman"/>
          <w:sz w:val="28"/>
          <w:szCs w:val="28"/>
          <w:lang w:eastAsia="ko-KR"/>
        </w:rPr>
        <w:t>товарообеспечения</w:t>
      </w:r>
      <w:proofErr w:type="spellEnd"/>
      <w:r w:rsidRPr="005B0D7D">
        <w:rPr>
          <w:rFonts w:ascii="Times New Roman" w:eastAsia="Batang" w:hAnsi="Times New Roman" w:cs="Times New Roman"/>
          <w:sz w:val="28"/>
          <w:szCs w:val="28"/>
          <w:lang w:eastAsia="ko-KR"/>
        </w:rPr>
        <w:t xml:space="preserve"> и логистики, стимулирование деловой активности хозяйствующих субъектов, осуществляющих торговую деятельность, организацию взаимодействия между хозяйствующими субъектами, осуществляющими торговую деятельность и хозяйствующими субъектами, осуществляющими производство (поставки) товаров, доступность предприятий торговли и услуг для лиц с ограниченными возможностями; эстетика торговых объектов. В данном ключе будут реализованы следующие блоки мероприятий.</w:t>
      </w:r>
    </w:p>
    <w:p w:rsidR="005B0D7D" w:rsidRPr="005B0D7D" w:rsidRDefault="005B0D7D" w:rsidP="005B0D7D">
      <w:pPr>
        <w:numPr>
          <w:ilvl w:val="0"/>
          <w:numId w:val="13"/>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Оптимизация мелкорозничной торговой сети в целях недопущения переизбытка объектов на одних территориях города и нехватки – на других.</w:t>
      </w:r>
    </w:p>
    <w:p w:rsidR="005B0D7D" w:rsidRPr="005B0D7D" w:rsidRDefault="005B0D7D" w:rsidP="005B0D7D">
      <w:pPr>
        <w:numPr>
          <w:ilvl w:val="0"/>
          <w:numId w:val="13"/>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Развитие сети объектов социально ориентированной торговой инфраструктуры, торгующих по сниженным ценам (магазины </w:t>
      </w:r>
      <w:proofErr w:type="gramStart"/>
      <w:r w:rsidRPr="005B0D7D">
        <w:rPr>
          <w:rFonts w:ascii="Times New Roman" w:eastAsia="Batang" w:hAnsi="Times New Roman" w:cs="Times New Roman"/>
          <w:sz w:val="28"/>
          <w:szCs w:val="28"/>
          <w:lang w:eastAsia="ru-RU"/>
        </w:rPr>
        <w:t>эконом-класса</w:t>
      </w:r>
      <w:proofErr w:type="gramEnd"/>
      <w:r w:rsidRPr="005B0D7D">
        <w:rPr>
          <w:rFonts w:ascii="Times New Roman" w:eastAsia="Batang" w:hAnsi="Times New Roman" w:cs="Times New Roman"/>
          <w:sz w:val="28"/>
          <w:szCs w:val="28"/>
          <w:lang w:eastAsia="ru-RU"/>
        </w:rPr>
        <w:t xml:space="preserve">, </w:t>
      </w:r>
      <w:proofErr w:type="spellStart"/>
      <w:r w:rsidRPr="005B0D7D">
        <w:rPr>
          <w:rFonts w:ascii="Times New Roman" w:eastAsia="Batang" w:hAnsi="Times New Roman" w:cs="Times New Roman"/>
          <w:sz w:val="28"/>
          <w:szCs w:val="28"/>
          <w:lang w:eastAsia="ru-RU"/>
        </w:rPr>
        <w:t>дискаунтеры</w:t>
      </w:r>
      <w:proofErr w:type="spellEnd"/>
      <w:r w:rsidRPr="005B0D7D">
        <w:rPr>
          <w:rFonts w:ascii="Times New Roman" w:eastAsia="Batang" w:hAnsi="Times New Roman" w:cs="Times New Roman"/>
          <w:sz w:val="28"/>
          <w:szCs w:val="28"/>
          <w:lang w:eastAsia="ru-RU"/>
        </w:rPr>
        <w:t>, магазины заказов); развитие системы обслуживания социально незащищенных категорий граждан с предоставлением скидок на товары и услуги по социальным картам или в рамках собственных дисконтных программ предприятий торговли.</w:t>
      </w:r>
    </w:p>
    <w:p w:rsidR="005B0D7D" w:rsidRPr="005B0D7D" w:rsidRDefault="005B0D7D" w:rsidP="005B0D7D">
      <w:pPr>
        <w:numPr>
          <w:ilvl w:val="0"/>
          <w:numId w:val="13"/>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Стимулирование инвестиционных проектов, направленных на строительство логистических центров поставок; развитие сети организаций, оказывающих логистические услуги в сфере торговли.</w:t>
      </w:r>
    </w:p>
    <w:p w:rsidR="005B0D7D" w:rsidRPr="005B0D7D" w:rsidRDefault="005B0D7D" w:rsidP="005B0D7D">
      <w:pPr>
        <w:numPr>
          <w:ilvl w:val="0"/>
          <w:numId w:val="13"/>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Включение в договоры о строительстве крупных жилых комплексов, на стадии их проектирования, положения об обязательном выделении части площадей под предприятия потребительского рынка (торговли, общественного питания, бытовые услуги) во избежание нарушения требований СанПиН. </w:t>
      </w:r>
    </w:p>
    <w:p w:rsidR="005B0D7D" w:rsidRPr="005B0D7D" w:rsidRDefault="005B0D7D" w:rsidP="005B0D7D">
      <w:pPr>
        <w:numPr>
          <w:ilvl w:val="0"/>
          <w:numId w:val="13"/>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Обеспечение вновь вводимых предприятий сферы торговли и услуг приспособлениями для доступа и передвижения инвалидов и других маломобильных граждан.</w:t>
      </w:r>
    </w:p>
    <w:p w:rsidR="005B0D7D" w:rsidRPr="005B0D7D" w:rsidRDefault="005B0D7D" w:rsidP="005B0D7D">
      <w:pPr>
        <w:numPr>
          <w:ilvl w:val="0"/>
          <w:numId w:val="13"/>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Обеспечение эстетики городской среды за счет предъявления требований к торговым объектам в части ремонта фасадов и помещений, оригинальных дизайнерских решений.</w:t>
      </w:r>
    </w:p>
    <w:p w:rsidR="005B0D7D" w:rsidRPr="005B0D7D" w:rsidRDefault="005B0D7D" w:rsidP="005B0D7D">
      <w:pPr>
        <w:numPr>
          <w:ilvl w:val="0"/>
          <w:numId w:val="13"/>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Содействие открытию торговых объектов по продаже товаров народных промыслов; </w:t>
      </w:r>
      <w:proofErr w:type="spellStart"/>
      <w:r w:rsidRPr="005B0D7D">
        <w:rPr>
          <w:rFonts w:ascii="Times New Roman" w:eastAsia="Batang" w:hAnsi="Times New Roman" w:cs="Times New Roman"/>
          <w:sz w:val="28"/>
          <w:szCs w:val="28"/>
          <w:lang w:eastAsia="ru-RU"/>
        </w:rPr>
        <w:t>выставочно</w:t>
      </w:r>
      <w:proofErr w:type="spellEnd"/>
      <w:r w:rsidRPr="005B0D7D">
        <w:rPr>
          <w:rFonts w:ascii="Times New Roman" w:eastAsia="Batang" w:hAnsi="Times New Roman" w:cs="Times New Roman"/>
          <w:sz w:val="28"/>
          <w:szCs w:val="28"/>
          <w:lang w:eastAsia="ru-RU"/>
        </w:rPr>
        <w:t>-ярмарочной деятельности в целях продвижения продукции местных и региональных товаропроизводителей через товаропроводящую систему субъектов малого предпринимательства.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Защита местных товаропроизводителей от издержек рыночной конкуренции с торговыми сетями приведет к росту производства, ориентированному на потребление жителями и гостями города. Эстетичный, оригинальный внешний вид торговых объектов в сочетании с высокой культурой обслуживания будут способствовать поддержанию позитивного имиджа города Ханты-Мансийска как административного центра Ханты-Мансийского автономного округа – Югры.</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30" w:name="_Toc406591408"/>
      <w:bookmarkStart w:id="231" w:name="_Toc410639523"/>
      <w:r w:rsidRPr="005B0D7D">
        <w:rPr>
          <w:rFonts w:ascii="Times New Roman" w:eastAsia="Batang" w:hAnsi="Times New Roman" w:cs="Times New Roman"/>
          <w:b/>
          <w:bCs/>
          <w:sz w:val="28"/>
          <w:szCs w:val="28"/>
          <w:lang w:eastAsia="ko-KR"/>
        </w:rPr>
        <w:t xml:space="preserve">Задача 7. </w:t>
      </w:r>
      <w:bookmarkEnd w:id="228"/>
      <w:bookmarkEnd w:id="229"/>
      <w:r w:rsidRPr="005B0D7D">
        <w:rPr>
          <w:rFonts w:ascii="Times New Roman" w:eastAsia="Batang" w:hAnsi="Times New Roman" w:cs="Times New Roman"/>
          <w:b/>
          <w:bCs/>
          <w:sz w:val="28"/>
          <w:szCs w:val="28"/>
          <w:lang w:eastAsia="ko-KR"/>
        </w:rPr>
        <w:t xml:space="preserve">Развитие сферы социально-трудовых </w:t>
      </w:r>
      <w:bookmarkEnd w:id="230"/>
      <w:r w:rsidRPr="005B0D7D">
        <w:rPr>
          <w:rFonts w:ascii="Times New Roman" w:eastAsia="Batang" w:hAnsi="Times New Roman" w:cs="Times New Roman"/>
          <w:b/>
          <w:bCs/>
          <w:sz w:val="28"/>
          <w:szCs w:val="28"/>
          <w:lang w:eastAsia="ko-KR"/>
        </w:rPr>
        <w:t>отношений</w:t>
      </w:r>
      <w:bookmarkEnd w:id="231"/>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регулирование рынка труда в части содействия занятости, обеспечения законности трудовых отношений, повышения ответственности работодателей, с одной стороны, и формирование слоя конкурентоспособных (креативных, квалифицированных и мотивированных) работников, составляющих корпус кадров для работы на предприятиях, создаваемых в рамках реализации перспективных инвестиционных проектов, с другой.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roofErr w:type="gramStart"/>
      <w:r w:rsidRPr="005B0D7D">
        <w:rPr>
          <w:rFonts w:ascii="Times New Roman" w:eastAsia="Batang" w:hAnsi="Times New Roman" w:cs="Times New Roman"/>
          <w:sz w:val="28"/>
          <w:szCs w:val="28"/>
          <w:lang w:eastAsia="ko-KR"/>
        </w:rPr>
        <w:t>Регулирование сферы трудовых отношений предполагает серию специфических воздействий, направленных, во-первых, на работающих граждан, во-вторых, на категории населения, неконкурентоспособные на рынке труда, в-третьих, на безработных, в-четвертых, на молодежь – будущее поколение работников, в-пятых, на специалистов, проживающих за пределами территории Ханты-Мансийского автономного округа – Югры, но ценных для данного региона, и, в-шестых, на инвесторов, от которых зависит расширение рынка труда и комфортность условий выполнения</w:t>
      </w:r>
      <w:proofErr w:type="gramEnd"/>
      <w:r w:rsidRPr="005B0D7D">
        <w:rPr>
          <w:rFonts w:ascii="Times New Roman" w:eastAsia="Batang" w:hAnsi="Times New Roman" w:cs="Times New Roman"/>
          <w:sz w:val="28"/>
          <w:szCs w:val="28"/>
          <w:lang w:eastAsia="ko-KR"/>
        </w:rPr>
        <w:t xml:space="preserve"> работы.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roofErr w:type="gramStart"/>
      <w:r w:rsidRPr="005B0D7D">
        <w:rPr>
          <w:rFonts w:ascii="Times New Roman" w:eastAsia="Batang" w:hAnsi="Times New Roman" w:cs="Times New Roman"/>
          <w:sz w:val="28"/>
          <w:szCs w:val="28"/>
          <w:lang w:eastAsia="ko-KR"/>
        </w:rPr>
        <w:t>Управленческое воздействие на участников фактически сложившегося рынка труда предполагает повышение правовой грамотности работников в сфере трудового законодательства, а также стимулирование работодателя к законным и прозрачным трудовым отношениям в рамках Трудового кодекса Российской Федерации (в частности профилактика выплат «черной» и «серой» заработной платы, неоплачиваемого сверхнормативного труда и т.д.), а также контроль за обеспечением комфортных и безопасных условий труда.</w:t>
      </w:r>
      <w:proofErr w:type="gramEnd"/>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К социальным категориям, наименее конкурентоспособным на рынке труда, относятся женщины, имеющие малолетних детей; многодетные родители; родители детей-инвалидов; граждане, имеющие ограничения трудоспособности по состоянию здоровья; граждане </w:t>
      </w:r>
      <w:proofErr w:type="spellStart"/>
      <w:r w:rsidRPr="005B0D7D">
        <w:rPr>
          <w:rFonts w:ascii="Times New Roman" w:eastAsia="Batang" w:hAnsi="Times New Roman" w:cs="Times New Roman"/>
          <w:sz w:val="28"/>
          <w:szCs w:val="28"/>
          <w:lang w:eastAsia="ko-KR"/>
        </w:rPr>
        <w:t>предпенсионного</w:t>
      </w:r>
      <w:proofErr w:type="spellEnd"/>
      <w:r w:rsidRPr="005B0D7D">
        <w:rPr>
          <w:rFonts w:ascii="Times New Roman" w:eastAsia="Batang" w:hAnsi="Times New Roman" w:cs="Times New Roman"/>
          <w:sz w:val="28"/>
          <w:szCs w:val="28"/>
          <w:lang w:eastAsia="ko-KR"/>
        </w:rPr>
        <w:t xml:space="preserve"> и пенсионного возрастов; молодые люди, не имеющие профессионального образования; выпускники учреждений профессионального образования без опыта работы; люди «социального дна». Адаптация данных категорий населения к рынку труда предполагает разработку системы стимулов для работодателя, в частности для трудоустройства инвалидов, а также дополнительное профессиональное обучение таких работников, обеспечение их информацией о предложениях работы на дому. Кстати, упомянутая мера в отношении женщин, имеющих детей дошкольного возраста, способна уменьшить очередность в детские сады. Приемлемым вариантом социальной адаптации бездомных граждан, а также лиц, </w:t>
      </w:r>
      <w:proofErr w:type="spellStart"/>
      <w:r w:rsidRPr="005B0D7D">
        <w:rPr>
          <w:rFonts w:ascii="Times New Roman" w:eastAsia="Batang" w:hAnsi="Times New Roman" w:cs="Times New Roman"/>
          <w:sz w:val="28"/>
          <w:szCs w:val="28"/>
          <w:lang w:eastAsia="ko-KR"/>
        </w:rPr>
        <w:t>выпустившихся</w:t>
      </w:r>
      <w:proofErr w:type="spellEnd"/>
      <w:r w:rsidRPr="005B0D7D">
        <w:rPr>
          <w:rFonts w:ascii="Times New Roman" w:eastAsia="Batang" w:hAnsi="Times New Roman" w:cs="Times New Roman"/>
          <w:sz w:val="28"/>
          <w:szCs w:val="28"/>
          <w:lang w:eastAsia="ko-KR"/>
        </w:rPr>
        <w:t xml:space="preserve"> из мест лишения свободы, является обеспечение их временной занятости на сельскохозяйственных работах в рамках </w:t>
      </w:r>
      <w:proofErr w:type="spellStart"/>
      <w:r w:rsidRPr="005B0D7D">
        <w:rPr>
          <w:rFonts w:ascii="Times New Roman" w:eastAsia="Batang" w:hAnsi="Times New Roman" w:cs="Times New Roman"/>
          <w:sz w:val="28"/>
          <w:szCs w:val="28"/>
          <w:lang w:eastAsia="ko-KR"/>
        </w:rPr>
        <w:t>Агропарка</w:t>
      </w:r>
      <w:proofErr w:type="spellEnd"/>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Меры по сокращению безработицы, помимо заполнения имеющихся вакансий, предполагают стимулирование создания рабочих мест, организацию оплачиваемых общественных работ, временное трудоустройство несовершеннолетних граждан, профессиональное обучение безработных востребованным специальностям, содействие открытию собственного предприятия, досрочное назначение пенсии. Также планируется информировать работодателей о возможности получения единовременной финансовой помощи на создание дополнительных рабочих мест для трудоустройства безработных граждан.</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Молодежная политика в части трудовых отношений значима тем, что формирует контуры будущего рынка труда. Необходимо нацеливать молодых людей на создание собственных жизненных стратегий в части профессионального развития и трудовой деятельности.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Итак, задача на ближайшую перспективу – поддерживать порядок и законность на рынке труда, обеспечивать создаваемые производства, в особенности инновационные, достаточной по численности и высококвалифицированной рабочей силой. В отдаленной перспективе должен измениться сам характер труда, который в большей мере будет направлен на решение проектных задач и создание нематериальных активов (работа в </w:t>
      </w:r>
      <w:proofErr w:type="spellStart"/>
      <w:r w:rsidRPr="005B0D7D">
        <w:rPr>
          <w:rFonts w:ascii="Times New Roman" w:eastAsia="Batang" w:hAnsi="Times New Roman" w:cs="Times New Roman"/>
          <w:sz w:val="28"/>
          <w:szCs w:val="28"/>
          <w:lang w:eastAsia="ko-KR"/>
        </w:rPr>
        <w:t>коворкинговых</w:t>
      </w:r>
      <w:proofErr w:type="spellEnd"/>
      <w:r w:rsidRPr="005B0D7D">
        <w:rPr>
          <w:rFonts w:ascii="Times New Roman" w:eastAsia="Batang" w:hAnsi="Times New Roman" w:cs="Times New Roman"/>
          <w:sz w:val="28"/>
          <w:szCs w:val="28"/>
          <w:lang w:eastAsia="ko-KR"/>
        </w:rPr>
        <w:t xml:space="preserve"> центрах, виртуальные сетевые сообщества и т.п.).</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32" w:name="_Toc406591409"/>
      <w:bookmarkStart w:id="233" w:name="_Toc410639524"/>
      <w:r w:rsidRPr="005B0D7D">
        <w:rPr>
          <w:rFonts w:ascii="Times New Roman" w:eastAsia="Batang" w:hAnsi="Times New Roman" w:cs="Times New Roman"/>
          <w:b/>
          <w:bCs/>
          <w:sz w:val="28"/>
          <w:szCs w:val="28"/>
          <w:lang w:eastAsia="ko-KR"/>
        </w:rPr>
        <w:t xml:space="preserve">Задача 8. </w:t>
      </w:r>
      <w:bookmarkEnd w:id="220"/>
      <w:bookmarkEnd w:id="221"/>
      <w:bookmarkEnd w:id="232"/>
      <w:bookmarkEnd w:id="233"/>
      <w:r w:rsidRPr="005B0D7D">
        <w:rPr>
          <w:rFonts w:ascii="Times New Roman" w:eastAsia="Batang" w:hAnsi="Times New Roman" w:cs="Times New Roman"/>
          <w:b/>
          <w:bCs/>
          <w:sz w:val="28"/>
          <w:szCs w:val="28"/>
          <w:lang w:eastAsia="ko-KR"/>
        </w:rPr>
        <w:t>Обеспечение населения доступным и комфортным жильем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повышение доступности жилья для различных категорий населения путем внедрения современных технологий удешевления жилищного строительства, содействия выдаче ипотечных кредитов на приемлемых условиях, переселения граждан из ветхих и аварийных домов, обеспечения участия льготных категорий населения в жилищных программах.</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Посыл настоящей Стратегии состоит в том, чтобы не ограничиваться обеспечением жильем льготных категорий </w:t>
      </w:r>
      <w:proofErr w:type="gramStart"/>
      <w:r w:rsidRPr="005B0D7D">
        <w:rPr>
          <w:rFonts w:ascii="Times New Roman" w:eastAsia="Batang" w:hAnsi="Times New Roman" w:cs="Times New Roman"/>
          <w:sz w:val="28"/>
          <w:szCs w:val="28"/>
          <w:lang w:eastAsia="ko-KR"/>
        </w:rPr>
        <w:t>населения</w:t>
      </w:r>
      <w:proofErr w:type="gramEnd"/>
      <w:r w:rsidRPr="005B0D7D">
        <w:rPr>
          <w:rFonts w:ascii="Times New Roman" w:eastAsia="Batang" w:hAnsi="Times New Roman" w:cs="Times New Roman"/>
          <w:sz w:val="28"/>
          <w:szCs w:val="28"/>
          <w:lang w:eastAsia="ko-KR"/>
        </w:rPr>
        <w:t xml:space="preserve"> в рамках достаточно успешно реализуемых программ, а сделать задачу улучшения жилищных условий посильной для большинства горожан. В целях повышения доступности жилья объектом муниципального регулирования станут следующие узловые моменты: 1) использование стройматериалов, 2) отношения с застройщиками; 3) технологии обеспечения граждан жильем.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Одним из направлений перспективной инновационной деятельности в городе Ханты-Мансийске обозначено производство высокотехнологичных строительных материалов – экономичных по стоимости и в то же время легких и </w:t>
      </w:r>
      <w:proofErr w:type="spellStart"/>
      <w:r w:rsidRPr="005B0D7D">
        <w:rPr>
          <w:rFonts w:ascii="Times New Roman" w:eastAsia="Batang" w:hAnsi="Times New Roman" w:cs="Times New Roman"/>
          <w:sz w:val="28"/>
          <w:szCs w:val="28"/>
          <w:lang w:eastAsia="ko-KR"/>
        </w:rPr>
        <w:t>энергоэффективных</w:t>
      </w:r>
      <w:proofErr w:type="spellEnd"/>
      <w:r w:rsidRPr="005B0D7D">
        <w:rPr>
          <w:rFonts w:ascii="Times New Roman" w:eastAsia="Batang" w:hAnsi="Times New Roman" w:cs="Times New Roman"/>
          <w:sz w:val="28"/>
          <w:szCs w:val="28"/>
          <w:lang w:eastAsia="ko-KR"/>
        </w:rPr>
        <w:t>. При этом важно не только налаживать массовое производство этих стройматериалов, но и стимулировать застройщиков к их использованию. Удешевлению производства стройматериалов будет способствовать использование возможностей местной минерально-сырьевой базы. Также перспективным, хотя и для узкого сегмента рынка, представляется производство комплектов домов для деревянного малоэтажного строительства.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Повышению качества строительных работ и в то же время облегчению процедуры взаимодействия между Администрацией города Ханты-Мансийска и </w:t>
      </w:r>
      <w:r w:rsidRPr="005B0D7D">
        <w:rPr>
          <w:rFonts w:ascii="Times New Roman" w:eastAsia="Batang" w:hAnsi="Times New Roman" w:cs="Times New Roman"/>
          <w:sz w:val="28"/>
          <w:szCs w:val="28"/>
          <w:lang w:eastAsia="ko-KR"/>
        </w:rPr>
        <w:lastRenderedPageBreak/>
        <w:t xml:space="preserve">застройщиками может способствовать сопровождение процессов строительства от выделения земельного участка до ввода объекта в эксплуатацию. Процедура сопровождения застройщиков по большому счету не будет отличаться от процедуры сопровождения инвестиционных проектов, описанной в рамках Задачи 3.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Среди технологий обеспечения граждан доступным жильем дальнейшее развитие получат следующие:</w:t>
      </w:r>
    </w:p>
    <w:p w:rsidR="005B0D7D" w:rsidRPr="005B0D7D" w:rsidRDefault="005B0D7D" w:rsidP="00FA10BE">
      <w:pPr>
        <w:numPr>
          <w:ilvl w:val="1"/>
          <w:numId w:val="5"/>
        </w:numPr>
        <w:tabs>
          <w:tab w:val="left" w:pos="1134"/>
        </w:tabs>
        <w:spacing w:after="0" w:line="240" w:lineRule="auto"/>
        <w:ind w:left="0" w:firstLine="709"/>
        <w:contextualSpacing/>
        <w:jc w:val="both"/>
        <w:rPr>
          <w:rFonts w:ascii="Times New Roman" w:eastAsia="Batang" w:hAnsi="Times New Roman" w:cs="Times New Roman"/>
          <w:bCs/>
          <w:sz w:val="28"/>
          <w:szCs w:val="28"/>
          <w:lang w:eastAsia="ru-RU"/>
        </w:rPr>
      </w:pPr>
      <w:r w:rsidRPr="005B0D7D">
        <w:rPr>
          <w:rFonts w:ascii="Times New Roman" w:eastAsia="Batang" w:hAnsi="Times New Roman" w:cs="Times New Roman"/>
          <w:bCs/>
          <w:sz w:val="28"/>
          <w:szCs w:val="28"/>
          <w:lang w:eastAsia="ru-RU"/>
        </w:rPr>
        <w:t>Стимулирование застройщиков к строительству арендного жилья.</w:t>
      </w:r>
      <w:r w:rsidRPr="005B0D7D">
        <w:rPr>
          <w:rFonts w:ascii="Times New Roman" w:eastAsia="Batang" w:hAnsi="Times New Roman" w:cs="Times New Roman"/>
          <w:sz w:val="28"/>
          <w:szCs w:val="28"/>
          <w:lang w:eastAsia="ru-RU"/>
        </w:rPr>
        <w:t xml:space="preserve"> Зарубежный и российский опыт показывает, что строительство арендного жилья невыгодно застройщику. Следовательно, реализация данной технологии будет зависеть от возможностей местного бюджета компенсировать недополученные доходы.</w:t>
      </w:r>
    </w:p>
    <w:p w:rsidR="005B0D7D" w:rsidRPr="005B0D7D" w:rsidRDefault="005B0D7D" w:rsidP="00FA10BE">
      <w:pPr>
        <w:numPr>
          <w:ilvl w:val="1"/>
          <w:numId w:val="5"/>
        </w:numPr>
        <w:tabs>
          <w:tab w:val="left" w:pos="1134"/>
        </w:tabs>
        <w:spacing w:after="0" w:line="240" w:lineRule="auto"/>
        <w:ind w:left="0" w:firstLine="709"/>
        <w:contextualSpacing/>
        <w:jc w:val="both"/>
        <w:rPr>
          <w:rFonts w:ascii="Times New Roman" w:eastAsia="Batang" w:hAnsi="Times New Roman" w:cs="Times New Roman"/>
          <w:bCs/>
          <w:sz w:val="28"/>
          <w:szCs w:val="28"/>
          <w:lang w:eastAsia="ru-RU"/>
        </w:rPr>
      </w:pPr>
      <w:r w:rsidRPr="005B0D7D">
        <w:rPr>
          <w:rFonts w:ascii="Times New Roman" w:eastAsia="Batang" w:hAnsi="Times New Roman" w:cs="Times New Roman"/>
          <w:bCs/>
          <w:sz w:val="28"/>
          <w:szCs w:val="28"/>
          <w:lang w:eastAsia="ru-RU"/>
        </w:rPr>
        <w:t>Создание Ипотечного Агентства.</w:t>
      </w:r>
    </w:p>
    <w:p w:rsidR="005B0D7D" w:rsidRPr="005B0D7D" w:rsidRDefault="005B0D7D" w:rsidP="00FA10BE">
      <w:pPr>
        <w:numPr>
          <w:ilvl w:val="1"/>
          <w:numId w:val="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bCs/>
          <w:sz w:val="28"/>
          <w:szCs w:val="28"/>
          <w:lang w:eastAsia="ru-RU"/>
        </w:rPr>
        <w:t>Внедрение технологии «молодежного жилищного кооператива».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Технология молодежного жилищного кооператива, реализованная на отдельных российских территориях, позволяет снизить стоимость квадратного метра жилья до 50% от ее рыночного уровня. В качестве застройщика выступает кооператив, который объединяет будущих жильцов. Часть средств кооператив может получать за счет субсидируемой округом передачи квартир льготным категориям населения в рамках жилищных программ. Перед будущими жильцами ставится задача: либо финансировать фактически произведенные расходы на строительство дома, либо отрабатывать их физическим трудом, не требующим квалификации. Отделка квартир и закупка необходимых предметов быта и оборудования осуществляется по оптовым ценам. Опыт показывает, что таким образом не просто достигается экономия, но и формируется прочное соседское сообщество задолго до момента вселения жильцов в квартиры. Использование первых этажей по решению кооператива может быть как некоммерческим – например, путем организации комнаты школьника, библиотеки и т.п., так и коммерческим – в этом случае арендная плата компенсирует часть оплаты за коммунальные услуги.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Итак, решение стратегической задачи по обеспечению граждан доступным жильем создаст условия для увеличения объемов жилищного строительства, будет способствовать повышению комфортности проживания за счет использования инновационных стройматериалов и в целом приведет к увеличению возможности жителей города улучшить свои жилищные условия.</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34" w:name="_Toc404211558"/>
      <w:bookmarkStart w:id="235" w:name="_Toc404218192"/>
      <w:bookmarkStart w:id="236" w:name="_Toc406591410"/>
      <w:bookmarkStart w:id="237" w:name="_Toc410639525"/>
      <w:bookmarkStart w:id="238" w:name="_Toc404211559"/>
      <w:bookmarkStart w:id="239" w:name="_Toc404218193"/>
      <w:r w:rsidRPr="005B0D7D">
        <w:rPr>
          <w:rFonts w:ascii="Times New Roman" w:eastAsia="Batang" w:hAnsi="Times New Roman" w:cs="Times New Roman"/>
          <w:b/>
          <w:bCs/>
          <w:sz w:val="28"/>
          <w:szCs w:val="28"/>
          <w:lang w:eastAsia="ko-KR"/>
        </w:rPr>
        <w:t>Задача 9. Снижение уровня социального неравенства, активизация социального потенциала населения</w:t>
      </w:r>
      <w:bookmarkEnd w:id="234"/>
      <w:bookmarkEnd w:id="235"/>
      <w:bookmarkEnd w:id="236"/>
      <w:bookmarkEnd w:id="23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развитие системы социальной защиты таким образом, чтобы главной ее функцией была реализация человеческого и социального потенциала населения, в том числе путем включения социально-незащищенных групп населения в активную общественную жизнь</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Прежде всего, необходимо исследовать действующие механизмы социальной поддержки населения, определив соотношение между </w:t>
      </w:r>
      <w:r w:rsidRPr="005B0D7D">
        <w:rPr>
          <w:rFonts w:ascii="Times New Roman" w:eastAsia="Batang" w:hAnsi="Times New Roman" w:cs="Times New Roman"/>
          <w:sz w:val="28"/>
          <w:szCs w:val="28"/>
          <w:lang w:eastAsia="ko-KR"/>
        </w:rPr>
        <w:lastRenderedPageBreak/>
        <w:t>предоставлением дополнительных мер, предусмотренных локальными актами, и увеличением степени реализации потребностей граждан.</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Система социальной поддержки должна работать на удовлетворение не только материальных потребностей, но и потребностей более высокого порядка. Так, проявление интереса к пожилому человеку со стороны специалиста, социального работника либо волонтера в части истории его жизни (проект «Народный архив») либо мнения по какому-либо вопросу (проект «Муниципальная социология») повысит ощущение его полезности обществу.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целях активизации социального потенциала пожилых людей может быть реализован проект «Бюро бабушкиных услуг». Данный проект предполагает формирование баз данных, с одной стороны, молодых семей, нуждающихся в определенных услугах (репетиторство, отведение ребенка в школу и т.п.), а с другой, базы данных пожилых людей, готовых эту услугу оказать.</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Важным направлением развития социальной защиты является повышение доступности городской среды для лиц с ограниченными возможностями («</w:t>
      </w:r>
      <w:proofErr w:type="spellStart"/>
      <w:r w:rsidRPr="005B0D7D">
        <w:rPr>
          <w:rFonts w:ascii="Times New Roman" w:eastAsia="Batang" w:hAnsi="Times New Roman" w:cs="Times New Roman"/>
          <w:sz w:val="28"/>
          <w:szCs w:val="28"/>
          <w:lang w:eastAsia="ko-KR"/>
        </w:rPr>
        <w:t>безбарьерная</w:t>
      </w:r>
      <w:proofErr w:type="spellEnd"/>
      <w:r w:rsidRPr="005B0D7D">
        <w:rPr>
          <w:rFonts w:ascii="Times New Roman" w:eastAsia="Batang" w:hAnsi="Times New Roman" w:cs="Times New Roman"/>
          <w:sz w:val="28"/>
          <w:szCs w:val="28"/>
          <w:lang w:eastAsia="ko-KR"/>
        </w:rPr>
        <w:t xml:space="preserve"> среда»). Мероприятия в данном ключе будут направлены на увеличение доли объектов городской среды, доступных для инвалидов; создание реабилитационной рекреационной зоны для инвалидов; проведение экскурсий по городу для инвалидов, содействие организации профобразования данной социальной группы и т.д.</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Поскольку комфортность жизни социально-незащищенных слоев населения во многом зависит от их взаимодействия с основной массой населения, в рамках Стратегии планируется проводить мероприятия, направленные на формирование сочувственного отношения к инвалидам и психическим больным.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Особенностью системы социальной защиты города Ханты-Мансийска является то, что ее субъектами выступают, помимо административных структур, граждане, общественные объединения, а также бюджетные и коммерческие организации.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Активизация социального потенциала жителей и организаций города предполагает три направления деятельности муниципалитета: 1) сбор инициативных предложений от граждан, 2) формирование на территории Ханты-Мансийска устойчивых и активных социально-ориентированных некоммерческих организаций; 3) вовлечение бюджетных и коммерческих организаций в деятельность по улучшению городской среды.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Планируется широкое внедрение в муниципальную практику поддержки инициатив граждан по улучшению городской среды (природной, социальной, экономической и т.п.) – как в рамках конкурсов социальных проектов, так и вне конкурсов в форме «виртуального ящика для рационализаторских предложений». Будет совершенствоваться система мотивации, чтобы инициативные граждане чувствовали свою востребованность и причастность к будущему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Предполагается содействовать созданию в городе блока мощных общественных организаций, способных заниматься не только волонтерской, благотворительной и организационно-массовой деятельностью, но и вопросами реализации человеческого потенциала пенсионеров, инвалидов, детей-сирот и иных социально-незащищенных групп населения. Поддержка социально-</w:t>
      </w:r>
      <w:r w:rsidRPr="005B0D7D">
        <w:rPr>
          <w:rFonts w:ascii="Times New Roman" w:eastAsia="Batang" w:hAnsi="Times New Roman" w:cs="Times New Roman"/>
          <w:sz w:val="28"/>
          <w:szCs w:val="28"/>
          <w:lang w:eastAsia="ko-KR"/>
        </w:rPr>
        <w:lastRenderedPageBreak/>
        <w:t>ориентированных некоммерческих организаций будет осуществляться при условии соответствия их деятельности следующим приоритетным направлениям:</w:t>
      </w:r>
    </w:p>
    <w:p w:rsidR="005B0D7D" w:rsidRPr="005B0D7D" w:rsidRDefault="005B0D7D" w:rsidP="005B0D7D">
      <w:pPr>
        <w:numPr>
          <w:ilvl w:val="1"/>
          <w:numId w:val="2"/>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работа по включению в активную общественную жизнь социально-незащищенных категорий населения;</w:t>
      </w:r>
    </w:p>
    <w:p w:rsidR="005B0D7D" w:rsidRPr="005B0D7D" w:rsidRDefault="005B0D7D" w:rsidP="005B0D7D">
      <w:pPr>
        <w:numPr>
          <w:ilvl w:val="1"/>
          <w:numId w:val="2"/>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содействие укреплению межнационального и межконфессионального согласия;</w:t>
      </w:r>
    </w:p>
    <w:p w:rsidR="005B0D7D" w:rsidRPr="005B0D7D" w:rsidRDefault="005B0D7D" w:rsidP="005B0D7D">
      <w:pPr>
        <w:numPr>
          <w:ilvl w:val="1"/>
          <w:numId w:val="2"/>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благотворительная деятельность и добровольчество (создание портала «Книга добрых дел», проведение Недели добра и других подобных мероприятий;</w:t>
      </w:r>
    </w:p>
    <w:p w:rsidR="005B0D7D" w:rsidRPr="005B0D7D" w:rsidRDefault="005B0D7D" w:rsidP="005B0D7D">
      <w:pPr>
        <w:numPr>
          <w:ilvl w:val="1"/>
          <w:numId w:val="2"/>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работа по активизации потенциала граждан по месту жительства.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Поддержка социально-ориентированных некоммерческих организаций будет осуществляться в следующих формах.</w:t>
      </w:r>
    </w:p>
    <w:p w:rsidR="005B0D7D" w:rsidRPr="005B0D7D" w:rsidRDefault="005B0D7D" w:rsidP="00FA10BE">
      <w:pPr>
        <w:numPr>
          <w:ilvl w:val="0"/>
          <w:numId w:val="2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Содействие государственной регистрации социально-ориентированных некоммерческих организаций.</w:t>
      </w:r>
    </w:p>
    <w:p w:rsidR="005B0D7D" w:rsidRPr="005B0D7D" w:rsidRDefault="005B0D7D" w:rsidP="00FA10BE">
      <w:pPr>
        <w:numPr>
          <w:ilvl w:val="0"/>
          <w:numId w:val="2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Укрепление материально-технической базы социально-ориентированных некоммерческих организаций в целях активизации их деятельности в интересах местного сообщества.</w:t>
      </w:r>
    </w:p>
    <w:p w:rsidR="005B0D7D" w:rsidRPr="005B0D7D" w:rsidRDefault="005B0D7D" w:rsidP="00FA10BE">
      <w:pPr>
        <w:numPr>
          <w:ilvl w:val="0"/>
          <w:numId w:val="2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Организация обучения лидеров и активистов общественных организаций основам проектного управления, организация консультирования лидеров и работников общественных организаций по правовым и экономическим вопросам</w:t>
      </w:r>
    </w:p>
    <w:p w:rsidR="005B0D7D" w:rsidRPr="005B0D7D" w:rsidRDefault="005B0D7D" w:rsidP="00FA10BE">
      <w:pPr>
        <w:numPr>
          <w:ilvl w:val="0"/>
          <w:numId w:val="2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Содействие установлению партнерских связей с организациями, зарегистрированными в других регионах и муниципальных образованиях, занимающимися сходными видами деятельности.</w:t>
      </w:r>
    </w:p>
    <w:p w:rsidR="005B0D7D" w:rsidRPr="005B0D7D" w:rsidRDefault="005B0D7D" w:rsidP="00FA10BE">
      <w:pPr>
        <w:numPr>
          <w:ilvl w:val="0"/>
          <w:numId w:val="2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Информирование жителей города о деятельности социально-ориентированных некоммерческих организаций, презентация лучших социальных практик на окружном и российском уровнях.</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Социально-ориентированные некоммерческие организации смогут рассчитывать как на муниципальную поддержку в обозначенных формах, так и на финансовую и информационную поддержку в рамках Государственной программы Ханты-Мансийского автономного округа – Югры «Развитие гражданского общества Ханты-Мансийского автономного округа – Югры на 2014-2020 годы».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Вовлечение бюджетных и коммерческих организаций города в деятельность по улучшению городской среды будет направлено на то, чтобы стремление облагородить городское пространство и помочь местному сообществу воспринималось как неотъемлемая ценность корпоративной культуры. В самом деле, расположенные в городе крупные организации, как правило, имеют большие административные и материальные ресурсы, однако зачастую фактически отделены от города и слабо участвуют в его жизнедеятельности. Инструментами активизации корпоративного потенциала организаций будут соглашения о социальном партнерстве.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В целом реализация комплекса мер в сфере социальной защиты населения будет способствовать улучшению психологического климата в обществе, повышению продолжительности жизни горожан.</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40" w:name="_Toc406591411"/>
      <w:bookmarkStart w:id="241" w:name="_Toc410639526"/>
      <w:r w:rsidRPr="005B0D7D">
        <w:rPr>
          <w:rFonts w:ascii="Times New Roman" w:eastAsia="Batang" w:hAnsi="Times New Roman" w:cs="Times New Roman"/>
          <w:b/>
          <w:bCs/>
          <w:sz w:val="28"/>
          <w:szCs w:val="28"/>
          <w:lang w:eastAsia="ko-KR"/>
        </w:rPr>
        <w:t xml:space="preserve">Задача 10. </w:t>
      </w:r>
      <w:bookmarkEnd w:id="238"/>
      <w:bookmarkEnd w:id="239"/>
      <w:r w:rsidRPr="005B0D7D">
        <w:rPr>
          <w:rFonts w:ascii="Times New Roman" w:eastAsia="Batang" w:hAnsi="Times New Roman" w:cs="Times New Roman"/>
          <w:b/>
          <w:bCs/>
          <w:sz w:val="28"/>
          <w:szCs w:val="28"/>
          <w:lang w:eastAsia="ko-KR"/>
        </w:rPr>
        <w:t>Развитие образования</w:t>
      </w:r>
      <w:bookmarkEnd w:id="240"/>
      <w:bookmarkEnd w:id="241"/>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обеспечение направленности системы образования на формирование как высокого интеллектуального потенциала города, способного развивать инновационную экономику, так и значительного социального потенциала населения – позитивного поведения и отношения к жизни (правосознание, патриотизм, профессионализм и т.д.).</w:t>
      </w:r>
    </w:p>
    <w:p w:rsidR="005B0D7D" w:rsidRPr="005B0D7D" w:rsidRDefault="005B0D7D" w:rsidP="005B0D7D">
      <w:pPr>
        <w:spacing w:before="120" w:after="0" w:line="240" w:lineRule="auto"/>
        <w:ind w:firstLine="720"/>
        <w:jc w:val="both"/>
        <w:rPr>
          <w:rFonts w:ascii="Times New Roman" w:eastAsia="Batang" w:hAnsi="Times New Roman" w:cs="Times New Roman"/>
          <w:i/>
          <w:sz w:val="28"/>
          <w:szCs w:val="28"/>
          <w:lang w:eastAsia="ko-KR"/>
        </w:rPr>
      </w:pPr>
      <w:r w:rsidRPr="005B0D7D">
        <w:rPr>
          <w:rFonts w:ascii="Times New Roman" w:eastAsia="Batang" w:hAnsi="Times New Roman" w:cs="Times New Roman"/>
          <w:i/>
          <w:sz w:val="28"/>
          <w:szCs w:val="28"/>
          <w:lang w:eastAsia="ko-KR"/>
        </w:rPr>
        <w:t>Дошкольное образование и воспитание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Проблему ликвидации очередности в дошкольные образовательные учреждения планируется решать, комбинируя различные способы.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Прежде всего, с учетом прогнозируемого роста численности населения города предполагается строить новые детские сады. В условиях ограниченности местного бюджета преимущественной формой строительства дошкольных образовательных организаций станет государственно-частное партнерство.</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Также к оказанию услуг по содержанию детей и дошкольному образованию планируется привлекать негосударственные организации и учреждения, отдавая им предпочтение в рамках системы поддержки малого и среднего предпринимательства.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ru-RU"/>
        </w:rPr>
        <w:t>Для организации групп по присмотру и уходу за детьми субъектам предпринимательской деятельности будут предоставляться в аренду нежилые помещения. При этом условием их муниципальной поддержки станет содействие в оформлении лицензии на осуществление образовательной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ru-RU"/>
        </w:rPr>
        <w:t>Представителям малого и среднего бизнеса будут оказываться консультационные услуги по вопросам лицензирования, организации питания, создания современной развивающей среды в группах для детей дошкольного возраста, изменений в законодательстве, а также по вопросам взаимодействия с муниципальными бюджетными дошкольными образовательными учреждениями.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Частным детским садам будет предоставляться </w:t>
      </w:r>
      <w:r w:rsidRPr="005B0D7D">
        <w:rPr>
          <w:rFonts w:ascii="Times New Roman" w:eastAsia="Batang" w:hAnsi="Times New Roman" w:cs="Times New Roman"/>
          <w:sz w:val="28"/>
          <w:szCs w:val="28"/>
          <w:lang w:eastAsia="ru-RU"/>
        </w:rPr>
        <w:t>территория муниципальных дошкольных образовательных учреждений для прогулок воспитанников.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целях повышения эффективности работы муниципальных дошкольных образовательных организаций в части большего охвата детей их услугами планируется проводить обследование помещений в целях поиска ресурса для организации дополнительных групп.</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Содержательная работа дошкольных образовательных организаций будет направлена на раннее выявление одаренных детей и последующее их развитие, патриотическое воспитание, </w:t>
      </w:r>
      <w:proofErr w:type="spellStart"/>
      <w:r w:rsidRPr="005B0D7D">
        <w:rPr>
          <w:rFonts w:ascii="Times New Roman" w:eastAsia="Batang" w:hAnsi="Times New Roman" w:cs="Times New Roman"/>
          <w:sz w:val="28"/>
          <w:szCs w:val="28"/>
          <w:lang w:eastAsia="ko-KR"/>
        </w:rPr>
        <w:t>здоровьесбережение</w:t>
      </w:r>
      <w:proofErr w:type="spellEnd"/>
      <w:r w:rsidRPr="005B0D7D">
        <w:rPr>
          <w:rFonts w:ascii="Times New Roman" w:eastAsia="Batang" w:hAnsi="Times New Roman" w:cs="Times New Roman"/>
          <w:sz w:val="28"/>
          <w:szCs w:val="28"/>
          <w:lang w:eastAsia="ko-KR"/>
        </w:rPr>
        <w:t>, обеспечение преемственности дошкольного и начального общего образования.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Предполагается внедрение вариативных программ дополнительного образования на базе различных дошкольных образовательных организаций. В силу роста числа детей с нарушениями здоровья планируется открывать детские сады с медицинским сопровождением.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Преемственность между дошкольным и начальным образованием будет обеспечена путем создания образовательных комплексов.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целях повышения роли семейного воспитания семьям, не отдающим детей в детские сады, будет оказываться методическая помощь в части воспитания и подготовки к школе. Также предполагается, что инновационное развитие города приведет к появлению рабочих мест для креативного класса, основанных на проектной деятельности и предполагающих свободный трудовой распорядок, что позволит обоим родителям рационально распределять время между выполнением работы и воспитанием детей.</w:t>
      </w:r>
    </w:p>
    <w:p w:rsidR="005B0D7D" w:rsidRPr="005B0D7D" w:rsidRDefault="005B0D7D" w:rsidP="005B0D7D">
      <w:pPr>
        <w:spacing w:before="120" w:after="0" w:line="240" w:lineRule="auto"/>
        <w:ind w:firstLine="720"/>
        <w:jc w:val="both"/>
        <w:rPr>
          <w:rFonts w:ascii="Times New Roman" w:eastAsia="Batang" w:hAnsi="Times New Roman" w:cs="Times New Roman"/>
          <w:i/>
          <w:sz w:val="28"/>
          <w:szCs w:val="28"/>
          <w:lang w:eastAsia="ko-KR"/>
        </w:rPr>
      </w:pPr>
      <w:r w:rsidRPr="005B0D7D">
        <w:rPr>
          <w:rFonts w:ascii="Times New Roman" w:eastAsia="Batang" w:hAnsi="Times New Roman" w:cs="Times New Roman"/>
          <w:i/>
          <w:sz w:val="28"/>
          <w:szCs w:val="28"/>
          <w:lang w:eastAsia="ko-KR"/>
        </w:rPr>
        <w:t>Общее образование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Развитие системы общего образования будет направлено на совершенствование таких его аспектов, как условия обучения, квалификация кадров, учебные программы, профориентация, воспитательная работа, </w:t>
      </w:r>
      <w:proofErr w:type="spellStart"/>
      <w:r w:rsidRPr="005B0D7D">
        <w:rPr>
          <w:rFonts w:ascii="Times New Roman" w:eastAsia="Batang" w:hAnsi="Times New Roman" w:cs="Times New Roman"/>
          <w:sz w:val="28"/>
          <w:szCs w:val="28"/>
          <w:lang w:eastAsia="ko-KR"/>
        </w:rPr>
        <w:t>здоровьесбережение</w:t>
      </w:r>
      <w:proofErr w:type="spellEnd"/>
      <w:r w:rsidRPr="005B0D7D">
        <w:rPr>
          <w:rFonts w:ascii="Times New Roman" w:eastAsia="Batang" w:hAnsi="Times New Roman" w:cs="Times New Roman"/>
          <w:sz w:val="28"/>
          <w:szCs w:val="28"/>
          <w:lang w:eastAsia="ko-KR"/>
        </w:rPr>
        <w:t>, школьное самоуправление.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Большую значимость имеет восстановление ответственности системы образования за духовно-нравственное воспитание подрастающего поколения, формирование гражданской идентичности и национального самосознания.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части формирования интеллектуального потенциала школьников будут учитываться потребности общества в дифференцированном обучении. Для старшеклассников будет обеспечиваться возможность выбора профиля обучения и индивидуальной траектории освоения образовательной программы. Предполагается повышение статуса образовательных организаций – увеличение числа лицеев, гимназий, школ с углубленным изучением отдельных предметов.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Глубокому усвоению образовательной программы будет способствовать приобретение учебного оборудования для практических работ и интерактивных учебных пособий.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условиях притока в город Ханты-Мансийск граждан стран Содружества независимых государств будут востребованы программы культурной адаптации и русского языка для детей школьного возраста.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Социальная функция образования будет выражаться в обеспечении качественного общего образования детей-инвалидов в форме дистанционного, специального или инклюзивного обучения, а также поддержка их профессиональной ориентации.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Важным представляется налаживание системы профориентации старшеклассников, которая должна обеспечить взаимосвязь между жизненной стратегией молодых людей и потребностями города в трудовых ресурсах. В этой связи необходимо информировать учащихся о реализуемых и планируемых к реализации инвестиционных проектах, одаренных детей следует обучать основам инновационной деятельности. Частично задача профориентации может решаться в рамках так называемого промышленного туризма. После организации Индустриального парка на его базе планируется проводить факультативные занятия.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Формированию кадровой элиты будет способствовать организация профильных управленческих классов. Для Ханты-Мансийска это достаточно </w:t>
      </w:r>
      <w:r w:rsidRPr="005B0D7D">
        <w:rPr>
          <w:rFonts w:ascii="Times New Roman" w:eastAsia="Batang" w:hAnsi="Times New Roman" w:cs="Times New Roman"/>
          <w:sz w:val="28"/>
          <w:szCs w:val="28"/>
          <w:lang w:eastAsia="ko-KR"/>
        </w:rPr>
        <w:lastRenderedPageBreak/>
        <w:t xml:space="preserve">перспективное начинание, если учесть, что достаточно большая часть населения трудоспособного возраста работает в сфере государственного и муниципального управления, а также определенная прослойка является </w:t>
      </w:r>
      <w:proofErr w:type="gramStart"/>
      <w:r w:rsidRPr="005B0D7D">
        <w:rPr>
          <w:rFonts w:ascii="Times New Roman" w:eastAsia="Batang" w:hAnsi="Times New Roman" w:cs="Times New Roman"/>
          <w:sz w:val="28"/>
          <w:szCs w:val="28"/>
          <w:lang w:eastAsia="ko-KR"/>
        </w:rPr>
        <w:t>топ-менеджерами</w:t>
      </w:r>
      <w:proofErr w:type="gramEnd"/>
      <w:r w:rsidRPr="005B0D7D">
        <w:rPr>
          <w:rFonts w:ascii="Times New Roman" w:eastAsia="Batang" w:hAnsi="Times New Roman" w:cs="Times New Roman"/>
          <w:sz w:val="28"/>
          <w:szCs w:val="28"/>
          <w:lang w:eastAsia="ko-KR"/>
        </w:rPr>
        <w:t xml:space="preserve"> крупных коммерческих организаций.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Создание действенной системы ученического самоуправления будет способствовать формированию социальных качеств учащихся и прежде всего – </w:t>
      </w:r>
      <w:proofErr w:type="spellStart"/>
      <w:r w:rsidRPr="005B0D7D">
        <w:rPr>
          <w:rFonts w:ascii="Times New Roman" w:eastAsia="Batang" w:hAnsi="Times New Roman" w:cs="Times New Roman"/>
          <w:sz w:val="28"/>
          <w:szCs w:val="28"/>
          <w:lang w:eastAsia="ko-KR"/>
        </w:rPr>
        <w:t>субъектности</w:t>
      </w:r>
      <w:proofErr w:type="spellEnd"/>
      <w:r w:rsidRPr="005B0D7D">
        <w:rPr>
          <w:rFonts w:ascii="Times New Roman" w:eastAsia="Batang" w:hAnsi="Times New Roman" w:cs="Times New Roman"/>
          <w:sz w:val="28"/>
          <w:szCs w:val="28"/>
          <w:lang w:eastAsia="ko-KR"/>
        </w:rPr>
        <w:t>, способности самостоятельно решать проблемы и ставить перспективные задачи. Будут проводиться мероприятия, направленные на привлечение учащихся к работе детских и юношеских общественных объединений.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Высокий уровень квалификации педагогов будет обеспечиваться, в частности, за счет их участия в окружных конкурсах педагогического мастерства, региональных сетевых педагогических сообществах, что предусмотрено Государственной программой Ханты-Мансийского автономного округа – Югры «Развитие образования </w:t>
      </w:r>
      <w:proofErr w:type="gramStart"/>
      <w:r w:rsidRPr="005B0D7D">
        <w:rPr>
          <w:rFonts w:ascii="Times New Roman" w:eastAsia="Batang" w:hAnsi="Times New Roman" w:cs="Times New Roman"/>
          <w:sz w:val="28"/>
          <w:szCs w:val="28"/>
          <w:lang w:eastAsia="ko-KR"/>
        </w:rPr>
        <w:t>в</w:t>
      </w:r>
      <w:proofErr w:type="gramEnd"/>
      <w:r w:rsidRPr="005B0D7D">
        <w:rPr>
          <w:rFonts w:ascii="Times New Roman" w:eastAsia="Batang" w:hAnsi="Times New Roman" w:cs="Times New Roman"/>
          <w:sz w:val="28"/>
          <w:szCs w:val="28"/>
          <w:lang w:eastAsia="ko-KR"/>
        </w:rPr>
        <w:t xml:space="preserve"> </w:t>
      </w:r>
      <w:proofErr w:type="gramStart"/>
      <w:r w:rsidRPr="005B0D7D">
        <w:rPr>
          <w:rFonts w:ascii="Times New Roman" w:eastAsia="Batang" w:hAnsi="Times New Roman" w:cs="Times New Roman"/>
          <w:sz w:val="28"/>
          <w:szCs w:val="28"/>
          <w:lang w:eastAsia="ko-KR"/>
        </w:rPr>
        <w:t>Ханты-Мансийском</w:t>
      </w:r>
      <w:proofErr w:type="gramEnd"/>
      <w:r w:rsidRPr="005B0D7D">
        <w:rPr>
          <w:rFonts w:ascii="Times New Roman" w:eastAsia="Batang" w:hAnsi="Times New Roman" w:cs="Times New Roman"/>
          <w:sz w:val="28"/>
          <w:szCs w:val="28"/>
          <w:lang w:eastAsia="ko-KR"/>
        </w:rPr>
        <w:t xml:space="preserve"> автономном округе – Югре на 2014-2020 годы».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Развитию государственно-общественного управления образованием будет способствовать включение общественности в управление образовательными учреждениями и отведение ей определенной роли в системе оценки качества образования. Государственная программа Ханты-Мансийского автономного округа – Югры «Развитие образования </w:t>
      </w:r>
      <w:proofErr w:type="gramStart"/>
      <w:r w:rsidRPr="005B0D7D">
        <w:rPr>
          <w:rFonts w:ascii="Times New Roman" w:eastAsia="Batang" w:hAnsi="Times New Roman" w:cs="Times New Roman"/>
          <w:sz w:val="28"/>
          <w:szCs w:val="28"/>
          <w:lang w:eastAsia="ko-KR"/>
        </w:rPr>
        <w:t>в</w:t>
      </w:r>
      <w:proofErr w:type="gramEnd"/>
      <w:r w:rsidRPr="005B0D7D">
        <w:rPr>
          <w:rFonts w:ascii="Times New Roman" w:eastAsia="Batang" w:hAnsi="Times New Roman" w:cs="Times New Roman"/>
          <w:sz w:val="28"/>
          <w:szCs w:val="28"/>
          <w:lang w:eastAsia="ko-KR"/>
        </w:rPr>
        <w:t xml:space="preserve"> </w:t>
      </w:r>
      <w:proofErr w:type="gramStart"/>
      <w:r w:rsidRPr="005B0D7D">
        <w:rPr>
          <w:rFonts w:ascii="Times New Roman" w:eastAsia="Batang" w:hAnsi="Times New Roman" w:cs="Times New Roman"/>
          <w:sz w:val="28"/>
          <w:szCs w:val="28"/>
          <w:lang w:eastAsia="ko-KR"/>
        </w:rPr>
        <w:t>Ханты-Мансийском</w:t>
      </w:r>
      <w:proofErr w:type="gramEnd"/>
      <w:r w:rsidRPr="005B0D7D">
        <w:rPr>
          <w:rFonts w:ascii="Times New Roman" w:eastAsia="Batang" w:hAnsi="Times New Roman" w:cs="Times New Roman"/>
          <w:sz w:val="28"/>
          <w:szCs w:val="28"/>
          <w:lang w:eastAsia="ko-KR"/>
        </w:rPr>
        <w:t xml:space="preserve"> автономном округе – Югре на 2014-2020 годы» предусматривает возможность участия педагогов в программах повышения квалификации по государственно-общественному управлению образованием.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2015-2017 годах планируется расширить сеть окружных образовательных учреждений за счет строительства четырех детских садов, </w:t>
      </w:r>
      <w:proofErr w:type="gramStart"/>
      <w:r w:rsidRPr="005B0D7D">
        <w:rPr>
          <w:rFonts w:ascii="Times New Roman" w:eastAsia="Batang" w:hAnsi="Times New Roman" w:cs="Times New Roman"/>
          <w:sz w:val="28"/>
          <w:szCs w:val="28"/>
          <w:lang w:eastAsia="ko-KR"/>
        </w:rPr>
        <w:t>школы-детского</w:t>
      </w:r>
      <w:proofErr w:type="gramEnd"/>
      <w:r w:rsidRPr="005B0D7D">
        <w:rPr>
          <w:rFonts w:ascii="Times New Roman" w:eastAsia="Batang" w:hAnsi="Times New Roman" w:cs="Times New Roman"/>
          <w:sz w:val="28"/>
          <w:szCs w:val="28"/>
          <w:lang w:eastAsia="ko-KR"/>
        </w:rPr>
        <w:t xml:space="preserve"> сада </w:t>
      </w:r>
      <w:r w:rsidRPr="005B0D7D">
        <w:rPr>
          <w:rFonts w:ascii="Times New Roman" w:eastAsia="Batang" w:hAnsi="Times New Roman" w:cs="Times New Roman"/>
          <w:bCs/>
          <w:sz w:val="28"/>
          <w:szCs w:val="28"/>
          <w:lang w:eastAsia="ko-KR"/>
        </w:rPr>
        <w:t>«Окружной экспериментальный центр образования полного дня», образовательного комплекса при Государственной библиотеке Югры, специального (коррекционного) образовательного учреждения для обучающихся, воспитанников с отклонениями в развитии VIII вида, окружного казачьего кадетского корпуса.</w:t>
      </w:r>
    </w:p>
    <w:p w:rsidR="005B0D7D" w:rsidRPr="005B0D7D" w:rsidRDefault="005B0D7D" w:rsidP="005B0D7D">
      <w:pPr>
        <w:spacing w:before="120" w:after="0" w:line="240" w:lineRule="auto"/>
        <w:ind w:firstLine="720"/>
        <w:jc w:val="both"/>
        <w:rPr>
          <w:rFonts w:ascii="Times New Roman" w:eastAsia="Batang" w:hAnsi="Times New Roman" w:cs="Times New Roman"/>
          <w:i/>
          <w:sz w:val="28"/>
          <w:szCs w:val="28"/>
          <w:lang w:eastAsia="ko-KR"/>
        </w:rPr>
      </w:pPr>
      <w:r w:rsidRPr="005B0D7D">
        <w:rPr>
          <w:rFonts w:ascii="Times New Roman" w:eastAsia="Batang" w:hAnsi="Times New Roman" w:cs="Times New Roman"/>
          <w:i/>
          <w:sz w:val="28"/>
          <w:szCs w:val="28"/>
          <w:lang w:eastAsia="ko-KR"/>
        </w:rPr>
        <w:t>Дополнительное образование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Система дополнительного образования будет обладать большей открытостью и гибкостью, решая задачи социальной адаптации </w:t>
      </w:r>
      <w:proofErr w:type="gramStart"/>
      <w:r w:rsidRPr="005B0D7D">
        <w:rPr>
          <w:rFonts w:ascii="Times New Roman" w:eastAsia="Batang" w:hAnsi="Times New Roman" w:cs="Times New Roman"/>
          <w:sz w:val="28"/>
          <w:szCs w:val="28"/>
          <w:lang w:eastAsia="ko-KR"/>
        </w:rPr>
        <w:t>обучающихся</w:t>
      </w:r>
      <w:proofErr w:type="gramEnd"/>
      <w:r w:rsidRPr="005B0D7D">
        <w:rPr>
          <w:rFonts w:ascii="Times New Roman" w:eastAsia="Batang" w:hAnsi="Times New Roman" w:cs="Times New Roman"/>
          <w:sz w:val="28"/>
          <w:szCs w:val="28"/>
          <w:lang w:eastAsia="ko-KR"/>
        </w:rPr>
        <w:t>, содействия личностному развитию, укрепления здоровья, профессионального самоопределения и творческой самореализации.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рамках развития системы дополнительного образования будет модернизировано материально-техническое обеспечение деятельности учреждений. Особое внимание будет уделяться 1) содействию успешному освоению учащимися основной образовательной программы за счет дополнительных занятий, 2) формированию универсальных навыков – лидерства, основы подготовки проектов, основы предпринимательской деятельности; 3) формированию специальных навыков в зависимости от интереса учащихся.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Среди тематических направлений дополнительного образования больше внимания будет уделяться техническому творчеству детей и подростков, робототехнике.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Обеспечение соответствия программ дополнительного образования актуальным потребностям учащихся позволит расширить объемы оказания платных услуг.</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42" w:name="_Toc404211556"/>
      <w:bookmarkStart w:id="243" w:name="_Toc404218190"/>
      <w:bookmarkStart w:id="244" w:name="_Toc406591412"/>
      <w:bookmarkStart w:id="245" w:name="_Toc410639527"/>
      <w:r w:rsidRPr="005B0D7D">
        <w:rPr>
          <w:rFonts w:ascii="Times New Roman" w:eastAsia="Batang" w:hAnsi="Times New Roman" w:cs="Times New Roman"/>
          <w:b/>
          <w:bCs/>
          <w:sz w:val="28"/>
          <w:szCs w:val="28"/>
          <w:lang w:eastAsia="ko-KR"/>
        </w:rPr>
        <w:t xml:space="preserve">Задача 11. </w:t>
      </w:r>
      <w:bookmarkEnd w:id="242"/>
      <w:bookmarkEnd w:id="243"/>
      <w:r w:rsidRPr="005B0D7D">
        <w:rPr>
          <w:rFonts w:ascii="Times New Roman" w:eastAsia="Batang" w:hAnsi="Times New Roman" w:cs="Times New Roman"/>
          <w:b/>
          <w:bCs/>
          <w:sz w:val="28"/>
          <w:szCs w:val="28"/>
          <w:lang w:eastAsia="ko-KR"/>
        </w:rPr>
        <w:t>Реализация социально-демографической политики</w:t>
      </w:r>
      <w:bookmarkEnd w:id="244"/>
      <w:bookmarkEnd w:id="245"/>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u w:val="single"/>
          <w:lang w:eastAsia="ko-KR"/>
        </w:rPr>
        <w:t>Ориентир</w:t>
      </w:r>
      <w:r w:rsidRPr="005B0D7D">
        <w:rPr>
          <w:rFonts w:ascii="Times New Roman" w:eastAsia="Batang" w:hAnsi="Times New Roman" w:cs="Times New Roman"/>
          <w:bCs/>
          <w:sz w:val="28"/>
          <w:szCs w:val="28"/>
          <w:lang w:eastAsia="ko-KR"/>
        </w:rPr>
        <w:t xml:space="preserve"> – комплексная работа различных органов Администрации города во взаимодействии с окружными органами исполнительной власти, направленная на создание условий для наращивания человеческого потенциала города за счет роста рождаемости, укрепления института семьи, повышения уровня здоровья населения, увеличения продолжительности жизни, содействия развитию профилактической медицины.</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xml:space="preserve">В условиях отсутствия специального органа, занимающегося социально-демографической политикой, предполагается создание Совета при Главе Администрации города по вопросам демографической политики, в </w:t>
      </w:r>
      <w:proofErr w:type="gramStart"/>
      <w:r w:rsidRPr="005B0D7D">
        <w:rPr>
          <w:rFonts w:ascii="Times New Roman" w:eastAsia="Batang" w:hAnsi="Times New Roman" w:cs="Times New Roman"/>
          <w:bCs/>
          <w:sz w:val="28"/>
          <w:szCs w:val="28"/>
          <w:lang w:eastAsia="ko-KR"/>
        </w:rPr>
        <w:t>который</w:t>
      </w:r>
      <w:proofErr w:type="gramEnd"/>
      <w:r w:rsidRPr="005B0D7D">
        <w:rPr>
          <w:rFonts w:ascii="Times New Roman" w:eastAsia="Batang" w:hAnsi="Times New Roman" w:cs="Times New Roman"/>
          <w:bCs/>
          <w:sz w:val="28"/>
          <w:szCs w:val="28"/>
          <w:lang w:eastAsia="ko-KR"/>
        </w:rPr>
        <w:t xml:space="preserve"> войдут специалисты различных служб и ведомств, обеспечивающих влияние на улучшение социально-демографической ситуации.</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Первоочередной задачей Совета будет принятие Межведомственного плана мероприятий по реализации демографической политики в городе Ханты-Мансийске.</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Магистральными направлениями социально-демографической политики станут обеспечение дальнейшего роста рождаемости и сокращения уровня смертности, укрепление института семьи, поддержка материнства и детства; улучшение здоровья жителей города, в том числе детей и подростков, снижение уровня социально значимых заболеваний, создание условий и формирование мотивации для ведения здорового образа жизни.</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Дальнейшему росту рождаемости будет способствовать комплекс видов деятельности в части социально-экономической и идеологической политики, укрепления здоровья молодых супругов, развития системы дошкольного воспитания и профессиональной ориентации женщин, находящимся в отпуске по уходу за ребенком:</w:t>
      </w:r>
    </w:p>
    <w:p w:rsidR="005B0D7D" w:rsidRPr="005B0D7D" w:rsidRDefault="005B0D7D" w:rsidP="00FA10BE">
      <w:pPr>
        <w:numPr>
          <w:ilvl w:val="1"/>
          <w:numId w:val="1"/>
        </w:numPr>
        <w:tabs>
          <w:tab w:val="left" w:pos="993"/>
        </w:tabs>
        <w:spacing w:after="0" w:line="240" w:lineRule="auto"/>
        <w:ind w:left="0" w:firstLine="709"/>
        <w:contextualSpacing/>
        <w:jc w:val="both"/>
        <w:rPr>
          <w:rFonts w:ascii="Times New Roman" w:eastAsia="Batang" w:hAnsi="Times New Roman" w:cs="Times New Roman"/>
          <w:bCs/>
          <w:sz w:val="28"/>
          <w:szCs w:val="28"/>
          <w:lang w:eastAsia="ru-RU"/>
        </w:rPr>
      </w:pPr>
      <w:r w:rsidRPr="005B0D7D">
        <w:rPr>
          <w:rFonts w:ascii="Times New Roman" w:eastAsia="Batang" w:hAnsi="Times New Roman" w:cs="Times New Roman"/>
          <w:bCs/>
          <w:sz w:val="28"/>
          <w:szCs w:val="28"/>
          <w:lang w:eastAsia="ru-RU"/>
        </w:rPr>
        <w:t>Совершенствование системы социально-экономической поддержки семей с детьми, прежде всего, в части содействия им в приобретении доступного жилья, а также расширения видов компенсационных выплат, предоставляемых многодетным семьям. В частности, будет обеспечена возможность предоставления на безвозмездной основе земельных участков под строительство жилого дома при рождении третьего и последующих детей.</w:t>
      </w:r>
    </w:p>
    <w:p w:rsidR="005B0D7D" w:rsidRPr="005B0D7D" w:rsidRDefault="005B0D7D" w:rsidP="00FA10BE">
      <w:pPr>
        <w:numPr>
          <w:ilvl w:val="1"/>
          <w:numId w:val="1"/>
        </w:numPr>
        <w:tabs>
          <w:tab w:val="left" w:pos="993"/>
        </w:tabs>
        <w:spacing w:after="0" w:line="240" w:lineRule="auto"/>
        <w:ind w:left="0" w:firstLine="720"/>
        <w:contextualSpacing/>
        <w:jc w:val="both"/>
        <w:rPr>
          <w:rFonts w:ascii="Times New Roman" w:eastAsia="Batang" w:hAnsi="Times New Roman" w:cs="Times New Roman"/>
          <w:bCs/>
          <w:sz w:val="28"/>
          <w:szCs w:val="28"/>
          <w:lang w:eastAsia="ru-RU"/>
        </w:rPr>
      </w:pPr>
      <w:r w:rsidRPr="005B0D7D">
        <w:rPr>
          <w:rFonts w:ascii="Times New Roman" w:eastAsia="Batang" w:hAnsi="Times New Roman" w:cs="Times New Roman"/>
          <w:bCs/>
          <w:sz w:val="28"/>
          <w:szCs w:val="28"/>
          <w:lang w:eastAsia="ru-RU"/>
        </w:rPr>
        <w:t xml:space="preserve">Активная идеологическая политика по утверждению в массовом сознании семейных ценностей («Ханты-Мансийск – город семейного благополучия»). Важно, чтобы данным видом деятельности занималось не только Управление физической культуры, спорта и молодежной политики, но и орган ЗАГС. Именно стабильная семья, основанная на глубоких ценностных устоях, обладает наибольшим репродуктивным потенциалом. Соответственно, рекомендуется </w:t>
      </w:r>
      <w:r w:rsidRPr="005B0D7D">
        <w:rPr>
          <w:rFonts w:ascii="Times New Roman" w:eastAsia="Batang" w:hAnsi="Times New Roman" w:cs="Times New Roman"/>
          <w:bCs/>
          <w:sz w:val="28"/>
          <w:szCs w:val="28"/>
          <w:lang w:eastAsia="ru-RU"/>
        </w:rPr>
        <w:lastRenderedPageBreak/>
        <w:t>проводить такие мероприятия, как организация комиссии по предотвращению распада семей, оказание психологической помощи сторонам семейных конфликтов, проведение лекций и бесед сотрудников ЗАГС в образовательных учреждениях на тему «Крепкая семья»; организация фотовыставок, посвященных семейным ценностям. Перспективны также следующие организационные технологии: День открытых дверей органа ЗАГС для школьников; Форум молодых супругов на официальном сайте органа ЗАГС; постоянная рубрика о семейных ценностях в газете «</w:t>
      </w:r>
      <w:proofErr w:type="spellStart"/>
      <w:r w:rsidRPr="005B0D7D">
        <w:rPr>
          <w:rFonts w:ascii="Times New Roman" w:eastAsia="Batang" w:hAnsi="Times New Roman" w:cs="Times New Roman"/>
          <w:bCs/>
          <w:sz w:val="28"/>
          <w:szCs w:val="28"/>
          <w:lang w:eastAsia="ru-RU"/>
        </w:rPr>
        <w:t>Самарово</w:t>
      </w:r>
      <w:proofErr w:type="spellEnd"/>
      <w:r w:rsidRPr="005B0D7D">
        <w:rPr>
          <w:rFonts w:ascii="Times New Roman" w:eastAsia="Batang" w:hAnsi="Times New Roman" w:cs="Times New Roman"/>
          <w:bCs/>
          <w:sz w:val="28"/>
          <w:szCs w:val="28"/>
          <w:lang w:eastAsia="ru-RU"/>
        </w:rPr>
        <w:t xml:space="preserve"> – Ханты-Мансийск» и на местном телевидении; городские мероприятия семейной тематики («Парад невест», «Бал младенца», «Вечер семейного вальса»). Одним из инструментов идеологической составляющей социально-демографической политики должно стать размещение социальной рекламы, направленной на формирование установки молодых </w:t>
      </w:r>
      <w:proofErr w:type="gramStart"/>
      <w:r w:rsidRPr="005B0D7D">
        <w:rPr>
          <w:rFonts w:ascii="Times New Roman" w:eastAsia="Batang" w:hAnsi="Times New Roman" w:cs="Times New Roman"/>
          <w:bCs/>
          <w:sz w:val="28"/>
          <w:szCs w:val="28"/>
          <w:lang w:eastAsia="ru-RU"/>
        </w:rPr>
        <w:t>людей</w:t>
      </w:r>
      <w:proofErr w:type="gramEnd"/>
      <w:r w:rsidRPr="005B0D7D">
        <w:rPr>
          <w:rFonts w:ascii="Times New Roman" w:eastAsia="Batang" w:hAnsi="Times New Roman" w:cs="Times New Roman"/>
          <w:bCs/>
          <w:sz w:val="28"/>
          <w:szCs w:val="28"/>
          <w:lang w:eastAsia="ru-RU"/>
        </w:rPr>
        <w:t xml:space="preserve"> на создание крепкой семьи с двумя и более детьми.</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xml:space="preserve">3. Укрепление здоровья молодых людей, готовящихся к вступлению в брак и рождению детей. Формированию здорового образа жизни будет способствовать расширение спортивной инфраструктуры, систематическое информирование граждан по данному вопросу на основе </w:t>
      </w:r>
      <w:proofErr w:type="spellStart"/>
      <w:r w:rsidRPr="005B0D7D">
        <w:rPr>
          <w:rFonts w:ascii="Times New Roman" w:eastAsia="Batang" w:hAnsi="Times New Roman" w:cs="Times New Roman"/>
          <w:bCs/>
          <w:sz w:val="28"/>
          <w:szCs w:val="28"/>
          <w:lang w:eastAsia="ko-KR"/>
        </w:rPr>
        <w:t>медиаплана</w:t>
      </w:r>
      <w:proofErr w:type="spellEnd"/>
      <w:r w:rsidRPr="005B0D7D">
        <w:rPr>
          <w:rFonts w:ascii="Times New Roman" w:eastAsia="Batang" w:hAnsi="Times New Roman" w:cs="Times New Roman"/>
          <w:bCs/>
          <w:sz w:val="28"/>
          <w:szCs w:val="28"/>
          <w:lang w:eastAsia="ko-KR"/>
        </w:rPr>
        <w:t xml:space="preserve">, профилактика вредных привычек. В условиях ликвидации муниципальной системы здравоохранения в силу перераспределения полномочий между уровнями власти планируется развивать систему медицинской профилактики и максимально использовать возможности окружной системы здравоохранения, </w:t>
      </w:r>
      <w:r w:rsidRPr="005B0D7D">
        <w:rPr>
          <w:rFonts w:ascii="Times New Roman" w:eastAsia="Batang" w:hAnsi="Times New Roman" w:cs="Times New Roman"/>
          <w:sz w:val="28"/>
          <w:szCs w:val="28"/>
          <w:lang w:eastAsia="ko-KR"/>
        </w:rPr>
        <w:t>информируя граждан о возможностях получения высокотехнологичной медицинской помощи в медицинских учреждениях Ханты-Мансийского автономного округа – Югры, в том числе в части репродуктивной медицины.</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4. Расширение форм дошкольного воспитания, в том числе за счет строительства новых детских садов, организации групп кратковременного пребывания детей при общеобразовательных организациях и поддержки малого предпринимательства в данной сфере.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 Профессиональная ориентация женщин в период отпуска по уходу за ребенком, стимулирование создания для данной категории женщин временных рабочих мест, в том числе дистанционных, оказание психологической поддержки в части выстраивания жизненной стратегии профессионального развития.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Результатом социально-демографической политики должно стать не только увеличение рождаемости, но и воплощение идеала крепкой и здоровой и обеспеченной семьи.</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46" w:name="_Toc404211560"/>
      <w:bookmarkStart w:id="247" w:name="_Toc404218194"/>
      <w:bookmarkStart w:id="248" w:name="_Toc406591413"/>
      <w:bookmarkStart w:id="249" w:name="_Toc410639528"/>
      <w:r w:rsidRPr="005B0D7D">
        <w:rPr>
          <w:rFonts w:ascii="Times New Roman" w:eastAsia="Batang" w:hAnsi="Times New Roman" w:cs="Times New Roman"/>
          <w:b/>
          <w:bCs/>
          <w:sz w:val="28"/>
          <w:szCs w:val="28"/>
          <w:lang w:eastAsia="ko-KR"/>
        </w:rPr>
        <w:t>Задача 12. Развитие культуры</w:t>
      </w:r>
      <w:bookmarkEnd w:id="246"/>
      <w:bookmarkEnd w:id="247"/>
      <w:bookmarkEnd w:id="248"/>
      <w:bookmarkEnd w:id="249"/>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обеспечение интенсивной и разнообразной культурной жизни города, формирование культуры чтения, поддержание на высоком уровне культурной среды города, создание условий для творческой самореализации жителей города Ханты-Мансийска – представителей различных социальных слоев и национальностей.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 xml:space="preserve">Развитие культурно-досуговой деятельности предполагает улучшение материально-технической базы культурно-досугового центра «Октябрь», а также создание сети учреждений культуры в новых микрорайонах города.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Основой развития библиотечной деятельности станет реализация следующих направлений.</w:t>
      </w:r>
    </w:p>
    <w:p w:rsidR="005B0D7D" w:rsidRPr="005B0D7D" w:rsidRDefault="005B0D7D" w:rsidP="005B0D7D">
      <w:p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1. Дальнейшее техническое перевооружение библиотек, внедрение в их деятельность информационных технологий, оцифровка национального книжного фонда, что позволит сохранить интерес к ним со стороны молодого поколения. </w:t>
      </w:r>
    </w:p>
    <w:p w:rsidR="005B0D7D" w:rsidRPr="005B0D7D" w:rsidRDefault="005B0D7D" w:rsidP="005B0D7D">
      <w:p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Формирование посредством библиотек информационной культуры общества, развитие инновационных форм электронного досуга населения. Для подростков библиотеки будут играть роль компьютерных центров общественного доступа, клубов компьютерной грамотности.</w:t>
      </w:r>
    </w:p>
    <w:p w:rsidR="005B0D7D" w:rsidRPr="005B0D7D" w:rsidRDefault="005B0D7D" w:rsidP="005B0D7D">
      <w:p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3. Формирование культуры чтения посредством просветительских мероприятий, развития системы дистанционного и </w:t>
      </w:r>
      <w:proofErr w:type="spellStart"/>
      <w:r w:rsidRPr="005B0D7D">
        <w:rPr>
          <w:rFonts w:ascii="Times New Roman" w:eastAsia="Batang" w:hAnsi="Times New Roman" w:cs="Times New Roman"/>
          <w:sz w:val="28"/>
          <w:szCs w:val="28"/>
          <w:lang w:eastAsia="ko-KR"/>
        </w:rPr>
        <w:t>внестационарного</w:t>
      </w:r>
      <w:proofErr w:type="spellEnd"/>
      <w:r w:rsidRPr="005B0D7D">
        <w:rPr>
          <w:rFonts w:ascii="Times New Roman" w:eastAsia="Batang" w:hAnsi="Times New Roman" w:cs="Times New Roman"/>
          <w:sz w:val="28"/>
          <w:szCs w:val="28"/>
          <w:lang w:eastAsia="ko-KR"/>
        </w:rPr>
        <w:t xml:space="preserve"> библиотечного обслуживания. Для библиотечного обслуживания населения в отдаленных районах города, в которых отсутствуют библиотеки, планируется приобрести </w:t>
      </w:r>
      <w:proofErr w:type="spellStart"/>
      <w:r w:rsidRPr="005B0D7D">
        <w:rPr>
          <w:rFonts w:ascii="Times New Roman" w:eastAsia="Batang" w:hAnsi="Times New Roman" w:cs="Times New Roman"/>
          <w:sz w:val="28"/>
          <w:szCs w:val="28"/>
          <w:lang w:eastAsia="ko-KR"/>
        </w:rPr>
        <w:t>библиомобиль</w:t>
      </w:r>
      <w:proofErr w:type="spellEnd"/>
      <w:r w:rsidRPr="005B0D7D">
        <w:rPr>
          <w:rFonts w:ascii="Times New Roman" w:eastAsia="Batang" w:hAnsi="Times New Roman" w:cs="Times New Roman"/>
          <w:sz w:val="28"/>
          <w:szCs w:val="28"/>
          <w:lang w:eastAsia="ko-KR"/>
        </w:rPr>
        <w:t xml:space="preserve">. </w:t>
      </w:r>
    </w:p>
    <w:p w:rsidR="005B0D7D" w:rsidRPr="005B0D7D" w:rsidRDefault="005B0D7D" w:rsidP="005B0D7D">
      <w:p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Расширение спектра проводимых библиотеками культурно-массовых мероприятий, чтобы охватить не только учащихся, но также молодежь и взрослое население. В частности, на базе библиотек продолжат работать литературные клубы.</w:t>
      </w:r>
    </w:p>
    <w:p w:rsidR="005B0D7D" w:rsidRPr="005B0D7D" w:rsidRDefault="005B0D7D" w:rsidP="005B0D7D">
      <w:p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 Подготовка и повышение квалификации библиотечных специалистов в области информационных технологий.</w:t>
      </w:r>
    </w:p>
    <w:p w:rsidR="005B0D7D" w:rsidRPr="005B0D7D" w:rsidRDefault="005B0D7D" w:rsidP="005B0D7D">
      <w:p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6.</w:t>
      </w:r>
      <w:r w:rsidRPr="005B0D7D">
        <w:rPr>
          <w:rFonts w:ascii="Times New Roman" w:eastAsia="Batang" w:hAnsi="Times New Roman" w:cs="Times New Roman"/>
          <w:sz w:val="24"/>
          <w:szCs w:val="24"/>
          <w:lang w:eastAsia="ko-KR"/>
        </w:rPr>
        <w:t> </w:t>
      </w:r>
      <w:r w:rsidRPr="005B0D7D">
        <w:rPr>
          <w:rFonts w:ascii="Times New Roman" w:eastAsia="Batang" w:hAnsi="Times New Roman" w:cs="Times New Roman"/>
          <w:sz w:val="28"/>
          <w:szCs w:val="28"/>
          <w:lang w:eastAsia="ko-KR"/>
        </w:rPr>
        <w:t>Налаживание диалога с местными поэтами, писателями, художниками и иными творческими деятелями, которые будут вовлечены в проект по формированию привлекательного образа города Ханты-Мансийска.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7. Формировать интерес к литературе и чтению предполагается не только в библиотеках, но и в городской среде, на что будут направлены, по меньшей мере, три проекта: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«Литературный парк» – выразительное чтение известных литературных произведений в местах отдыха горожан.</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2) «Библиотека под открытым небом» – расстановка стеллажей с книгами в открытым </w:t>
      </w:r>
      <w:proofErr w:type="gramStart"/>
      <w:r w:rsidRPr="005B0D7D">
        <w:rPr>
          <w:rFonts w:ascii="Times New Roman" w:eastAsia="Batang" w:hAnsi="Times New Roman" w:cs="Times New Roman"/>
          <w:sz w:val="28"/>
          <w:szCs w:val="28"/>
          <w:lang w:eastAsia="ko-KR"/>
        </w:rPr>
        <w:t>доступе</w:t>
      </w:r>
      <w:proofErr w:type="gramEnd"/>
      <w:r w:rsidRPr="005B0D7D">
        <w:rPr>
          <w:rFonts w:ascii="Times New Roman" w:eastAsia="Batang" w:hAnsi="Times New Roman" w:cs="Times New Roman"/>
          <w:sz w:val="28"/>
          <w:szCs w:val="28"/>
          <w:lang w:eastAsia="ko-KR"/>
        </w:rPr>
        <w:t xml:space="preserve"> в парках, больницах, вокзалах, аэропорту.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3) «Читающий город» – </w:t>
      </w:r>
      <w:proofErr w:type="spellStart"/>
      <w:r w:rsidRPr="005B0D7D">
        <w:rPr>
          <w:rFonts w:ascii="Times New Roman" w:eastAsia="Batang" w:hAnsi="Times New Roman" w:cs="Times New Roman"/>
          <w:sz w:val="28"/>
          <w:szCs w:val="28"/>
          <w:lang w:eastAsia="ko-KR"/>
        </w:rPr>
        <w:t>медиапроект</w:t>
      </w:r>
      <w:proofErr w:type="spellEnd"/>
      <w:r w:rsidRPr="005B0D7D">
        <w:rPr>
          <w:rFonts w:ascii="Times New Roman" w:eastAsia="Batang" w:hAnsi="Times New Roman" w:cs="Times New Roman"/>
          <w:sz w:val="28"/>
          <w:szCs w:val="28"/>
          <w:lang w:eastAsia="ko-KR"/>
        </w:rPr>
        <w:t>, состоящий в том, что в течение дня фрагменты из одного классического произведения под телекамеру читают представители различных профессий и слоев населения.</w:t>
      </w:r>
    </w:p>
    <w:p w:rsidR="004176CA" w:rsidRDefault="004176CA" w:rsidP="005B0D7D">
      <w:pPr>
        <w:spacing w:after="0" w:line="240" w:lineRule="auto"/>
        <w:ind w:firstLine="720"/>
        <w:jc w:val="both"/>
        <w:rPr>
          <w:rFonts w:ascii="Times New Roman" w:eastAsia="Batang" w:hAnsi="Times New Roman" w:cs="Times New Roman"/>
          <w:sz w:val="28"/>
          <w:szCs w:val="28"/>
          <w:lang w:eastAsia="ko-KR"/>
        </w:rPr>
      </w:pPr>
      <w:r w:rsidRPr="00436D1D">
        <w:rPr>
          <w:rFonts w:ascii="Times New Roman" w:eastAsia="Batang" w:hAnsi="Times New Roman" w:cs="Times New Roman"/>
          <w:sz w:val="28"/>
          <w:szCs w:val="28"/>
          <w:lang w:eastAsia="ko-KR"/>
        </w:rPr>
        <w:t>8. Организация на базе центральной городской библиотеки музея истории города. Проведение информационных кампаний по сбору музейных экспонатов среди жителей и организаций города. Чествование наиболее активных дарителей предметов и документов. Создание и пополнение электронного каталога музейных экспонатов.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стратегической перспективе предполагается вести деятельность по выявлению и охране объектов культурного наследия исторической части города Ханты-Мансийска, которая будет способствовать формированию локальной идентичности населения, повышению интереса к прошлому города со </w:t>
      </w:r>
      <w:proofErr w:type="gramStart"/>
      <w:r w:rsidRPr="005B0D7D">
        <w:rPr>
          <w:rFonts w:ascii="Times New Roman" w:eastAsia="Batang" w:hAnsi="Times New Roman" w:cs="Times New Roman"/>
          <w:sz w:val="28"/>
          <w:szCs w:val="28"/>
          <w:lang w:eastAsia="ko-KR"/>
        </w:rPr>
        <w:t>стороны</w:t>
      </w:r>
      <w:proofErr w:type="gramEnd"/>
      <w:r w:rsidRPr="005B0D7D">
        <w:rPr>
          <w:rFonts w:ascii="Times New Roman" w:eastAsia="Batang" w:hAnsi="Times New Roman" w:cs="Times New Roman"/>
          <w:sz w:val="28"/>
          <w:szCs w:val="28"/>
          <w:lang w:eastAsia="ko-KR"/>
        </w:rPr>
        <w:t xml:space="preserve"> </w:t>
      </w:r>
      <w:r w:rsidRPr="005B0D7D">
        <w:rPr>
          <w:rFonts w:ascii="Times New Roman" w:eastAsia="Batang" w:hAnsi="Times New Roman" w:cs="Times New Roman"/>
          <w:sz w:val="28"/>
          <w:szCs w:val="28"/>
          <w:lang w:eastAsia="ko-KR"/>
        </w:rPr>
        <w:lastRenderedPageBreak/>
        <w:t xml:space="preserve">как ученых, так и рядовых жителей. Будут поощряться инициативные предложения и проекты, отражающие комплекс вопросов по выявлению, постановке на учет, приобретению в муниципальную собственность и дальнейшему использованию объектов культурного наследия.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Предполагается, что Ханты-Мансийск станет центром сохранения и популяризации традиционно-бытовой культуры русского старожильческого населения Югры, а также будет расширять свою деятельность в качестве международного центра культуры обско-угорских народов.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roofErr w:type="gramStart"/>
      <w:r w:rsidRPr="005B0D7D">
        <w:rPr>
          <w:rFonts w:ascii="Times New Roman" w:eastAsia="Batang" w:hAnsi="Times New Roman" w:cs="Times New Roman"/>
          <w:sz w:val="28"/>
          <w:szCs w:val="28"/>
          <w:lang w:eastAsia="ko-KR"/>
        </w:rPr>
        <w:t>В целях расширения форм культурной деятельности будет использован ресурс Государственной программы Ханты-Мансийского автономного округа – Югры «Развитие культуры и туризма в Ханты-Мансийском автономном округе – Югре на 2014-2020 годы» в части организации киноклубов, создания детских кинотеатров, участия муниципалитета в конкурсе на предоставление субсидий из бюджета автономного округа на реализацию проектов в области культуры.</w:t>
      </w:r>
      <w:proofErr w:type="gramEnd"/>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целом сфера культуры города будет способствовать формированию творческой среды, созданию условий для развития и реализации творческой инициативы отдельных личностей и населения в целом. </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50" w:name="_Toc404211561"/>
      <w:bookmarkStart w:id="251" w:name="_Toc404218195"/>
      <w:bookmarkStart w:id="252" w:name="_Toc406591414"/>
      <w:bookmarkStart w:id="253" w:name="_Toc410639529"/>
      <w:bookmarkStart w:id="254" w:name="_Toc404211562"/>
      <w:bookmarkStart w:id="255" w:name="_Toc404218196"/>
      <w:r w:rsidRPr="005B0D7D">
        <w:rPr>
          <w:rFonts w:ascii="Times New Roman" w:eastAsia="Batang" w:hAnsi="Times New Roman" w:cs="Times New Roman"/>
          <w:b/>
          <w:bCs/>
          <w:sz w:val="28"/>
          <w:szCs w:val="28"/>
          <w:lang w:eastAsia="ko-KR"/>
        </w:rPr>
        <w:t>Задача 13. Развитие внутреннего и въездного туризма</w:t>
      </w:r>
      <w:bookmarkEnd w:id="250"/>
      <w:bookmarkEnd w:id="251"/>
      <w:bookmarkEnd w:id="252"/>
      <w:bookmarkEnd w:id="253"/>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формирование </w:t>
      </w:r>
      <w:proofErr w:type="spellStart"/>
      <w:r w:rsidRPr="005B0D7D">
        <w:rPr>
          <w:rFonts w:ascii="Times New Roman" w:eastAsia="Batang" w:hAnsi="Times New Roman" w:cs="Times New Roman"/>
          <w:sz w:val="28"/>
          <w:szCs w:val="28"/>
          <w:lang w:eastAsia="ko-KR"/>
        </w:rPr>
        <w:t>многовекторного</w:t>
      </w:r>
      <w:proofErr w:type="spellEnd"/>
      <w:r w:rsidRPr="005B0D7D">
        <w:rPr>
          <w:rFonts w:ascii="Times New Roman" w:eastAsia="Batang" w:hAnsi="Times New Roman" w:cs="Times New Roman"/>
          <w:sz w:val="28"/>
          <w:szCs w:val="28"/>
          <w:lang w:eastAsia="ko-KR"/>
        </w:rPr>
        <w:t xml:space="preserve"> конкурентоспособного туристского продукта города и продвижение его на рынке округа и России, поддержка предпринимательства в сфере туризма, развитие событийного, </w:t>
      </w:r>
      <w:proofErr w:type="spellStart"/>
      <w:r w:rsidRPr="005B0D7D">
        <w:rPr>
          <w:rFonts w:ascii="Times New Roman" w:eastAsia="Batang" w:hAnsi="Times New Roman" w:cs="Times New Roman"/>
          <w:sz w:val="28"/>
          <w:szCs w:val="28"/>
          <w:lang w:eastAsia="ko-KR"/>
        </w:rPr>
        <w:t>безбарьерного</w:t>
      </w:r>
      <w:proofErr w:type="spellEnd"/>
      <w:r w:rsidRPr="005B0D7D">
        <w:rPr>
          <w:rFonts w:ascii="Times New Roman" w:eastAsia="Batang" w:hAnsi="Times New Roman" w:cs="Times New Roman"/>
          <w:sz w:val="28"/>
          <w:szCs w:val="28"/>
          <w:lang w:eastAsia="ko-KR"/>
        </w:rPr>
        <w:t xml:space="preserve"> и иных видов туризма во взаимодействии с </w:t>
      </w:r>
      <w:proofErr w:type="gramStart"/>
      <w:r w:rsidRPr="005B0D7D">
        <w:rPr>
          <w:rFonts w:ascii="Times New Roman" w:eastAsia="Batang" w:hAnsi="Times New Roman" w:cs="Times New Roman"/>
          <w:sz w:val="28"/>
          <w:szCs w:val="28"/>
          <w:lang w:eastAsia="ko-KR"/>
        </w:rPr>
        <w:t>бизнес-сообществом</w:t>
      </w:r>
      <w:proofErr w:type="gramEnd"/>
      <w:r w:rsidRPr="005B0D7D">
        <w:rPr>
          <w:rFonts w:ascii="Times New Roman" w:eastAsia="Batang" w:hAnsi="Times New Roman" w:cs="Times New Roman"/>
          <w:sz w:val="28"/>
          <w:szCs w:val="28"/>
          <w:lang w:eastAsia="ko-KR"/>
        </w:rPr>
        <w:t>, молодежными лидерами, а также органами власти и учреждениями окружного уровня.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Реализации туристского потенциала города Ханты-Мансийска будут способствовать следующие направления деятельности.</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Развитие событийного туризма. В частности, реализация культурно-туристского проекта «Ханты-Мансийск – новогодняя столица». </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Развитие </w:t>
      </w:r>
      <w:proofErr w:type="spellStart"/>
      <w:r w:rsidRPr="005B0D7D">
        <w:rPr>
          <w:rFonts w:ascii="Times New Roman" w:eastAsia="Batang" w:hAnsi="Times New Roman" w:cs="Times New Roman"/>
          <w:sz w:val="28"/>
          <w:szCs w:val="28"/>
          <w:lang w:eastAsia="ru-RU"/>
        </w:rPr>
        <w:t>безбарьерного</w:t>
      </w:r>
      <w:proofErr w:type="spellEnd"/>
      <w:r w:rsidRPr="005B0D7D">
        <w:rPr>
          <w:rFonts w:ascii="Times New Roman" w:eastAsia="Batang" w:hAnsi="Times New Roman" w:cs="Times New Roman"/>
          <w:sz w:val="28"/>
          <w:szCs w:val="28"/>
          <w:lang w:eastAsia="ru-RU"/>
        </w:rPr>
        <w:t xml:space="preserve"> туризма. Предстоит реализация проекта по оказанию туристских услуг для людей с инвалидностью «Маршруты доверия и гостеприимства». </w:t>
      </w:r>
      <w:proofErr w:type="gramStart"/>
      <w:r w:rsidRPr="005B0D7D">
        <w:rPr>
          <w:rFonts w:ascii="Times New Roman" w:eastAsia="Batang" w:hAnsi="Times New Roman" w:cs="Times New Roman"/>
          <w:sz w:val="28"/>
          <w:szCs w:val="28"/>
          <w:lang w:eastAsia="ru-RU"/>
        </w:rPr>
        <w:t xml:space="preserve">Развитие </w:t>
      </w:r>
      <w:proofErr w:type="spellStart"/>
      <w:r w:rsidRPr="005B0D7D">
        <w:rPr>
          <w:rFonts w:ascii="Times New Roman" w:eastAsia="Batang" w:hAnsi="Times New Roman" w:cs="Times New Roman"/>
          <w:sz w:val="28"/>
          <w:szCs w:val="28"/>
          <w:lang w:eastAsia="ru-RU"/>
        </w:rPr>
        <w:t>безбарьерного</w:t>
      </w:r>
      <w:proofErr w:type="spellEnd"/>
      <w:r w:rsidRPr="005B0D7D">
        <w:rPr>
          <w:rFonts w:ascii="Times New Roman" w:eastAsia="Batang" w:hAnsi="Times New Roman" w:cs="Times New Roman"/>
          <w:sz w:val="28"/>
          <w:szCs w:val="28"/>
          <w:lang w:eastAsia="ru-RU"/>
        </w:rPr>
        <w:t xml:space="preserve"> туризма предполагает 1) оценку приспособленности туристской инфраструктуры к обеспечению приема и передвижения инвалидов и лиц с ограниченными возможностями здоровья; 2) направление предложений в Департамент градостроительства и архитектуры по устранению барьеров городской среды, препятствующих свободному передвижению инвалидов; 3) организация экскурсий для инвалидов: посещение музеев и иных достопримечательностей, прогулки на теплоходе;</w:t>
      </w:r>
      <w:proofErr w:type="gramEnd"/>
      <w:r w:rsidRPr="005B0D7D">
        <w:rPr>
          <w:rFonts w:ascii="Times New Roman" w:eastAsia="Batang" w:hAnsi="Times New Roman" w:cs="Times New Roman"/>
          <w:sz w:val="28"/>
          <w:szCs w:val="28"/>
          <w:lang w:eastAsia="ru-RU"/>
        </w:rPr>
        <w:t xml:space="preserve"> 4) формирование участливого отношения к инвалидам со стороны представителей сферы туризма и общества в целом.</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Развитие рекреационного и оздоровительного туризма, в частности путем разработки новых скважин термальных источников.</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Развитие этнографического, гастрономического, рекреационного и иных видов туризма в контексте ханты-мансийской агломерации, включающей Ханты-Мансийский район и иные муниципальные образования в 100-киломеровом </w:t>
      </w:r>
      <w:r w:rsidRPr="005B0D7D">
        <w:rPr>
          <w:rFonts w:ascii="Times New Roman" w:eastAsia="Batang" w:hAnsi="Times New Roman" w:cs="Times New Roman"/>
          <w:sz w:val="28"/>
          <w:szCs w:val="28"/>
          <w:lang w:eastAsia="ru-RU"/>
        </w:rPr>
        <w:lastRenderedPageBreak/>
        <w:t xml:space="preserve">радиусе от окружного центра. Инструментом будет служить заключение соглашений о межмуниципальном сотрудничестве в сфере туризма. В качестве уникального туристского продукта могут быть предложены экскурсии в </w:t>
      </w:r>
      <w:proofErr w:type="gramStart"/>
      <w:r w:rsidRPr="005B0D7D">
        <w:rPr>
          <w:rFonts w:ascii="Times New Roman" w:eastAsia="Batang" w:hAnsi="Times New Roman" w:cs="Times New Roman"/>
          <w:sz w:val="28"/>
          <w:szCs w:val="28"/>
          <w:lang w:eastAsia="ru-RU"/>
        </w:rPr>
        <w:t>Индустриальный</w:t>
      </w:r>
      <w:proofErr w:type="gramEnd"/>
      <w:r w:rsidRPr="005B0D7D">
        <w:rPr>
          <w:rFonts w:ascii="Times New Roman" w:eastAsia="Batang" w:hAnsi="Times New Roman" w:cs="Times New Roman"/>
          <w:sz w:val="28"/>
          <w:szCs w:val="28"/>
          <w:lang w:eastAsia="ru-RU"/>
        </w:rPr>
        <w:t xml:space="preserve"> и </w:t>
      </w:r>
      <w:proofErr w:type="spellStart"/>
      <w:r w:rsidRPr="005B0D7D">
        <w:rPr>
          <w:rFonts w:ascii="Times New Roman" w:eastAsia="Batang" w:hAnsi="Times New Roman" w:cs="Times New Roman"/>
          <w:sz w:val="28"/>
          <w:szCs w:val="28"/>
          <w:lang w:eastAsia="ru-RU"/>
        </w:rPr>
        <w:t>Агропарк</w:t>
      </w:r>
      <w:proofErr w:type="spellEnd"/>
      <w:r w:rsidRPr="005B0D7D">
        <w:rPr>
          <w:rFonts w:ascii="Times New Roman" w:eastAsia="Batang" w:hAnsi="Times New Roman" w:cs="Times New Roman"/>
          <w:sz w:val="28"/>
          <w:szCs w:val="28"/>
          <w:lang w:eastAsia="ru-RU"/>
        </w:rPr>
        <w:t>, посещение Логистического центра, мусороперерабатывающего завода (после ввода данных объектов в эксплуатацию) и других предприятий округа, что предполагает развитие нового направления деятельности – промышленного туризма.</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Презентация туристских возможностей города в сети Интернет. Увеличению числа потенциальных желающих посетить город будет способствовать функционирование специализированного Интернет-сайта с интерактивным приложением «Презентационное портфолио города Ханты-Мансийска», а также разработанные виртуальные 3D-маршруты по городу. </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Очная презентация туристских возможностей Ханты-Мансийска путем обеспечения участия субъектов туризма в региональных и всероссийских форумах и выставках с частичной компенсацией их затрат. </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Организация </w:t>
      </w:r>
      <w:proofErr w:type="spellStart"/>
      <w:r w:rsidRPr="005B0D7D">
        <w:rPr>
          <w:rFonts w:ascii="Times New Roman" w:eastAsia="Batang" w:hAnsi="Times New Roman" w:cs="Times New Roman"/>
          <w:sz w:val="28"/>
          <w:szCs w:val="28"/>
          <w:lang w:eastAsia="ru-RU"/>
        </w:rPr>
        <w:t>инфотуров</w:t>
      </w:r>
      <w:proofErr w:type="spellEnd"/>
      <w:r w:rsidRPr="005B0D7D">
        <w:rPr>
          <w:rFonts w:ascii="Times New Roman" w:eastAsia="Batang" w:hAnsi="Times New Roman" w:cs="Times New Roman"/>
          <w:sz w:val="28"/>
          <w:szCs w:val="28"/>
          <w:lang w:eastAsia="ru-RU"/>
        </w:rPr>
        <w:t xml:space="preserve"> для внешних туроператоров, в особенности представляющих южные регионы России, которых можно заинтересовать зимней природно-культурной средой.</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Регулярные конкурсы социальных проектов «Лучший туристский маршрут по городу Ханты-Мансийску», которые призваны стать источником новых идей относительно развития туристских маршрутов и туристской деятельности в целом.</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Консультационная, финансовая, имущественная и образовательная поддержка субъектов малого и среднего предпринимательства, занимающихся организацией внутреннего и въездного туризма. Выделение данного вида деятельности в качестве приоритетного в рамках муниципальных программ поддержки малого и среднего предпринимательства. Информирование турфирм о конкурсах на присуждение грантов автономного округа в сфере внутреннего и въездного туризма, проводимых в рамках Государственной программы Ханты-Мансийского автономного округа – Югры «Развитие культуры и туризма </w:t>
      </w:r>
      <w:proofErr w:type="gramStart"/>
      <w:r w:rsidRPr="005B0D7D">
        <w:rPr>
          <w:rFonts w:ascii="Times New Roman" w:eastAsia="Batang" w:hAnsi="Times New Roman" w:cs="Times New Roman"/>
          <w:sz w:val="28"/>
          <w:szCs w:val="28"/>
          <w:lang w:eastAsia="ru-RU"/>
        </w:rPr>
        <w:t>в</w:t>
      </w:r>
      <w:proofErr w:type="gramEnd"/>
      <w:r w:rsidRPr="005B0D7D">
        <w:rPr>
          <w:rFonts w:ascii="Times New Roman" w:eastAsia="Batang" w:hAnsi="Times New Roman" w:cs="Times New Roman"/>
          <w:sz w:val="28"/>
          <w:szCs w:val="28"/>
          <w:lang w:eastAsia="ru-RU"/>
        </w:rPr>
        <w:t xml:space="preserve"> </w:t>
      </w:r>
      <w:proofErr w:type="gramStart"/>
      <w:r w:rsidRPr="005B0D7D">
        <w:rPr>
          <w:rFonts w:ascii="Times New Roman" w:eastAsia="Batang" w:hAnsi="Times New Roman" w:cs="Times New Roman"/>
          <w:sz w:val="28"/>
          <w:szCs w:val="28"/>
          <w:lang w:eastAsia="ru-RU"/>
        </w:rPr>
        <w:t>Ханты-Мансийском</w:t>
      </w:r>
      <w:proofErr w:type="gramEnd"/>
      <w:r w:rsidRPr="005B0D7D">
        <w:rPr>
          <w:rFonts w:ascii="Times New Roman" w:eastAsia="Batang" w:hAnsi="Times New Roman" w:cs="Times New Roman"/>
          <w:sz w:val="28"/>
          <w:szCs w:val="28"/>
          <w:lang w:eastAsia="ru-RU"/>
        </w:rPr>
        <w:t xml:space="preserve"> автономном округе – Югре на 2014-2020 годы».</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Компенсация части затрат на авт</w:t>
      </w:r>
      <w:proofErr w:type="gramStart"/>
      <w:r w:rsidRPr="005B0D7D">
        <w:rPr>
          <w:rFonts w:ascii="Times New Roman" w:eastAsia="Batang" w:hAnsi="Times New Roman" w:cs="Times New Roman"/>
          <w:sz w:val="28"/>
          <w:szCs w:val="28"/>
          <w:lang w:eastAsia="ru-RU"/>
        </w:rPr>
        <w:t>о-</w:t>
      </w:r>
      <w:proofErr w:type="gramEnd"/>
      <w:r w:rsidRPr="005B0D7D">
        <w:rPr>
          <w:rFonts w:ascii="Times New Roman" w:eastAsia="Batang" w:hAnsi="Times New Roman" w:cs="Times New Roman"/>
          <w:sz w:val="28"/>
          <w:szCs w:val="28"/>
          <w:lang w:eastAsia="ru-RU"/>
        </w:rPr>
        <w:t xml:space="preserve">, речные перевозки для туристических компаний, организующих въездные туры в город Ханты-Мансийск. </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Организация экскурсионного обслуживания делегаций и официальных лиц, посещающих автономный округ.</w:t>
      </w:r>
    </w:p>
    <w:p w:rsidR="005B0D7D" w:rsidRPr="005B0D7D" w:rsidRDefault="005B0D7D" w:rsidP="00FA10BE">
      <w:pPr>
        <w:numPr>
          <w:ilvl w:val="0"/>
          <w:numId w:val="42"/>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Разработка методики определения экономического эффекта от развития сферы туризма и технологии ее применения. </w:t>
      </w:r>
    </w:p>
    <w:p w:rsidR="005B0D7D" w:rsidRPr="005B0D7D" w:rsidRDefault="005B0D7D" w:rsidP="00FA10BE">
      <w:pPr>
        <w:numPr>
          <w:ilvl w:val="0"/>
          <w:numId w:val="42"/>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Формирование туристского кластера. Учитывая, что интенсивно развивающаяся сфера туризма активизирует потенциал предприятий и организаций, занимающихся различными видами деятельности, к 2016-2018 годам предполагается сформировать туристический кластер, основываясь на поддержке со стороны </w:t>
      </w:r>
      <w:proofErr w:type="gramStart"/>
      <w:r w:rsidRPr="005B0D7D">
        <w:rPr>
          <w:rFonts w:ascii="Times New Roman" w:eastAsia="Batang" w:hAnsi="Times New Roman" w:cs="Times New Roman"/>
          <w:sz w:val="28"/>
          <w:szCs w:val="28"/>
          <w:lang w:eastAsia="ru-RU"/>
        </w:rPr>
        <w:t>Центра кластерного развития Технопарка высоких технологий Югры</w:t>
      </w:r>
      <w:proofErr w:type="gramEnd"/>
      <w:r w:rsidRPr="005B0D7D">
        <w:rPr>
          <w:rFonts w:ascii="Times New Roman" w:eastAsia="Batang" w:hAnsi="Times New Roman" w:cs="Times New Roman"/>
          <w:sz w:val="28"/>
          <w:szCs w:val="28"/>
          <w:lang w:eastAsia="ru-RU"/>
        </w:rPr>
        <w:t xml:space="preserve">. Ожидается, что в данный кластер войдут туристические фирмы, гостиницы и рестораны, консалтинговые и маркетинговые агентства, </w:t>
      </w:r>
      <w:r w:rsidRPr="005B0D7D">
        <w:rPr>
          <w:rFonts w:ascii="Times New Roman" w:eastAsia="Batang" w:hAnsi="Times New Roman" w:cs="Times New Roman"/>
          <w:sz w:val="28"/>
          <w:szCs w:val="28"/>
          <w:lang w:eastAsia="ru-RU"/>
        </w:rPr>
        <w:lastRenderedPageBreak/>
        <w:t>страховые фирмы, мастерские по производству сувенирной продукции и другие предприятия.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развитие туризма будет способствовать росту интереса к городу извне, в том числе со стороны инвесторов, и одновременно – повышению социального потенциала жителей города. Созданная в городе инфраструктура позволит выдвинуть городской туристский продукт на российский и европейский туристический рынок и, в частности, сделать Ханты-Мансийск одним из центров «зимнего» туризма всероссийского и международного значения.</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56" w:name="_Toc406591415"/>
      <w:bookmarkStart w:id="257" w:name="_Toc410639530"/>
      <w:r w:rsidRPr="005B0D7D">
        <w:rPr>
          <w:rFonts w:ascii="Times New Roman" w:eastAsia="Batang" w:hAnsi="Times New Roman" w:cs="Times New Roman"/>
          <w:b/>
          <w:bCs/>
          <w:sz w:val="28"/>
          <w:szCs w:val="28"/>
          <w:lang w:eastAsia="ko-KR"/>
        </w:rPr>
        <w:t>Задача 14. Развитие физической культуры и массового спорта</w:t>
      </w:r>
      <w:bookmarkEnd w:id="254"/>
      <w:bookmarkEnd w:id="255"/>
      <w:bookmarkEnd w:id="256"/>
      <w:bookmarkEnd w:id="25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приобщение жителей города Ханты-Мансийска – представителей различных социальных и возрастных групп – к здоровому образу жизни посредством занятий физической культурой; содействие подготовке спортсменов в целях развития профессионального спорта и поддержания спортивного имиджа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Стратегическое развитие физической культуры и спорта в городе Ханты-Мансийске будет определяться наращиванием материально-технической базы. В 2015-2017 годах предполагается строительство хоккейного корта с искусственным льдом, универсального спортивного центра, физкультурно-оздоровительных комплексов, специализированных спортивных сооружений для занятий людей с ограниченными возможностями. Достаточное внимание будет уделяться поддержанию в надлежащем состоянии лыжных трасс.</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Горожане смогут воспользоваться также окружной спортивной инфраструктурой, которую планируется построить также в 2015-2017 годы: региональный центр единоборств, центр зимних видов спорта (инженерные сети), лыжный тренировочный тоннель, керлинг центр, центр технических видов спорта.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roofErr w:type="gramStart"/>
      <w:r w:rsidRPr="005B0D7D">
        <w:rPr>
          <w:rFonts w:ascii="Times New Roman" w:eastAsia="Batang" w:hAnsi="Times New Roman" w:cs="Times New Roman"/>
          <w:sz w:val="28"/>
          <w:szCs w:val="28"/>
          <w:lang w:eastAsia="ko-KR"/>
        </w:rPr>
        <w:t>Государственная программа Ханты-Мансийского автономного округа – Югры «Развитие физической культуры и спорта в Ханты-Мансийском автономном округе – Югре на 2014-2020 годы» предусматривает возможность участия города Ханты-Мансийска в окружных смотрах-конкурсах, определяющих лучшее муниципальное образование автономного округа по постановке работы с различными категориями занимающихся физической культурой и спортом; возможность получения субсидий на оснащение муниципальных учреждений физкультурно-спортивной направленности спортивным оборудованием, экипировкой, инвентарем;</w:t>
      </w:r>
      <w:proofErr w:type="gramEnd"/>
      <w:r w:rsidRPr="005B0D7D">
        <w:rPr>
          <w:rFonts w:ascii="Times New Roman" w:eastAsia="Batang" w:hAnsi="Times New Roman" w:cs="Times New Roman"/>
          <w:sz w:val="28"/>
          <w:szCs w:val="28"/>
          <w:lang w:eastAsia="ko-KR"/>
        </w:rPr>
        <w:t xml:space="preserve"> возможность компенсации затрат на уплату процентов по кредитам субъектам, осуществляющим инвестиционную деятельность по созданию объектов капитального строительства в сфере спорта на основе применения малобюджетных проектных решений шаговой доступности.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рамках развития физической культуры предполагается реализация проекта по обеспечению подготовки граждан к сдаче нормативов ГТО.</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Вовлечению в занятия физической культурой различных слоев населения будет способствовать развитие спорта на внутригородских территориях («Программы выходного дня», соревнования на спортивных дворовых площадках).</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 xml:space="preserve">Планируется участие населения города в программе медико-педагогического мониторинга </w:t>
      </w:r>
      <w:r w:rsidRPr="005B0D7D">
        <w:rPr>
          <w:rFonts w:ascii="Times New Roman" w:eastAsia="Batang" w:hAnsi="Times New Roman" w:cs="Times New Roman"/>
          <w:sz w:val="28"/>
          <w:szCs w:val="28"/>
          <w:lang w:val="en-US" w:eastAsia="ko-KR"/>
        </w:rPr>
        <w:t>G</w:t>
      </w:r>
      <w:r w:rsidRPr="005B0D7D">
        <w:rPr>
          <w:rFonts w:ascii="Times New Roman" w:eastAsia="Batang" w:hAnsi="Times New Roman" w:cs="Times New Roman"/>
          <w:sz w:val="28"/>
          <w:szCs w:val="28"/>
          <w:lang w:eastAsia="ko-KR"/>
        </w:rPr>
        <w:t xml:space="preserve">3-Здоровье-1. Данная программа позволяет в </w:t>
      </w:r>
      <w:proofErr w:type="gramStart"/>
      <w:r w:rsidRPr="005B0D7D">
        <w:rPr>
          <w:rFonts w:ascii="Times New Roman" w:eastAsia="Batang" w:hAnsi="Times New Roman" w:cs="Times New Roman"/>
          <w:sz w:val="28"/>
          <w:szCs w:val="28"/>
          <w:lang w:eastAsia="ko-KR"/>
        </w:rPr>
        <w:t>экспресс-режиме</w:t>
      </w:r>
      <w:proofErr w:type="gramEnd"/>
      <w:r w:rsidRPr="005B0D7D">
        <w:rPr>
          <w:rFonts w:ascii="Times New Roman" w:eastAsia="Batang" w:hAnsi="Times New Roman" w:cs="Times New Roman"/>
          <w:sz w:val="28"/>
          <w:szCs w:val="28"/>
          <w:lang w:eastAsia="ko-KR"/>
        </w:rPr>
        <w:t xml:space="preserve"> выявить физическое развитие и физическую подготовленность человека.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Неотъемлемым звеном в муниципальной системе физической культуры и спорта города Ханты-Мансийска станет учет необходимости вовлечения в физкультурно-спортивную жизнь города лиц с ограниченными возможностями: приспособление спортивных сооружений, проведение специальных спортивных мероприятий, обеспечение участия данной категории в окружных и всероссийских соревнованиях, тренировочных сборах, семинарах.</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Повышение престижа занятий спортом позволит укрепить спортивную составляющую имиджа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Росту популярности профессионального спорта будет способствовать чествование лучших спортсменов и тренеров в рамках проекта «Спортивная элита».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Весь комплекс мероприятий по развитию физической культуры и спорта позволит поддерживать признанный образ Ханты-Мансийска как здорового и спортивного города.</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58" w:name="_Toc404211563"/>
      <w:bookmarkStart w:id="259" w:name="_Toc404218197"/>
      <w:bookmarkStart w:id="260" w:name="_Toc406591416"/>
      <w:bookmarkStart w:id="261" w:name="_Toc410639531"/>
      <w:r w:rsidRPr="005B0D7D">
        <w:rPr>
          <w:rFonts w:ascii="Times New Roman" w:eastAsia="Batang" w:hAnsi="Times New Roman" w:cs="Times New Roman"/>
          <w:b/>
          <w:bCs/>
          <w:sz w:val="28"/>
          <w:szCs w:val="28"/>
          <w:lang w:eastAsia="ko-KR"/>
        </w:rPr>
        <w:t xml:space="preserve">Задача 15. </w:t>
      </w:r>
      <w:bookmarkEnd w:id="258"/>
      <w:bookmarkEnd w:id="259"/>
      <w:r w:rsidRPr="005B0D7D">
        <w:rPr>
          <w:rFonts w:ascii="Times New Roman" w:eastAsia="Batang" w:hAnsi="Times New Roman" w:cs="Times New Roman"/>
          <w:b/>
          <w:bCs/>
          <w:sz w:val="28"/>
          <w:szCs w:val="28"/>
          <w:lang w:eastAsia="ko-KR"/>
        </w:rPr>
        <w:t>Реализация молодежной политики</w:t>
      </w:r>
      <w:bookmarkEnd w:id="260"/>
      <w:bookmarkEnd w:id="261"/>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увеличение вклада молодежной политики в стратегическое развитие самых разных сфер жизнедеятельности города за счет создания необходимой инфраструктуры и обеспечения самореализации молодежи в данных сферах. Формирование здоровых и конкурентоспособных молодых людей с высоким чувством социальной ответственности и патриотизма.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Предполагается реализовать дифференцированный подход к учащейся, студенческой и работающей молодежи.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Так, школьников следует, в первую очередь, вовлекать в городской совет ученического самоуправления и другие общественные организации, обеспечивать их участие в дискуссионных площадках, чтобы они, разделенные по классам и учебным заведениям, успешно интегрировались в молодежную группу и местное сообщество. Соединение разновозрастных групп вокруг решения общегородских задач будет способствовать формированию социальной активности и социальной ответственности молодого поколения. В отношении старшеклассников главная задача – налаживание </w:t>
      </w:r>
      <w:proofErr w:type="spellStart"/>
      <w:r w:rsidRPr="005B0D7D">
        <w:rPr>
          <w:rFonts w:ascii="Times New Roman" w:eastAsia="Batang" w:hAnsi="Times New Roman" w:cs="Times New Roman"/>
          <w:sz w:val="28"/>
          <w:szCs w:val="28"/>
          <w:lang w:eastAsia="ko-KR"/>
        </w:rPr>
        <w:t>профориентационной</w:t>
      </w:r>
      <w:proofErr w:type="spellEnd"/>
      <w:r w:rsidRPr="005B0D7D">
        <w:rPr>
          <w:rFonts w:ascii="Times New Roman" w:eastAsia="Batang" w:hAnsi="Times New Roman" w:cs="Times New Roman"/>
          <w:sz w:val="28"/>
          <w:szCs w:val="28"/>
          <w:lang w:eastAsia="ko-KR"/>
        </w:rPr>
        <w:t xml:space="preserve"> работы, демонстрирование возможностей самореализации в городе Ханты-Мансийске.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Работа со студенческой молодежью предполагает преимущественно организацию культурного досуга, а также вовлечение в добровольческую и проектную деятельность, подготовку к семейной жизни и профессиональному выбору.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Работа с работающей молодежью будет направлена на сохранение единства воспитательного процесса и повышение степени социальной интеграции молодых людей. Преодоление корпоративной разобщенности работающей молодежи позволит интенсивнее использовать потенциал «молодых взрослых» на благо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Молодежная политика города Ханты-Мансийска предполагает проведение комплекса мероприятий по следующим направлениям.</w:t>
      </w:r>
    </w:p>
    <w:p w:rsidR="005B0D7D" w:rsidRPr="005B0D7D" w:rsidRDefault="005B0D7D" w:rsidP="00FA10BE">
      <w:pPr>
        <w:numPr>
          <w:ilvl w:val="0"/>
          <w:numId w:val="15"/>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Реализация проекта «Книга молодежных возможностей», которая представляет собой описание десятков видов активности, которые реализуют различные органы Администрации города и иные структуры (участие в различных конкурсах, вхождение в молодежное правительство, предоставление жилья молодым семьям, получение различных стипендий и т.д.).</w:t>
      </w:r>
    </w:p>
    <w:p w:rsidR="005B0D7D" w:rsidRPr="005B0D7D" w:rsidRDefault="005B0D7D" w:rsidP="00FA10BE">
      <w:pPr>
        <w:numPr>
          <w:ilvl w:val="0"/>
          <w:numId w:val="15"/>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Создание системы выявления и продвижения инициативной и талантливой молодежи.</w:t>
      </w:r>
    </w:p>
    <w:p w:rsidR="005B0D7D" w:rsidRPr="005B0D7D" w:rsidRDefault="005B0D7D" w:rsidP="00FA10BE">
      <w:pPr>
        <w:numPr>
          <w:ilvl w:val="0"/>
          <w:numId w:val="15"/>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Стимулирование молодых людей к инновационной активности, изобретательству, в том числе путем информирования о возможностях Технопарка высоких технологий Ханты-Мансийского автономного округа – Югры.</w:t>
      </w:r>
    </w:p>
    <w:p w:rsidR="005B0D7D" w:rsidRPr="005B0D7D" w:rsidRDefault="005B0D7D" w:rsidP="00FA10BE">
      <w:pPr>
        <w:numPr>
          <w:ilvl w:val="0"/>
          <w:numId w:val="15"/>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Регулирование поведения молодежи на рынке труда в части соблюдения трудового законодательства и умения выстраивать собственные профессиональные стратегии. </w:t>
      </w:r>
    </w:p>
    <w:p w:rsidR="005B0D7D" w:rsidRPr="005B0D7D" w:rsidRDefault="005B0D7D" w:rsidP="00FA10BE">
      <w:pPr>
        <w:numPr>
          <w:ilvl w:val="0"/>
          <w:numId w:val="15"/>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Организация временного трудоустройства несовершеннолетних, в том числе имеющих проблемы с законом, за счет средств работодателей. Государственная программа Ханты-Мансийского автономного округа – Югры «Развитие образования </w:t>
      </w:r>
      <w:proofErr w:type="gramStart"/>
      <w:r w:rsidRPr="005B0D7D">
        <w:rPr>
          <w:rFonts w:ascii="Times New Roman" w:eastAsia="Batang" w:hAnsi="Times New Roman" w:cs="Times New Roman"/>
          <w:sz w:val="28"/>
          <w:szCs w:val="28"/>
          <w:lang w:eastAsia="ru-RU"/>
        </w:rPr>
        <w:t>в</w:t>
      </w:r>
      <w:proofErr w:type="gramEnd"/>
      <w:r w:rsidRPr="005B0D7D">
        <w:rPr>
          <w:rFonts w:ascii="Times New Roman" w:eastAsia="Batang" w:hAnsi="Times New Roman" w:cs="Times New Roman"/>
          <w:sz w:val="28"/>
          <w:szCs w:val="28"/>
          <w:lang w:eastAsia="ru-RU"/>
        </w:rPr>
        <w:t xml:space="preserve"> </w:t>
      </w:r>
      <w:proofErr w:type="gramStart"/>
      <w:r w:rsidRPr="005B0D7D">
        <w:rPr>
          <w:rFonts w:ascii="Times New Roman" w:eastAsia="Batang" w:hAnsi="Times New Roman" w:cs="Times New Roman"/>
          <w:sz w:val="28"/>
          <w:szCs w:val="28"/>
          <w:lang w:eastAsia="ru-RU"/>
        </w:rPr>
        <w:t>Ханты-Мансийском</w:t>
      </w:r>
      <w:proofErr w:type="gramEnd"/>
      <w:r w:rsidRPr="005B0D7D">
        <w:rPr>
          <w:rFonts w:ascii="Times New Roman" w:eastAsia="Batang" w:hAnsi="Times New Roman" w:cs="Times New Roman"/>
          <w:sz w:val="28"/>
          <w:szCs w:val="28"/>
          <w:lang w:eastAsia="ru-RU"/>
        </w:rPr>
        <w:t xml:space="preserve"> автономном округе – Югре на 2014-2020 годы» предусматривает возможность участия органов молодежной политики в конкурсах проектов, нацеленных на временное трудоустройство старших школьников и студентов, профессиональную ориентацию старших школьников.</w:t>
      </w:r>
    </w:p>
    <w:p w:rsidR="005B0D7D" w:rsidRPr="005B0D7D" w:rsidRDefault="005B0D7D" w:rsidP="00FA10BE">
      <w:pPr>
        <w:numPr>
          <w:ilvl w:val="0"/>
          <w:numId w:val="15"/>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Вовлечение молодежи в решение проблем и перспективных задач города путем проведения конкурсов социально-значимых молодежных проектов.</w:t>
      </w:r>
    </w:p>
    <w:p w:rsidR="005B0D7D" w:rsidRPr="005B0D7D" w:rsidRDefault="005B0D7D" w:rsidP="00FA10BE">
      <w:pPr>
        <w:numPr>
          <w:ilvl w:val="0"/>
          <w:numId w:val="15"/>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Создание системы участия молодежи в стратегическом развитии города Ханты-Мансийска через Молодежный совет при Главе Администрации города и Агентство инновационных социальных технологий (АИСТ).</w:t>
      </w:r>
    </w:p>
    <w:p w:rsidR="005B0D7D" w:rsidRPr="005B0D7D" w:rsidRDefault="005B0D7D" w:rsidP="00FA10BE">
      <w:pPr>
        <w:numPr>
          <w:ilvl w:val="0"/>
          <w:numId w:val="15"/>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Активизация социального потенциала молодежи путем поддержки волонтерского движения, детских и молодежных общественных организаций и объединений.</w:t>
      </w:r>
    </w:p>
    <w:p w:rsidR="005B0D7D" w:rsidRPr="005B0D7D" w:rsidRDefault="005B0D7D" w:rsidP="00FA10BE">
      <w:pPr>
        <w:numPr>
          <w:ilvl w:val="0"/>
          <w:numId w:val="15"/>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Социализация молодых людей, оказавшихся в трудной жизненной ситуации, обеспечение их личностного и профессионального самоопределения.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Ожидается, что эффектом от реализации молодежной политики станет повышение гражданской, социальной, деловой и инновационной активности молодых людей, осознанный выбор специальности и места работы, осмысленная жизненная стратегия, связывающая личные достижения с перспективами развития города Ханты-Мансийска.</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62" w:name="_Toc404211566"/>
      <w:bookmarkStart w:id="263" w:name="_Toc404218200"/>
      <w:bookmarkStart w:id="264" w:name="_Toc406591417"/>
      <w:bookmarkStart w:id="265" w:name="_Toc410639532"/>
      <w:bookmarkStart w:id="266" w:name="_Toc404211567"/>
      <w:bookmarkStart w:id="267" w:name="_Toc404218201"/>
      <w:r w:rsidRPr="005B0D7D">
        <w:rPr>
          <w:rFonts w:ascii="Times New Roman" w:eastAsia="Batang" w:hAnsi="Times New Roman" w:cs="Times New Roman"/>
          <w:b/>
          <w:bCs/>
          <w:sz w:val="28"/>
          <w:szCs w:val="28"/>
          <w:lang w:eastAsia="ko-KR"/>
        </w:rPr>
        <w:t xml:space="preserve">Задача 16. </w:t>
      </w:r>
      <w:bookmarkEnd w:id="262"/>
      <w:bookmarkEnd w:id="263"/>
      <w:r w:rsidRPr="005B0D7D">
        <w:rPr>
          <w:rFonts w:ascii="Times New Roman" w:eastAsia="Batang" w:hAnsi="Times New Roman" w:cs="Times New Roman"/>
          <w:b/>
          <w:bCs/>
          <w:sz w:val="28"/>
          <w:szCs w:val="28"/>
          <w:lang w:eastAsia="ko-KR"/>
        </w:rPr>
        <w:t>Развитие транспортной инфраструктуры</w:t>
      </w:r>
      <w:bookmarkEnd w:id="264"/>
      <w:bookmarkEnd w:id="265"/>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Ханты-Мансийск – транспортный узел регионального значения с развитым автомобильным, воздушным и водным транспортом; логистический центр, использующий информационные технологии для регулирования транспортных потоков; город с удобными, безопасными и эстетичными дорогами и транспортными развязками.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Дальнейшее развитие транспортной инфраструктуры предполагает реализацию шести направлений.</w:t>
      </w:r>
    </w:p>
    <w:p w:rsidR="005B0D7D" w:rsidRPr="005B0D7D" w:rsidRDefault="005B0D7D" w:rsidP="00FA10BE">
      <w:pPr>
        <w:numPr>
          <w:ilvl w:val="0"/>
          <w:numId w:val="4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Развитие улично-дорожной сети. Усилия будут направлены на решение проблемы недостаточной пропускной способности отдельных улиц и дорог, нехватки благоустроенных парковок, все более остро обнаруживающейся по мере роста автомобилизации населения. Особое внимание будет уделяться обустройству парковок в районе крупных торговых центров. Также с учетом современных тенденций развития Ханты-Мансийска предполагается дальнейшая прокладка автодорог в осваиваемые отдаленные микрорайоны города, районы нового многоэтажного и коттеджного строительства, в промышленные зоны, на которых предполагается реализация крупных инвестиционных проектов. Результатом деятельности в данном русле станет недопущение перегрузок транспортных магистралей города в часы пик и повышение транспортной доступности отдаленных территорий города. </w:t>
      </w:r>
    </w:p>
    <w:p w:rsidR="005B0D7D" w:rsidRPr="005B0D7D" w:rsidRDefault="005B0D7D" w:rsidP="00FA10BE">
      <w:pPr>
        <w:numPr>
          <w:ilvl w:val="0"/>
          <w:numId w:val="4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Благоустройство дорожной инфраструктуры города. Предполагается продолжение работы по формированию эстетичного, современного, запоминающегося облика окружной столицы, по которой удобно ездить в силу качественного дорожного покрытия и удобно ориентироваться по причине достаточного числа дорожных и иных информационных указателей. В рамках дальнейшего благоустройства города планируется, в частности, отделка набережной реки Иртыш. К благоустройству города будут активно привлекаться хозяйствующие субъекты, которые в порядке обеспечения взаимной выгоды от этого мероприятия смогут размещать свои логотипы и иные рекламные элементы в установленных местах.</w:t>
      </w:r>
    </w:p>
    <w:p w:rsidR="005B0D7D" w:rsidRPr="005B0D7D" w:rsidRDefault="005B0D7D" w:rsidP="00FA10BE">
      <w:pPr>
        <w:numPr>
          <w:ilvl w:val="0"/>
          <w:numId w:val="4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Обеспечение безопасности дорожного движения за счет предотвращения дорожно-транспортных происшествий, вызванных неудовлетворительными дорожными условиями. Снижению рисков аварий по вине пешеходов будет способствовать установка дорожных ограждений у пешеходных переходов со светофорным регулированием. В рамках реконструкции дорог отдельно будут предусматриваться работы, направленные на ликвидацию аварийно-опасных участков дорог. Планируется нормативно закрепить использование таких материалов дорожного покрытия, которые снизят риск провалов дорожного полотна вследствие плавающих грунтов и подземных родников, с гарантированным сроком службы не менее 10 лет. Одновременно внедрение данной инновационной технологии, апробированной на всей территории России и за рубежом, позволяет строить «дороги без щебня». </w:t>
      </w:r>
    </w:p>
    <w:p w:rsidR="005B0D7D" w:rsidRPr="005B0D7D" w:rsidRDefault="005B0D7D" w:rsidP="00FA10BE">
      <w:pPr>
        <w:numPr>
          <w:ilvl w:val="0"/>
          <w:numId w:val="4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Развитие транспортной инфраструктуры. В рамках настоящей Стратегии Ханты-Мансийск видится как транспортный узел регионального значения, имеющий регулярное сообщение с различными территориями Югры и удобную систему возможных </w:t>
      </w:r>
      <w:proofErr w:type="gramStart"/>
      <w:r w:rsidRPr="005B0D7D">
        <w:rPr>
          <w:rFonts w:ascii="Times New Roman" w:eastAsia="Batang" w:hAnsi="Times New Roman" w:cs="Times New Roman"/>
          <w:sz w:val="28"/>
          <w:szCs w:val="28"/>
          <w:lang w:eastAsia="ru-RU"/>
        </w:rPr>
        <w:t>пересадок</w:t>
      </w:r>
      <w:proofErr w:type="gramEnd"/>
      <w:r w:rsidRPr="005B0D7D">
        <w:rPr>
          <w:rFonts w:ascii="Times New Roman" w:eastAsia="Batang" w:hAnsi="Times New Roman" w:cs="Times New Roman"/>
          <w:sz w:val="28"/>
          <w:szCs w:val="28"/>
          <w:lang w:eastAsia="ru-RU"/>
        </w:rPr>
        <w:t xml:space="preserve"> как для местного населения, так и для жителей других муниципальных образований, приезжающих в Ханты-Мансийск с деловыми, культурными и иными целями. В части развития транспорта перспективным представляется стимулирование перевода транспортных средств на газомоторное топливо, что позволит снизить объем вредных техногенных выбросов в атмосферу и сэкономить на приобретении жидких моторных топлив.</w:t>
      </w:r>
    </w:p>
    <w:p w:rsidR="005B0D7D" w:rsidRPr="005B0D7D" w:rsidRDefault="005B0D7D" w:rsidP="00FA10BE">
      <w:pPr>
        <w:numPr>
          <w:ilvl w:val="0"/>
          <w:numId w:val="4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lastRenderedPageBreak/>
        <w:t>Информатизация и интеллектуализация управления транспортом. Предотвратить проблему транспортных пробок, неизбежную, если учесть рост числа единиц автотранспорта, позволят не только расширение улично-дорожной сети, но и следующие нововведения: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создание системы интеллектуального управления светофорами;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создание круглосуточного городского диспетчерского центра управления пассажирскими перевозками;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оборудование автобусов системой спутникового мониторинга ГЛОНАСС с целью информирования населения об их месте нахождения и времени прибытия к остановочным пунктам.</w:t>
      </w:r>
    </w:p>
    <w:p w:rsidR="005B0D7D" w:rsidRPr="005B0D7D" w:rsidRDefault="005B0D7D" w:rsidP="00FA10BE">
      <w:pPr>
        <w:numPr>
          <w:ilvl w:val="0"/>
          <w:numId w:val="43"/>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Развитие логистики. Предполагается создание в городе транспортно-логистического центра для взаимодействия автомобильного, воздушного и водного транспорта, который будет включать:</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строительство высокотехнологичных производственно-складских объектов и комплексной инфраструктуры придорожного сервиса;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создание современных и эффективных систем инженерно-технического, коммуникационного и информационного обеспечения;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внедрение современных информационных технологий отслеживания отправлений, оптимизации загрузки транспорта, ведения информационного обмена, учёта и документооборота;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привлечение крупных транспортно-экспедиторских компаний, специализирующихся на доставке грузов с применением информационных сетевых и терминальных технологий организации перевозочного процесса и контрактной логистики;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создание эффективной распределительной сети для развивающихся крупных розничных структур и сетей, а также магазинов-складов оптовой и мелкооптовой продажи товаров.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Транспортно-логистический центр будет оказывать следующие услуги: разгрузка товара; погрузка (выдача) товара; приемка товара по количеству; хранение товара; постоянный контроль и учет движения переданных на хранение товаров; формирование заказа по заявке заказчика; предоставление необходимой информации заказчику.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Таким образом, действующий логистический центр, а также реконструированные под актуальные потребности города и благоустроенные улицы и дороги будут способствовать росту инвестиционной привлекательности Ханты-Мансийска. Новый облик улично-дорожной сети создаст особую эстетику места, повысит уровень комфортности проживания в городе.</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68" w:name="_Toc406591418"/>
      <w:bookmarkStart w:id="269" w:name="_Toc410639533"/>
      <w:r w:rsidRPr="005B0D7D">
        <w:rPr>
          <w:rFonts w:ascii="Times New Roman" w:eastAsia="Batang" w:hAnsi="Times New Roman" w:cs="Times New Roman"/>
          <w:b/>
          <w:bCs/>
          <w:sz w:val="28"/>
          <w:szCs w:val="28"/>
          <w:lang w:eastAsia="ko-KR"/>
        </w:rPr>
        <w:t xml:space="preserve">Задача 17. </w:t>
      </w:r>
      <w:bookmarkEnd w:id="266"/>
      <w:bookmarkEnd w:id="267"/>
      <w:r w:rsidRPr="005B0D7D">
        <w:rPr>
          <w:rFonts w:ascii="Times New Roman" w:eastAsia="Batang" w:hAnsi="Times New Roman" w:cs="Times New Roman"/>
          <w:b/>
          <w:bCs/>
          <w:sz w:val="28"/>
          <w:szCs w:val="28"/>
          <w:lang w:eastAsia="ko-KR"/>
        </w:rPr>
        <w:t>Комплексное развитие систем коммунальной, энергетической и коммуникационной инфраструктур</w:t>
      </w:r>
      <w:bookmarkEnd w:id="268"/>
      <w:bookmarkEnd w:id="26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обеспечение комфортности проживания в многоквартирных домах; бесперебойное предоставление жилищно-коммунальных услуг за счет своевременной реконструкции и модернизации коммунальных сетей; активизация потенциала собственников жилья.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 xml:space="preserve">Развитие сферы жилищно-коммунального хозяйства будет определяться возможностями привлечения в отрасль бюджетного и частного финансирования.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Привлечение бюджетного финансирования будет возможно путем участия муниципалитета в Государственной программе Ханты-Мансийского автономного округа – Югры «Развитие жилищно-коммунального комплекса и повышение энергетической эффективности </w:t>
      </w:r>
      <w:proofErr w:type="gramStart"/>
      <w:r w:rsidRPr="005B0D7D">
        <w:rPr>
          <w:rFonts w:ascii="Times New Roman" w:eastAsia="Batang" w:hAnsi="Times New Roman" w:cs="Times New Roman"/>
          <w:sz w:val="28"/>
          <w:szCs w:val="28"/>
          <w:lang w:eastAsia="ko-KR"/>
        </w:rPr>
        <w:t>в</w:t>
      </w:r>
      <w:proofErr w:type="gramEnd"/>
      <w:r w:rsidRPr="005B0D7D">
        <w:rPr>
          <w:rFonts w:ascii="Times New Roman" w:eastAsia="Batang" w:hAnsi="Times New Roman" w:cs="Times New Roman"/>
          <w:sz w:val="28"/>
          <w:szCs w:val="28"/>
          <w:lang w:eastAsia="ko-KR"/>
        </w:rPr>
        <w:t xml:space="preserve"> </w:t>
      </w:r>
      <w:proofErr w:type="gramStart"/>
      <w:r w:rsidRPr="005B0D7D">
        <w:rPr>
          <w:rFonts w:ascii="Times New Roman" w:eastAsia="Batang" w:hAnsi="Times New Roman" w:cs="Times New Roman"/>
          <w:sz w:val="28"/>
          <w:szCs w:val="28"/>
          <w:lang w:eastAsia="ko-KR"/>
        </w:rPr>
        <w:t>Ханты-Мансийском</w:t>
      </w:r>
      <w:proofErr w:type="gramEnd"/>
      <w:r w:rsidRPr="005B0D7D">
        <w:rPr>
          <w:rFonts w:ascii="Times New Roman" w:eastAsia="Batang" w:hAnsi="Times New Roman" w:cs="Times New Roman"/>
          <w:sz w:val="28"/>
          <w:szCs w:val="28"/>
          <w:lang w:eastAsia="ko-KR"/>
        </w:rPr>
        <w:t xml:space="preserve"> автономном округе – Югре на 2014-2020 годы», предусматривающей субсидии на реконструкцию, расширение, модернизацию, строительство объектов коммунального комплекса, обеспечение коммунальных объектов резервными источниками электроснабжения.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Привлечение частных инвестиций в жилищно-коммунальный комплекс будет возможно путем передачи в концессию находящихся в муниципальной собственности объектов тепло-, водоснабжения и водоотведения.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Дальнейшее развитие сетей водоснабжения предполагает увеличение охвата территории города централизованным водоснабжением, ликвидацию водоразборных колонок. Будет проведена реконструкция станции водоочистки на существующем водозаборе «Северный», а также бурение новых скважин на смежной площадке водозабора. В целях обеспечения качественной питьевой водой постоянно увеличивающегося населения города запланировано строительство второго водозабора «</w:t>
      </w:r>
      <w:proofErr w:type="spellStart"/>
      <w:r w:rsidRPr="005B0D7D">
        <w:rPr>
          <w:rFonts w:ascii="Times New Roman" w:eastAsia="Batang" w:hAnsi="Times New Roman" w:cs="Times New Roman"/>
          <w:sz w:val="28"/>
          <w:szCs w:val="28"/>
          <w:lang w:eastAsia="ko-KR"/>
        </w:rPr>
        <w:t>Стрижкино</w:t>
      </w:r>
      <w:proofErr w:type="spellEnd"/>
      <w:r w:rsidRPr="005B0D7D">
        <w:rPr>
          <w:rFonts w:ascii="Times New Roman" w:eastAsia="Batang" w:hAnsi="Times New Roman" w:cs="Times New Roman"/>
          <w:sz w:val="28"/>
          <w:szCs w:val="28"/>
          <w:lang w:eastAsia="ko-KR"/>
        </w:rPr>
        <w:t>». Предприятия смогут сэкономить свои ресурсы за счет использования технологий оборотного и повторно-последовательного использования воды.</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сфере водоотведения планируется расширение центральной системы бытовой канализации, прокладка канализационных сетей в районы нового многоэтажного и индивидуального жилищного строительства, а также на застроенные территории, на которых до сих пор используются септики. Планируется внедрять инновационные технологии обращения с отходами, производства удобрений.</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сфере теплоснабжения будет сохраняться комбинированная система, включающая централизованную теплосеть и крышные котельные. Установка в части домов автономных </w:t>
      </w:r>
      <w:proofErr w:type="spellStart"/>
      <w:r w:rsidRPr="005B0D7D">
        <w:rPr>
          <w:rFonts w:ascii="Times New Roman" w:eastAsia="Batang" w:hAnsi="Times New Roman" w:cs="Times New Roman"/>
          <w:sz w:val="28"/>
          <w:szCs w:val="28"/>
          <w:lang w:eastAsia="ko-KR"/>
        </w:rPr>
        <w:t>теплогенераторов</w:t>
      </w:r>
      <w:proofErr w:type="spellEnd"/>
      <w:r w:rsidRPr="005B0D7D">
        <w:rPr>
          <w:rFonts w:ascii="Times New Roman" w:eastAsia="Batang" w:hAnsi="Times New Roman" w:cs="Times New Roman"/>
          <w:sz w:val="28"/>
          <w:szCs w:val="28"/>
          <w:lang w:eastAsia="ko-KR"/>
        </w:rPr>
        <w:t xml:space="preserve">, работающих на двигателях особого типа, позволит обеспечить </w:t>
      </w:r>
      <w:proofErr w:type="spellStart"/>
      <w:r w:rsidRPr="005B0D7D">
        <w:rPr>
          <w:rFonts w:ascii="Times New Roman" w:eastAsia="Batang" w:hAnsi="Times New Roman" w:cs="Times New Roman"/>
          <w:sz w:val="28"/>
          <w:szCs w:val="28"/>
          <w:lang w:eastAsia="ko-KR"/>
        </w:rPr>
        <w:t>энергоэффективность</w:t>
      </w:r>
      <w:proofErr w:type="spellEnd"/>
      <w:r w:rsidRPr="005B0D7D">
        <w:rPr>
          <w:rFonts w:ascii="Times New Roman" w:eastAsia="Batang" w:hAnsi="Times New Roman" w:cs="Times New Roman"/>
          <w:sz w:val="28"/>
          <w:szCs w:val="28"/>
          <w:lang w:eastAsia="ko-KR"/>
        </w:rPr>
        <w:t xml:space="preserve"> системы теплоснабжения. Ожидается, что уплотнение застройки в центральной части города приведет к снижению расходов на транспортировку тепла и уменьшению </w:t>
      </w:r>
      <w:proofErr w:type="spellStart"/>
      <w:r w:rsidRPr="005B0D7D">
        <w:rPr>
          <w:rFonts w:ascii="Times New Roman" w:eastAsia="Batang" w:hAnsi="Times New Roman" w:cs="Times New Roman"/>
          <w:sz w:val="28"/>
          <w:szCs w:val="28"/>
          <w:lang w:eastAsia="ko-KR"/>
        </w:rPr>
        <w:t>теплопотерь</w:t>
      </w:r>
      <w:proofErr w:type="spellEnd"/>
      <w:r w:rsidRPr="005B0D7D">
        <w:rPr>
          <w:rFonts w:ascii="Times New Roman" w:eastAsia="Batang" w:hAnsi="Times New Roman" w:cs="Times New Roman"/>
          <w:sz w:val="28"/>
          <w:szCs w:val="28"/>
          <w:lang w:eastAsia="ko-KR"/>
        </w:rPr>
        <w:t xml:space="preserve">. Применение особой системы промывки сетей отопления на основе </w:t>
      </w:r>
      <w:proofErr w:type="spellStart"/>
      <w:r w:rsidRPr="005B0D7D">
        <w:rPr>
          <w:rFonts w:ascii="Times New Roman" w:eastAsia="Batang" w:hAnsi="Times New Roman" w:cs="Times New Roman"/>
          <w:sz w:val="28"/>
          <w:szCs w:val="28"/>
          <w:lang w:eastAsia="ko-KR"/>
        </w:rPr>
        <w:t>биореагентов</w:t>
      </w:r>
      <w:proofErr w:type="spellEnd"/>
      <w:r w:rsidRPr="005B0D7D">
        <w:rPr>
          <w:rFonts w:ascii="Times New Roman" w:eastAsia="Batang" w:hAnsi="Times New Roman" w:cs="Times New Roman"/>
          <w:sz w:val="28"/>
          <w:szCs w:val="28"/>
          <w:lang w:eastAsia="ko-KR"/>
        </w:rPr>
        <w:t xml:space="preserve"> приведет к увеличению </w:t>
      </w:r>
      <w:proofErr w:type="spellStart"/>
      <w:r w:rsidRPr="005B0D7D">
        <w:rPr>
          <w:rFonts w:ascii="Times New Roman" w:eastAsia="Batang" w:hAnsi="Times New Roman" w:cs="Times New Roman"/>
          <w:sz w:val="28"/>
          <w:szCs w:val="28"/>
          <w:lang w:eastAsia="ko-KR"/>
        </w:rPr>
        <w:t>теплооотдачи</w:t>
      </w:r>
      <w:proofErr w:type="spellEnd"/>
      <w:r w:rsidRPr="005B0D7D">
        <w:rPr>
          <w:rFonts w:ascii="Times New Roman" w:eastAsia="Batang" w:hAnsi="Times New Roman" w:cs="Times New Roman"/>
          <w:sz w:val="28"/>
          <w:szCs w:val="28"/>
          <w:lang w:eastAsia="ko-KR"/>
        </w:rPr>
        <w:t xml:space="preserve"> без нанесения вреда окружающей среде.</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сфере газоснабжения планируется расширение газораспределительной сети, подведение ее к территориям новой застройки. Предполагается модернизация газопровода высокого и среднего давления в целях увеличения пропускной способности участков сетей, а также </w:t>
      </w:r>
      <w:proofErr w:type="spellStart"/>
      <w:r w:rsidRPr="005B0D7D">
        <w:rPr>
          <w:rFonts w:ascii="Times New Roman" w:eastAsia="Batang" w:hAnsi="Times New Roman" w:cs="Times New Roman"/>
          <w:sz w:val="28"/>
          <w:szCs w:val="28"/>
          <w:lang w:eastAsia="ko-KR"/>
        </w:rPr>
        <w:t>закольцовка</w:t>
      </w:r>
      <w:proofErr w:type="spellEnd"/>
      <w:r w:rsidRPr="005B0D7D">
        <w:rPr>
          <w:rFonts w:ascii="Times New Roman" w:eastAsia="Batang" w:hAnsi="Times New Roman" w:cs="Times New Roman"/>
          <w:sz w:val="28"/>
          <w:szCs w:val="28"/>
          <w:lang w:eastAsia="ko-KR"/>
        </w:rPr>
        <w:t xml:space="preserve"> системы газоснабжения, чтобы обеспечить постоянство давления и обеспечение потребителей резервными мощностями в случае локальных аварий на газопроводе. Чтобы упростить взаимодействие инвесторов с газораспределительной компанией, предполагается разработать единый порядок выдачи технических условий.</w:t>
      </w:r>
    </w:p>
    <w:p w:rsidR="00436D1D" w:rsidRPr="005B0D7D" w:rsidRDefault="00436D1D" w:rsidP="005B0D7D">
      <w:pPr>
        <w:spacing w:after="0" w:line="240" w:lineRule="auto"/>
        <w:ind w:firstLine="709"/>
        <w:jc w:val="both"/>
        <w:rPr>
          <w:rFonts w:ascii="Times New Roman" w:eastAsia="Batang" w:hAnsi="Times New Roman" w:cs="Times New Roman"/>
          <w:sz w:val="28"/>
          <w:szCs w:val="28"/>
          <w:lang w:eastAsia="ko-KR"/>
        </w:rPr>
      </w:pPr>
      <w:r w:rsidRPr="00436D1D">
        <w:rPr>
          <w:rFonts w:ascii="Times New Roman" w:eastAsia="Batang" w:hAnsi="Times New Roman" w:cs="Times New Roman"/>
          <w:sz w:val="28"/>
          <w:szCs w:val="28"/>
          <w:lang w:eastAsia="ko-KR"/>
        </w:rPr>
        <w:lastRenderedPageBreak/>
        <w:t xml:space="preserve">В сфере электроснабжения планируется строительство электростанции на природном газе в целях преодоления нехватки энергоресурсов города, совершенствование системы распределения электроэнергии (перераспределение нагрузок на подстанции), разгрузка центров питания по уровню 110 </w:t>
      </w:r>
      <w:proofErr w:type="spellStart"/>
      <w:r w:rsidRPr="00436D1D">
        <w:rPr>
          <w:rFonts w:ascii="Times New Roman" w:eastAsia="Batang" w:hAnsi="Times New Roman" w:cs="Times New Roman"/>
          <w:sz w:val="28"/>
          <w:szCs w:val="28"/>
          <w:lang w:eastAsia="ko-KR"/>
        </w:rPr>
        <w:t>кВ.</w:t>
      </w:r>
      <w:proofErr w:type="spellEnd"/>
      <w:r w:rsidRPr="00436D1D">
        <w:rPr>
          <w:rFonts w:ascii="Times New Roman" w:eastAsia="Batang" w:hAnsi="Times New Roman" w:cs="Times New Roman"/>
          <w:sz w:val="28"/>
          <w:szCs w:val="28"/>
          <w:lang w:eastAsia="ko-KR"/>
        </w:rPr>
        <w:t xml:space="preserve"> Будет упрощен порядок взаимодействия инвесторов с </w:t>
      </w:r>
      <w:proofErr w:type="spellStart"/>
      <w:r w:rsidRPr="00436D1D">
        <w:rPr>
          <w:rFonts w:ascii="Times New Roman" w:eastAsia="Batang" w:hAnsi="Times New Roman" w:cs="Times New Roman"/>
          <w:sz w:val="28"/>
          <w:szCs w:val="28"/>
          <w:lang w:eastAsia="ko-KR"/>
        </w:rPr>
        <w:t>энергосетевой</w:t>
      </w:r>
      <w:proofErr w:type="spellEnd"/>
      <w:r w:rsidRPr="00436D1D">
        <w:rPr>
          <w:rFonts w:ascii="Times New Roman" w:eastAsia="Batang" w:hAnsi="Times New Roman" w:cs="Times New Roman"/>
          <w:sz w:val="28"/>
          <w:szCs w:val="28"/>
          <w:lang w:eastAsia="ko-KR"/>
        </w:rPr>
        <w:t xml:space="preserve"> компанией на основе принципа «одного окна».</w:t>
      </w:r>
    </w:p>
    <w:p w:rsidR="005B0D7D" w:rsidRPr="005B0D7D" w:rsidRDefault="005B0D7D" w:rsidP="005B0D7D">
      <w:pPr>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sz w:val="28"/>
          <w:szCs w:val="28"/>
          <w:lang w:eastAsia="ko-KR"/>
        </w:rPr>
        <w:t xml:space="preserve">В части вывоза и утилизации твердых бытовых отходов предусмотрено </w:t>
      </w:r>
      <w:r w:rsidRPr="005B0D7D">
        <w:rPr>
          <w:rFonts w:ascii="Times New Roman" w:eastAsia="Batang" w:hAnsi="Times New Roman" w:cs="Times New Roman"/>
          <w:bCs/>
          <w:sz w:val="28"/>
          <w:szCs w:val="28"/>
          <w:lang w:eastAsia="ko-KR"/>
        </w:rPr>
        <w:t>строительство комплексного межмуниципального полигона с технологиями по сортировке отходов.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Снижению расходов на оплату жилищно-коммунальных </w:t>
      </w:r>
      <w:proofErr w:type="gramStart"/>
      <w:r w:rsidRPr="005B0D7D">
        <w:rPr>
          <w:rFonts w:ascii="Times New Roman" w:eastAsia="Batang" w:hAnsi="Times New Roman" w:cs="Times New Roman"/>
          <w:sz w:val="28"/>
          <w:szCs w:val="28"/>
          <w:lang w:eastAsia="ko-KR"/>
        </w:rPr>
        <w:t>услуг</w:t>
      </w:r>
      <w:proofErr w:type="gramEnd"/>
      <w:r w:rsidRPr="005B0D7D">
        <w:rPr>
          <w:rFonts w:ascii="Times New Roman" w:eastAsia="Batang" w:hAnsi="Times New Roman" w:cs="Times New Roman"/>
          <w:sz w:val="28"/>
          <w:szCs w:val="28"/>
          <w:lang w:eastAsia="ko-KR"/>
        </w:rPr>
        <w:t xml:space="preserve"> как населения, так и управляющих организаций будет способствовать проведение разъяснительной работы по энергосбережению среди жителей многоквартирных домов, обучение представителей управляющих компаний технологиям энергосбережения, демонстрация инновационных разработок в данной отрасли.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целях энергосбережения будет проводиться модернизация и реконструкция котельных установок с использованием </w:t>
      </w:r>
      <w:proofErr w:type="spellStart"/>
      <w:r w:rsidRPr="005B0D7D">
        <w:rPr>
          <w:rFonts w:ascii="Times New Roman" w:eastAsia="Batang" w:hAnsi="Times New Roman" w:cs="Times New Roman"/>
          <w:sz w:val="28"/>
          <w:szCs w:val="28"/>
          <w:lang w:eastAsia="ko-KR"/>
        </w:rPr>
        <w:t>энергоэффективного</w:t>
      </w:r>
      <w:proofErr w:type="spellEnd"/>
      <w:r w:rsidRPr="005B0D7D">
        <w:rPr>
          <w:rFonts w:ascii="Times New Roman" w:eastAsia="Batang" w:hAnsi="Times New Roman" w:cs="Times New Roman"/>
          <w:sz w:val="28"/>
          <w:szCs w:val="28"/>
          <w:lang w:eastAsia="ko-KR"/>
        </w:rPr>
        <w:t xml:space="preserve"> оборудования, установка коммерческих приборов учета на котельных, строительство и реконструкция сетей электроснабжения, создание автоматизированной системы диспетчерского контроля и управления. Экономия ресурсов будет достигнута путем установки новых (или перемотки обмотки существующих) двигателей особого типа «Славянка», причем бюджет не будет нести расходы на проведение данных работ, которые будут </w:t>
      </w:r>
      <w:proofErr w:type="gramStart"/>
      <w:r w:rsidRPr="005B0D7D">
        <w:rPr>
          <w:rFonts w:ascii="Times New Roman" w:eastAsia="Batang" w:hAnsi="Times New Roman" w:cs="Times New Roman"/>
          <w:sz w:val="28"/>
          <w:szCs w:val="28"/>
          <w:lang w:eastAsia="ko-KR"/>
        </w:rPr>
        <w:t>оплачиваться на счет</w:t>
      </w:r>
      <w:proofErr w:type="gramEnd"/>
      <w:r w:rsidRPr="005B0D7D">
        <w:rPr>
          <w:rFonts w:ascii="Times New Roman" w:eastAsia="Batang" w:hAnsi="Times New Roman" w:cs="Times New Roman"/>
          <w:sz w:val="28"/>
          <w:szCs w:val="28"/>
          <w:lang w:eastAsia="ko-KR"/>
        </w:rPr>
        <w:t xml:space="preserve"> фактической экономии при заключении </w:t>
      </w:r>
      <w:proofErr w:type="spellStart"/>
      <w:r w:rsidRPr="005B0D7D">
        <w:rPr>
          <w:rFonts w:ascii="Times New Roman" w:eastAsia="Batang" w:hAnsi="Times New Roman" w:cs="Times New Roman"/>
          <w:sz w:val="28"/>
          <w:szCs w:val="28"/>
          <w:lang w:eastAsia="ko-KR"/>
        </w:rPr>
        <w:t>энергосервисных</w:t>
      </w:r>
      <w:proofErr w:type="spellEnd"/>
      <w:r w:rsidRPr="005B0D7D">
        <w:rPr>
          <w:rFonts w:ascii="Times New Roman" w:eastAsia="Batang" w:hAnsi="Times New Roman" w:cs="Times New Roman"/>
          <w:sz w:val="28"/>
          <w:szCs w:val="28"/>
          <w:lang w:eastAsia="ko-KR"/>
        </w:rPr>
        <w:t xml:space="preserve"> контрактов. Для создания комплексных энергосберегающих технологий планируется использование потенциала Технопарка высоких технологий Ханты-Мансийского автономного округа – Югры.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Эффектом от реализации данной стратегической задачи станет увеличение сроков безремонтной эксплуатации инженерных сетей жилищно-коммунального комплекса, а также снижение числа жалоб в администрацию города и в органы государственной власти, относящихся к сфере жилищно-коммунального хозяйства.</w:t>
      </w:r>
    </w:p>
    <w:p w:rsidR="005B0D7D" w:rsidRPr="005B0D7D" w:rsidRDefault="005B0D7D" w:rsidP="005B0D7D">
      <w:pPr>
        <w:keepNext/>
        <w:tabs>
          <w:tab w:val="left" w:pos="1276"/>
        </w:tabs>
        <w:spacing w:before="240" w:after="60" w:line="240" w:lineRule="auto"/>
        <w:jc w:val="center"/>
        <w:outlineLvl w:val="1"/>
        <w:rPr>
          <w:rFonts w:ascii="Times New Roman" w:eastAsia="Batang" w:hAnsi="Times New Roman" w:cs="Times New Roman"/>
          <w:b/>
          <w:bCs/>
          <w:sz w:val="28"/>
          <w:szCs w:val="28"/>
          <w:lang w:eastAsia="ko-KR"/>
        </w:rPr>
      </w:pPr>
      <w:bookmarkStart w:id="270" w:name="_Toc404211568"/>
      <w:bookmarkStart w:id="271" w:name="_Toc404218202"/>
      <w:bookmarkStart w:id="272" w:name="_Toc406591419"/>
      <w:bookmarkStart w:id="273" w:name="_Toc410639534"/>
      <w:r w:rsidRPr="005B0D7D">
        <w:rPr>
          <w:rFonts w:ascii="Times New Roman" w:eastAsia="Batang" w:hAnsi="Times New Roman" w:cs="Times New Roman"/>
          <w:b/>
          <w:bCs/>
          <w:sz w:val="28"/>
          <w:szCs w:val="28"/>
          <w:lang w:eastAsia="ko-KR"/>
        </w:rPr>
        <w:t>Задача 18. Совершенствование системы предупреждения и защиты населения от чрезвычайных ситуаций природного и техногенного характера, охрана окружающей среды</w:t>
      </w:r>
      <w:bookmarkEnd w:id="270"/>
      <w:bookmarkEnd w:id="271"/>
      <w:bookmarkEnd w:id="272"/>
      <w:bookmarkEnd w:id="273"/>
    </w:p>
    <w:p w:rsidR="005B0D7D" w:rsidRPr="005B0D7D" w:rsidRDefault="005B0D7D" w:rsidP="005B0D7D">
      <w:pPr>
        <w:tabs>
          <w:tab w:val="left" w:pos="1276"/>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обеспечение и поддержание высокой готовности сил и сре</w:t>
      </w:r>
      <w:proofErr w:type="gramStart"/>
      <w:r w:rsidRPr="005B0D7D">
        <w:rPr>
          <w:rFonts w:ascii="Times New Roman" w:eastAsia="Batang" w:hAnsi="Times New Roman" w:cs="Times New Roman"/>
          <w:sz w:val="28"/>
          <w:szCs w:val="28"/>
          <w:lang w:eastAsia="ko-KR"/>
        </w:rPr>
        <w:t>дств гр</w:t>
      </w:r>
      <w:proofErr w:type="gramEnd"/>
      <w:r w:rsidRPr="005B0D7D">
        <w:rPr>
          <w:rFonts w:ascii="Times New Roman" w:eastAsia="Batang" w:hAnsi="Times New Roman" w:cs="Times New Roman"/>
          <w:sz w:val="28"/>
          <w:szCs w:val="28"/>
          <w:lang w:eastAsia="ko-KR"/>
        </w:rPr>
        <w:t>ажданской обороны к защите населения и территории от чрезвычайных ситуаций природного и техногенного характера, обеспечение пожарной безопасности и безопасности людей на водных объектах, охрана окружающей среды.</w:t>
      </w:r>
    </w:p>
    <w:p w:rsidR="005B0D7D" w:rsidRPr="005B0D7D" w:rsidRDefault="005B0D7D" w:rsidP="005B0D7D">
      <w:pPr>
        <w:tabs>
          <w:tab w:val="left" w:pos="1276"/>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Мероприятия, которые планируется реализовать в рамках данного направления, направлены на совершенствование методов предупреждения чрезвычайных ситуаций природного и техногенного характера, в том числе путем организации системы их мониторинга и прогнозирования. </w:t>
      </w:r>
    </w:p>
    <w:p w:rsidR="005B0D7D" w:rsidRPr="005B0D7D" w:rsidRDefault="005B0D7D" w:rsidP="005B0D7D">
      <w:pPr>
        <w:tabs>
          <w:tab w:val="left" w:pos="1276"/>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 xml:space="preserve">Оперативному реагированию на чрезвычайные ситуации будет способствовать создание в городе Ханты-Мансийске единой дежурно-диспетчерской службы «112» и последующее повышение ее готовности к немедленному реагированию на возможные чрезвычайные ситуации и происшествия. </w:t>
      </w:r>
    </w:p>
    <w:p w:rsidR="005B0D7D" w:rsidRPr="005B0D7D" w:rsidRDefault="005B0D7D" w:rsidP="005B0D7D">
      <w:pPr>
        <w:tabs>
          <w:tab w:val="left" w:pos="1276"/>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целях обеспечения защиты населения от чрезвычайных ситуаций запланировано создание, содержание и организация деятельности спасательной станции – аварийно-спасательного формирования. </w:t>
      </w:r>
    </w:p>
    <w:p w:rsidR="005B0D7D" w:rsidRPr="005B0D7D" w:rsidRDefault="005B0D7D" w:rsidP="005B0D7D">
      <w:pPr>
        <w:tabs>
          <w:tab w:val="left" w:pos="1276"/>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Предполагается обучение должностных лиц в области защиты населения и территорий от чрезвычайных ситуаций мирного и военного времени, а также обучение населения способам защиты и действиям в чрезвычайных ситуациях.</w:t>
      </w:r>
    </w:p>
    <w:p w:rsidR="005B0D7D" w:rsidRPr="005B0D7D" w:rsidRDefault="005B0D7D" w:rsidP="005B0D7D">
      <w:pPr>
        <w:tabs>
          <w:tab w:val="left" w:pos="1276"/>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части мобилизационной подготовки планируется проведение учений, разработка планов действий хозяйствующих субъектов на случай мобилизации, защита информации в области мобилизационной подготовки, инвентаризация защитных сооружений гражданской обороны.</w:t>
      </w:r>
    </w:p>
    <w:p w:rsidR="005B0D7D" w:rsidRPr="005B0D7D" w:rsidRDefault="005B0D7D" w:rsidP="005B0D7D">
      <w:pPr>
        <w:tabs>
          <w:tab w:val="left" w:pos="1276"/>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сфере экологии планируется содействие переносу центра наблюдений за выбросами в атмосферу на место, позволяющее производить объективные замеры уровня загрязнений, а также строительству второго центра в целях повышения степени объективности измерений.</w:t>
      </w:r>
    </w:p>
    <w:p w:rsidR="005B0D7D" w:rsidRPr="005B0D7D" w:rsidRDefault="005B0D7D" w:rsidP="005B0D7D">
      <w:pPr>
        <w:tabs>
          <w:tab w:val="left" w:pos="1276"/>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рамках Государственной программы Ханты-Мансийского автономного округа – Югры «Обеспечение экологической безопасности Ханты-Мансийского автономного округа – Югры на 2014-2020 годы» предусмотрена возможность выделения средств окружного бюджета (до 90% стоимости) на строительство объектов размещения и переработки твердых бытовых отходов.</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74" w:name="_Toc404211569"/>
      <w:bookmarkStart w:id="275" w:name="_Toc404218203"/>
      <w:bookmarkStart w:id="276" w:name="_Toc406591420"/>
      <w:bookmarkStart w:id="277" w:name="_Toc410639535"/>
      <w:bookmarkEnd w:id="216"/>
      <w:bookmarkEnd w:id="217"/>
      <w:r w:rsidRPr="005B0D7D">
        <w:rPr>
          <w:rFonts w:ascii="Times New Roman" w:eastAsia="Batang" w:hAnsi="Times New Roman" w:cs="Times New Roman"/>
          <w:b/>
          <w:bCs/>
          <w:sz w:val="28"/>
          <w:szCs w:val="28"/>
          <w:lang w:eastAsia="ko-KR"/>
        </w:rPr>
        <w:t>Задача 19. Обеспечение личной безопасности граждан</w:t>
      </w:r>
      <w:bookmarkEnd w:id="274"/>
      <w:bookmarkEnd w:id="275"/>
      <w:bookmarkEnd w:id="276"/>
      <w:bookmarkEnd w:id="27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создание условий, способствующих снижению уровня преступности, тяжести последствий дорожно-транспортных происшествий, профилактика террористической угрозы и экстремизма.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Обеспечение низкого уровня преступности является фактором комфортности и привлекательности города для жизни, в силу чего работа Администрации города Ханты-Мансийска в сфере безопасности будет вестись по следующим направлениям: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1.Повышение антитеррористической защищенности потенциальных объектов террористических посягательств, критически важных объектов инфраструктуры и жизнеобеспечения, а также мест массового пребывания людей.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Противодействие экстремизму путем поддержания толерантной общественной среды, гармонизации национальных и межнациональных (межэтнических) отношений, обеспечения равенства прав и свобод человека и гражданина независимо от расы, национальности, языка и отношения к религии.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Обеспечение участия граждан в охране общественного порядка путем использования потенциала общественных объединений.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4. Снижение уровня преступности путем увеличения зоны покрытия территории камерами видеонаблюдения, интеграции ведомственных камер в общую систему обеспечения безопасности, создания комплексной </w:t>
      </w:r>
      <w:r w:rsidRPr="005B0D7D">
        <w:rPr>
          <w:rFonts w:ascii="Times New Roman" w:eastAsia="Batang" w:hAnsi="Times New Roman" w:cs="Times New Roman"/>
          <w:sz w:val="28"/>
          <w:szCs w:val="28"/>
          <w:lang w:eastAsia="ko-KR"/>
        </w:rPr>
        <w:lastRenderedPageBreak/>
        <w:t xml:space="preserve">информационной системы, обеспечивающей прогнозирование, мониторинг, предупреждение и ликвидацию возможных угроз.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Снижению тяжести последствий дорожно-транспортных происшествий будет способствовать комплекс мер по увеличению количества систем </w:t>
      </w:r>
      <w:proofErr w:type="spellStart"/>
      <w:r w:rsidRPr="005B0D7D">
        <w:rPr>
          <w:rFonts w:ascii="Times New Roman" w:eastAsia="Batang" w:hAnsi="Times New Roman" w:cs="Times New Roman"/>
          <w:sz w:val="28"/>
          <w:szCs w:val="28"/>
          <w:lang w:eastAsia="ko-KR"/>
        </w:rPr>
        <w:t>фотовидеофиксации</w:t>
      </w:r>
      <w:proofErr w:type="spellEnd"/>
      <w:r w:rsidRPr="005B0D7D">
        <w:rPr>
          <w:rFonts w:ascii="Times New Roman" w:eastAsia="Batang" w:hAnsi="Times New Roman" w:cs="Times New Roman"/>
          <w:sz w:val="28"/>
          <w:szCs w:val="28"/>
          <w:lang w:eastAsia="ko-KR"/>
        </w:rPr>
        <w:t xml:space="preserve"> нарушений правил дорожного движения; реконструкции и модернизации аварийно-опасных участков дорог; оборудованию пешеходных переходов ограничивающими пешеходными ограждениями; обеспечению высокой культуры вождения автомобиля.</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78" w:name="_Toc406591421"/>
      <w:bookmarkStart w:id="279" w:name="_Toc410639536"/>
      <w:r w:rsidRPr="005B0D7D">
        <w:rPr>
          <w:rFonts w:ascii="Times New Roman" w:eastAsia="Batang" w:hAnsi="Times New Roman" w:cs="Times New Roman"/>
          <w:b/>
          <w:bCs/>
          <w:sz w:val="28"/>
          <w:szCs w:val="28"/>
          <w:lang w:eastAsia="ko-KR"/>
        </w:rPr>
        <w:t>Задача 20. Повышение эффективности муниципального управления на основе использования современных информационно-коммуникационных технологий</w:t>
      </w:r>
      <w:bookmarkEnd w:id="278"/>
      <w:bookmarkEnd w:id="27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roofErr w:type="gramStart"/>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повышение эффективности муниципального управления, взаимодействия гражданского общества и бизнеса с органами местного самоуправления, в том числе организация предоставления государственных и муниципальных услуг в электронном виде; оптимизация предоставления услуг и снижение административных барьеров за счет использования информационно-коммуникационных технологий; обеспечение предоставления государственных и муниципальных услуг в соответствии со стандартами качества; внедрение современных информационных технологий для повышения качества муниципального управления.</w:t>
      </w:r>
      <w:proofErr w:type="gramEnd"/>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стратегической перспективе предполагается реализация следующих направлений деятельности.</w:t>
      </w:r>
    </w:p>
    <w:p w:rsidR="005B0D7D" w:rsidRPr="005B0D7D" w:rsidRDefault="005B0D7D" w:rsidP="00FA10BE">
      <w:pPr>
        <w:numPr>
          <w:ilvl w:val="0"/>
          <w:numId w:val="44"/>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Совершенствование нормативной правовой и организационно-методической базы в сфере организации предоставления муниципальных услуг, дальнейшее внесение изменений в нормативные правовые акты в сфере предоставления муниципальных услуг.</w:t>
      </w:r>
    </w:p>
    <w:p w:rsidR="005B0D7D" w:rsidRPr="005B0D7D" w:rsidRDefault="005B0D7D" w:rsidP="00BB68E3">
      <w:pPr>
        <w:numPr>
          <w:ilvl w:val="0"/>
          <w:numId w:val="44"/>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Создание единой технологической инфраструктуры использования отдельных сервисов и информационных систем в деятельности органов местного самоуправления, а также подведомственных им предприятий и учреждений. Реализация данного направления предполагает: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развитие программно-технической базы;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обеспечение широкополосным доступом в Интернет всех пользователей органов местного самоуправления и бюджетных учреждений;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внедрение ведомственных информационных систем во всех учреждениях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интеграцию отдельных муниципальных информационных систем и ресурсов, обеспечение сопоставимости данных.</w:t>
      </w:r>
    </w:p>
    <w:p w:rsidR="005B0D7D" w:rsidRPr="005B0D7D" w:rsidRDefault="005B0D7D" w:rsidP="00BB68E3">
      <w:pPr>
        <w:numPr>
          <w:ilvl w:val="0"/>
          <w:numId w:val="44"/>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Увеличение интенсивности и разнообразия форм информационного взаимодействия граждан и организаций с органами местного самоуправления посредством 1) повышения качества предоставления муниципальных услуг в электронном виде; 2) расширения электронного межведомственного взаимодействия, увеличение доли межведомственных запросов, осуществляемых в электронной форме; 3) организации эффективной обратной связи с населением и бизнесом.</w:t>
      </w:r>
    </w:p>
    <w:p w:rsidR="005B0D7D" w:rsidRPr="005B0D7D" w:rsidRDefault="005B0D7D" w:rsidP="00BB68E3">
      <w:pPr>
        <w:numPr>
          <w:ilvl w:val="0"/>
          <w:numId w:val="44"/>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lastRenderedPageBreak/>
        <w:t>Создание единой информационно-аналитической системы планирования и мониторинга деятельности органов местного самоуправления. С этой целью будут автоматизированы процедуры сбора и обработки информации, необходимой для расчета текущих и прогнозных значений стратегических показателей.</w:t>
      </w:r>
    </w:p>
    <w:p w:rsidR="005B0D7D" w:rsidRPr="005B0D7D" w:rsidRDefault="005B0D7D" w:rsidP="00BB68E3">
      <w:pPr>
        <w:numPr>
          <w:ilvl w:val="0"/>
          <w:numId w:val="44"/>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Повышение уровня информационно-технологической компетентности муниципальных служащих, работников бюджетных учреждений и населения. Для этого предполагается: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организация обучения муниципальных служащих, работников муниципальных предприятий и бюджетных учреждений основам использования информационных технологий в профессиональной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обеспечение участия пользователей информационных систем в конференциях и семинарах, посвященных развитию информационно-коммуникационных технологий и информационного общества в целом.</w:t>
      </w:r>
    </w:p>
    <w:p w:rsidR="005B0D7D" w:rsidRPr="005B0D7D" w:rsidRDefault="005B0D7D" w:rsidP="00BB68E3">
      <w:pPr>
        <w:numPr>
          <w:ilvl w:val="0"/>
          <w:numId w:val="44"/>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Обеспечение информационной </w:t>
      </w:r>
      <w:proofErr w:type="gramStart"/>
      <w:r w:rsidRPr="005B0D7D">
        <w:rPr>
          <w:rFonts w:ascii="Times New Roman" w:eastAsia="Batang" w:hAnsi="Times New Roman" w:cs="Times New Roman"/>
          <w:sz w:val="28"/>
          <w:szCs w:val="28"/>
          <w:lang w:eastAsia="ru-RU"/>
        </w:rPr>
        <w:t>безопасности электронных форм взаимодействия органов местного самоуправления</w:t>
      </w:r>
      <w:proofErr w:type="gramEnd"/>
      <w:r w:rsidRPr="005B0D7D">
        <w:rPr>
          <w:rFonts w:ascii="Times New Roman" w:eastAsia="Batang" w:hAnsi="Times New Roman" w:cs="Times New Roman"/>
          <w:sz w:val="28"/>
          <w:szCs w:val="28"/>
          <w:lang w:eastAsia="ru-RU"/>
        </w:rPr>
        <w:t xml:space="preserve"> между собой, с населением и организациями, усиление степени защиты персональных данных при их обработке в информационных системах. Инструментами будут служить:</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специальная оценка условий труда в отношении рабочих мест, предполагающих использование информационно-коммуникационных систем;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совершенствование организационно-распорядительской документации для исполнения требований Федерального закона «О персональных данных» от 27 июля 2006 года №152-ФЗ.</w:t>
      </w:r>
    </w:p>
    <w:p w:rsidR="005B0D7D" w:rsidRPr="005B0D7D" w:rsidRDefault="005B0D7D" w:rsidP="00BB68E3">
      <w:pPr>
        <w:numPr>
          <w:ilvl w:val="0"/>
          <w:numId w:val="44"/>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Проведение серии мероприятий, направленных на популяризацию информационных технологий, обеспечивающих взаимодействие муниципалитета с населением. Особое внимание будет уделяться работе со школьниками, которая должна быть направлена не только на их ознакомление с действующими электронными сервисами, но и на формирование интереса к получению технологических навыков. Просвещение молодых людей в сфере информационных технологий способно оказать влияние на выбор будущей профессии, что внесет свой вклад в инновационное развитие экономики города.</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80" w:name="_Toc404211571"/>
      <w:bookmarkStart w:id="281" w:name="_Toc404218205"/>
      <w:bookmarkStart w:id="282" w:name="_Toc406591422"/>
      <w:bookmarkStart w:id="283" w:name="_Toc410639537"/>
      <w:r w:rsidRPr="005B0D7D">
        <w:rPr>
          <w:rFonts w:ascii="Times New Roman" w:eastAsia="Batang" w:hAnsi="Times New Roman" w:cs="Times New Roman"/>
          <w:b/>
          <w:bCs/>
          <w:sz w:val="28"/>
          <w:szCs w:val="28"/>
          <w:lang w:eastAsia="ko-KR"/>
        </w:rPr>
        <w:t xml:space="preserve">Задача 21. </w:t>
      </w:r>
      <w:bookmarkEnd w:id="280"/>
      <w:bookmarkEnd w:id="281"/>
      <w:r w:rsidRPr="005B0D7D">
        <w:rPr>
          <w:rFonts w:ascii="Times New Roman" w:eastAsia="Batang" w:hAnsi="Times New Roman" w:cs="Times New Roman"/>
          <w:b/>
          <w:bCs/>
          <w:sz w:val="28"/>
          <w:szCs w:val="28"/>
          <w:lang w:eastAsia="ko-KR"/>
        </w:rPr>
        <w:t>Профессиональное развитие муниципальных кадров</w:t>
      </w:r>
      <w:bookmarkEnd w:id="282"/>
      <w:bookmarkEnd w:id="283"/>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создание профессиональной, конкурентоспособной, открытой, ориентированной на интересы населения муниципальной службы, ориентация муниципальных служащих на решение стратегических задач развития города посредством совершенствования кадровых и организационных технологий.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Созданию системы профессионального развития муниципальных служащих будет способствовать реализация следующих направлений деятельности. </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Ориентация системы дополнительного образования на </w:t>
      </w:r>
      <w:proofErr w:type="spellStart"/>
      <w:r w:rsidRPr="005B0D7D">
        <w:rPr>
          <w:rFonts w:ascii="Times New Roman" w:eastAsia="Batang" w:hAnsi="Times New Roman" w:cs="Times New Roman"/>
          <w:sz w:val="28"/>
          <w:szCs w:val="28"/>
          <w:lang w:eastAsia="ru-RU"/>
        </w:rPr>
        <w:t>компетентностный</w:t>
      </w:r>
      <w:proofErr w:type="spellEnd"/>
      <w:r w:rsidRPr="005B0D7D">
        <w:rPr>
          <w:rFonts w:ascii="Times New Roman" w:eastAsia="Batang" w:hAnsi="Times New Roman" w:cs="Times New Roman"/>
          <w:sz w:val="28"/>
          <w:szCs w:val="28"/>
          <w:lang w:eastAsia="ru-RU"/>
        </w:rPr>
        <w:t xml:space="preserve"> подход и решение служебных задач. Предполагается, что основанием получения дополнительного образования должна стать четко сформулированная потребность в определенных компетенциях.</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Проведение конференций, семинаров, «круглых столов» по актуальным вопросам развития местного самоуправления на базе Администрации города </w:t>
      </w:r>
      <w:r w:rsidRPr="005B0D7D">
        <w:rPr>
          <w:rFonts w:ascii="Times New Roman" w:eastAsia="Batang" w:hAnsi="Times New Roman" w:cs="Times New Roman"/>
          <w:sz w:val="28"/>
          <w:szCs w:val="28"/>
          <w:lang w:eastAsia="ru-RU"/>
        </w:rPr>
        <w:lastRenderedPageBreak/>
        <w:t>Ханты-Мансийска, что будет способствовать решению проблем города и профессиональному развитию муниципальных кадров.</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Внедрение технологии наставничества в целях оказания помощи новым сотрудникам в их профессиональном становлении. Наставничество позволит ускорить процесс обучения сотрудников основным навыкам профессии, а также их обеспечить успешную адаптацию к корпоративной культуре, усвоение традиций и правил служебного поведения. Наставники будут подбираться из наиболее подготовленных сотрудников, обладающих высокими профессиональными качествами, имеющих стабильные показатели в работе, способность и готовность делиться своим опытом. Деятельность наставников будет оцениваться, исходя из выполнения целей и задач новым сотрудником в период адаптации на новой должности.</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Совершенствование процесса аттестации муниципальных служащих. Лица, проходящие аттестацию, должны будут разрабатывать проекты развития своего участка деятельности. В отличие от рутинной работы, проект по определению нацелен на результат и имеет авторство, а значит, будет обладать мотивирующей силой. </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proofErr w:type="spellStart"/>
      <w:r w:rsidRPr="005B0D7D">
        <w:rPr>
          <w:rFonts w:ascii="Times New Roman" w:eastAsia="Batang" w:hAnsi="Times New Roman" w:cs="Times New Roman"/>
          <w:sz w:val="28"/>
          <w:szCs w:val="28"/>
          <w:lang w:eastAsia="ru-RU"/>
        </w:rPr>
        <w:t>Технологизация</w:t>
      </w:r>
      <w:proofErr w:type="spellEnd"/>
      <w:r w:rsidRPr="005B0D7D">
        <w:rPr>
          <w:rFonts w:ascii="Times New Roman" w:eastAsia="Batang" w:hAnsi="Times New Roman" w:cs="Times New Roman"/>
          <w:sz w:val="28"/>
          <w:szCs w:val="28"/>
          <w:lang w:eastAsia="ru-RU"/>
        </w:rPr>
        <w:t xml:space="preserve"> работы с кадровым резервом. Целью работы с кадровым резервом станет выявление граждан, по своему потенциалу способных сформировать профессиональное ядро системы муниципального управления, привлечение и подготовка лучших из них к замещению должностей в органах муниципального управления. Предполагается </w:t>
      </w:r>
      <w:proofErr w:type="spellStart"/>
      <w:r w:rsidRPr="005B0D7D">
        <w:rPr>
          <w:rFonts w:ascii="Times New Roman" w:eastAsia="Batang" w:hAnsi="Times New Roman" w:cs="Times New Roman"/>
          <w:sz w:val="28"/>
          <w:szCs w:val="28"/>
          <w:lang w:eastAsia="ru-RU"/>
        </w:rPr>
        <w:t>технологизировать</w:t>
      </w:r>
      <w:proofErr w:type="spellEnd"/>
      <w:r w:rsidRPr="005B0D7D">
        <w:rPr>
          <w:rFonts w:ascii="Times New Roman" w:eastAsia="Batang" w:hAnsi="Times New Roman" w:cs="Times New Roman"/>
          <w:sz w:val="28"/>
          <w:szCs w:val="28"/>
          <w:lang w:eastAsia="ru-RU"/>
        </w:rPr>
        <w:t xml:space="preserve"> этапы формирования, подготовки и использования кадрового резерва. Формирование резерва будет проводиться как на конкурсной основе, так и вне конкурса – путем подбора специалистов, использования базы данных перспективных молодых людей. Содействовать подготовке лиц, состоящих в резерве, к замещению должностей муниципальной службы, планируется путем их информирования о курсах, семинарах и иных обучающих мероприятиях, а также путем вовлечения в рабочие ситуации. Использование кадрового резерва предполагается путем выполнения отдельных поручений, временного замещения должностей, взаимодействия с населением, деятельности в рамках экспертных сетей.</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Внедрение технологии ротации муниципальных служащих, которая будет проводиться с целью расширения профессионального кругозора, налаживания взаимодействия между органами Администрации города, подготовки к повышению в должности.</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Внедрение механизмов мотивации муниципальных служащих к добросовестной и эффективной работе, в частности путем организации их участия в конкурсе «Лучший муниципальный служащий».</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Организационно-правовое и методологическое обеспечение муниципальной службы в целях качественного выполнения служащими своих обязанностей.</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Формирование позитивного имиджа муниципальных служащих Администрации города Ханты-Мансийска. Планируется реализация информационной политики, основанной на механизмах </w:t>
      </w:r>
      <w:proofErr w:type="spellStart"/>
      <w:r w:rsidRPr="005B0D7D">
        <w:rPr>
          <w:rFonts w:ascii="Times New Roman" w:eastAsia="Batang" w:hAnsi="Times New Roman" w:cs="Times New Roman"/>
          <w:sz w:val="28"/>
          <w:szCs w:val="28"/>
          <w:lang w:eastAsia="ru-RU"/>
        </w:rPr>
        <w:t>медиапланирования</w:t>
      </w:r>
      <w:proofErr w:type="spellEnd"/>
      <w:r w:rsidRPr="005B0D7D">
        <w:rPr>
          <w:rFonts w:ascii="Times New Roman" w:eastAsia="Batang" w:hAnsi="Times New Roman" w:cs="Times New Roman"/>
          <w:sz w:val="28"/>
          <w:szCs w:val="28"/>
          <w:lang w:eastAsia="ru-RU"/>
        </w:rPr>
        <w:t xml:space="preserve">; проведения Дней открытых дверей в органах местного самоуправления города; </w:t>
      </w:r>
      <w:r w:rsidRPr="005B0D7D">
        <w:rPr>
          <w:rFonts w:ascii="Times New Roman" w:eastAsia="Batang" w:hAnsi="Times New Roman" w:cs="Times New Roman"/>
          <w:sz w:val="28"/>
          <w:szCs w:val="28"/>
          <w:lang w:eastAsia="ru-RU"/>
        </w:rPr>
        <w:lastRenderedPageBreak/>
        <w:t>приглашения представителей научно-образовательных учреждений и общественных организаций на заседания комиссий в качестве независимых экспертов.</w:t>
      </w:r>
    </w:p>
    <w:p w:rsidR="005B0D7D" w:rsidRPr="005B0D7D" w:rsidRDefault="005B0D7D" w:rsidP="00BB68E3">
      <w:pPr>
        <w:numPr>
          <w:ilvl w:val="0"/>
          <w:numId w:val="45"/>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Учитывая высокий уровень профессионального развития муниципальных служащих и качество разрабатываемых ими документов, планируется рассмотреть вопрос о создании Центра научно-методической поддержки органов местного самоуправления Ханты-Мансийского автономного округа – Югры (возможно, на базе Центра развития образования либо в рамках сотрудничества с Всероссийским советом местного самоуправления). Деятельность Центра будет направлена на выявление лучших управленческих практик и распространение передового управленческого опыта на межмуниципальном уровне.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имидж и репутация муниципальных служащих должны способствовать повышению престижа муниципальной службы и удовлетворенности населения деятельностью органов местного самоуправления.</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84" w:name="_Toc404211572"/>
      <w:bookmarkStart w:id="285" w:name="_Toc404218206"/>
      <w:bookmarkStart w:id="286" w:name="_Toc406591423"/>
      <w:bookmarkStart w:id="287" w:name="_Toc410639538"/>
      <w:r w:rsidRPr="005B0D7D">
        <w:rPr>
          <w:rFonts w:ascii="Times New Roman" w:eastAsia="Batang" w:hAnsi="Times New Roman" w:cs="Times New Roman"/>
          <w:b/>
          <w:bCs/>
          <w:sz w:val="28"/>
          <w:szCs w:val="28"/>
          <w:lang w:eastAsia="ko-KR"/>
        </w:rPr>
        <w:t>Задача 22. Рациональное и результативное управление бюджетным процессом</w:t>
      </w:r>
      <w:bookmarkEnd w:id="284"/>
      <w:bookmarkEnd w:id="285"/>
      <w:r w:rsidRPr="005B0D7D">
        <w:rPr>
          <w:rFonts w:ascii="Times New Roman" w:eastAsia="Batang" w:hAnsi="Times New Roman" w:cs="Times New Roman"/>
          <w:b/>
          <w:bCs/>
          <w:sz w:val="28"/>
          <w:szCs w:val="28"/>
          <w:lang w:eastAsia="ko-KR"/>
        </w:rPr>
        <w:t xml:space="preserve"> и муниципальной собственностью</w:t>
      </w:r>
      <w:bookmarkEnd w:id="286"/>
      <w:bookmarkEnd w:id="28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стимулирование муниципальных учреждений к рациональному использованию финансовых ресурсов и имущества, находящегося в муниципальной собственности, обеспечение соответствия между произведенными затратами и полученным результатом в виде улучшения социальных показателей, повышение финансовой грамотности населения.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Рациональное использование финансовых ресурсов и имущества планируется обеспечить путем перехода к формированию бюджета, основанного на использовании нормативов финансовых затрат на предоставление муниципальных услуг. Необходима оценка эффективности выполнения муниципального задания в полном объёме с условием осуществления затрат, приближенным </w:t>
      </w:r>
      <w:proofErr w:type="gramStart"/>
      <w:r w:rsidRPr="005B0D7D">
        <w:rPr>
          <w:rFonts w:ascii="Times New Roman" w:eastAsia="Batang" w:hAnsi="Times New Roman" w:cs="Times New Roman"/>
          <w:sz w:val="28"/>
          <w:szCs w:val="28"/>
          <w:lang w:eastAsia="ko-KR"/>
        </w:rPr>
        <w:t>к</w:t>
      </w:r>
      <w:proofErr w:type="gramEnd"/>
      <w:r w:rsidRPr="005B0D7D">
        <w:rPr>
          <w:rFonts w:ascii="Times New Roman" w:eastAsia="Batang" w:hAnsi="Times New Roman" w:cs="Times New Roman"/>
          <w:sz w:val="28"/>
          <w:szCs w:val="28"/>
          <w:lang w:eastAsia="ko-KR"/>
        </w:rPr>
        <w:t xml:space="preserve"> нормативным. При этом следует поощрять муниципальные учреждения, соблюдающие нормативы финансовых затрат.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части обеспечения рационального управления имуществом учреждений планируется стимулирование их руководства к учету имеющихся активов и формированию перспективных планов их использования. Примером может служить создание в детских садах дополнительных групп, в учреждениях дополнительного образования – кружков и секций, а также сдача части помещений в аренду.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Расширению финансовых возможностей учреждений будет способствовать развитие приносящей доход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Финансовый и ресурсный потенциал учреждений планируется </w:t>
      </w:r>
      <w:proofErr w:type="gramStart"/>
      <w:r w:rsidRPr="005B0D7D">
        <w:rPr>
          <w:rFonts w:ascii="Times New Roman" w:eastAsia="Batang" w:hAnsi="Times New Roman" w:cs="Times New Roman"/>
          <w:sz w:val="28"/>
          <w:szCs w:val="28"/>
          <w:lang w:eastAsia="ko-KR"/>
        </w:rPr>
        <w:t>наращивать</w:t>
      </w:r>
      <w:proofErr w:type="gramEnd"/>
      <w:r w:rsidRPr="005B0D7D">
        <w:rPr>
          <w:rFonts w:ascii="Times New Roman" w:eastAsia="Batang" w:hAnsi="Times New Roman" w:cs="Times New Roman"/>
          <w:sz w:val="28"/>
          <w:szCs w:val="28"/>
          <w:lang w:eastAsia="ko-KR"/>
        </w:rPr>
        <w:t xml:space="preserve"> в том числе за счет стимулирования работников к оформлению заявок на получение грантов, участия в различных конкурсах, поддержки системы рацпредложений.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Предполагается повышать объемы бюджетных поступлений от арендной платы, в том числе за счет ежегодной индексации ставок на размер инфляции. В целях повышения эффективности бюджетных ресурсов будет внедрен механизм, увязывающий ставки арендной платы за земельные участки, находящиеся в </w:t>
      </w:r>
      <w:r w:rsidRPr="005B0D7D">
        <w:rPr>
          <w:rFonts w:ascii="Times New Roman" w:eastAsia="Batang" w:hAnsi="Times New Roman" w:cs="Times New Roman"/>
          <w:sz w:val="28"/>
          <w:szCs w:val="28"/>
          <w:lang w:eastAsia="ko-KR"/>
        </w:rPr>
        <w:lastRenderedPageBreak/>
        <w:t>муниципальной собственности, с социальной эффективностью от их использования.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Акционерные общества, акции которых находятся в муниципальной собственности, с 2015 года будут перечислять в местный бюджет до 25% дивидендов, а с 2016 года – до 35%.</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Оптимизация расходов местного бюджета будет вестись по следующим направлениям: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расширение перечня и объемов оказания платных услуг бюджетными и автономными учреждениями, увязывание размеров взимаемой платы с эффективным уровнем рентабельности;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отслеживание величины остатков средств, образовывающихся на начало очередного финансового года, с целью пересмотра объемов субсидии на муниципальное задание на величину остатков;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оптимизация бюджетной сети, передача части услуг (работ) на исполнение сторонним организациям;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инвентаризация социальных выплат и льгот, предоставляемых из бюджета города Ханты-Мансийска работникам учреждений и организаций, финансируемых из бюджета города, внесение предложений об отмене неэффективных выплат;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 уменьшение лимитов бюджетных обязательств на сумму средств, полученных в виде экономии бюджетных средств по итогам проведённых конкурентных закупок товаров, работ, услуг.</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стимулирование муниципальных учреждений к рациональному и эффективному использованию ресурсов, активному поиску дополнительных доходов и способов оптимизации расходов повысит устойчивость бюджетной системы в условиях нестабильной внешней среды.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Администрация города Ханты-Мансийска планирует участие в Государственной программе Ханты-Мансийского автономного округа – Югры «Создание условий для эффективного и ответственного управления муниципальными финансами, повышения устойчивости местных бюджетов Ханты-Мансийского автономного округа на 2014-2020 годы», которая предусматривает гранты муниципалитетам за достижение успехов в повышении уровня муниципального управления и качества организации бюджетного процесса.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Повышение финансовой грамотности населения планируется путем организации тематических лекций, бесед, дискуссий, выпуска и размещения в сети Интернет методических пособий. В результате данных мероприятий следует развивать не только потребительскую культуру, но и инвестиционный потенциал населения.</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Важность совершенствования управления имуществом, находящимся в муниципальной собственности, определяется тем, что оно составляет экономическую основу местного самоуправления.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Повышение эффективности управления имуществом будет направлено на максимальное вовлечение объектов, находящихся в муниципальной </w:t>
      </w:r>
      <w:r w:rsidRPr="005B0D7D">
        <w:rPr>
          <w:rFonts w:ascii="Times New Roman" w:eastAsia="Batang" w:hAnsi="Times New Roman" w:cs="Times New Roman"/>
          <w:sz w:val="28"/>
          <w:szCs w:val="28"/>
          <w:lang w:eastAsia="ko-KR"/>
        </w:rPr>
        <w:lastRenderedPageBreak/>
        <w:t>собственности, в хозяйственный оборот. Интенсификация процессов управления и распоряжения земельными участками и иными объектами муниципальной собственности, позволяющая увеличивать доходную часть местного бюджета, предполагает следующие виды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1. Автоматизация процесса учета объектов муниципальной собственности. Предполагается обеспечение бесперебойной работы программных комплексов, совершенствование </w:t>
      </w:r>
      <w:proofErr w:type="spellStart"/>
      <w:r w:rsidRPr="005B0D7D">
        <w:rPr>
          <w:rFonts w:ascii="Times New Roman" w:eastAsia="Batang" w:hAnsi="Times New Roman" w:cs="Times New Roman"/>
          <w:sz w:val="28"/>
          <w:szCs w:val="28"/>
          <w:lang w:eastAsia="ko-KR"/>
        </w:rPr>
        <w:t>геопространственных</w:t>
      </w:r>
      <w:proofErr w:type="spellEnd"/>
      <w:r w:rsidRPr="005B0D7D">
        <w:rPr>
          <w:rFonts w:ascii="Times New Roman" w:eastAsia="Batang" w:hAnsi="Times New Roman" w:cs="Times New Roman"/>
          <w:sz w:val="28"/>
          <w:szCs w:val="28"/>
          <w:lang w:eastAsia="ko-KR"/>
        </w:rPr>
        <w:t xml:space="preserve"> баз данных по земельным участкам. В частности, в отношении всей территории города Ханты-Мансийска будут установлены цифровые топографические планы. Необходимо приобретение и актуализация программных продуктов, обеспечивающих ведение многомерного учета договоров аренды земли, оперативное внесение сведений о земельных участках, формирование и корректировку границ земельных участков в электронной базе с учетом сведений Единого Государственного реестра земель, </w:t>
      </w:r>
      <w:proofErr w:type="spellStart"/>
      <w:r w:rsidRPr="005B0D7D">
        <w:rPr>
          <w:rFonts w:ascii="Times New Roman" w:eastAsia="Batang" w:hAnsi="Times New Roman" w:cs="Times New Roman"/>
          <w:sz w:val="28"/>
          <w:szCs w:val="28"/>
          <w:lang w:eastAsia="ko-KR"/>
        </w:rPr>
        <w:t>ортофотопланов</w:t>
      </w:r>
      <w:proofErr w:type="spellEnd"/>
      <w:r w:rsidRPr="005B0D7D">
        <w:rPr>
          <w:rFonts w:ascii="Times New Roman" w:eastAsia="Batang" w:hAnsi="Times New Roman" w:cs="Times New Roman"/>
          <w:sz w:val="28"/>
          <w:szCs w:val="28"/>
          <w:lang w:eastAsia="ko-KR"/>
        </w:rPr>
        <w:t>, топографической съемки.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Увеличение доли сформированных земельных участков, вовлеченных в хозяйственный оборот, от общей площади земель муниципального образования. В отношении всех земельных участков, занятых объектами муниципальной собственности, должно быть зарегистрировано право муниципальной собственности. Будут проводиться мероприятия, направленные на повышение доли земельных участков, являющихся объектом налогообложения земельным налогом.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3. Вовлечение в хозяйственный оборот земельных участков, </w:t>
      </w:r>
      <w:proofErr w:type="gramStart"/>
      <w:r w:rsidRPr="005B0D7D">
        <w:rPr>
          <w:rFonts w:ascii="Times New Roman" w:eastAsia="Batang" w:hAnsi="Times New Roman" w:cs="Times New Roman"/>
          <w:sz w:val="28"/>
          <w:szCs w:val="28"/>
          <w:lang w:eastAsia="ko-KR"/>
        </w:rPr>
        <w:t>захламленных</w:t>
      </w:r>
      <w:proofErr w:type="gramEnd"/>
      <w:r w:rsidRPr="005B0D7D">
        <w:rPr>
          <w:rFonts w:ascii="Times New Roman" w:eastAsia="Batang" w:hAnsi="Times New Roman" w:cs="Times New Roman"/>
          <w:sz w:val="28"/>
          <w:szCs w:val="28"/>
          <w:lang w:eastAsia="ko-KR"/>
        </w:rPr>
        <w:t xml:space="preserve"> и непригодных для использования по целевому назначению. С этой целью будет проводиться санитарная очистка земель общего пользования.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Отслеживание процесса использования зданий, сооружений и земельных участков, находящихся в муниципальной собственности. Будет проводиться профилактическая и предупредительная работа с арендаторами с целью уменьшения количества земельных и имущественных правонарушений. Более активно планируется взыскивать задолженность за пользование объектами недвижимости, практиковать штрафы за ненадлежащее их использование, не допускать строительства капитальных объектов без правоустанавливающих документов.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 Отработка механизма управления бесхозяйным имуществом, расположенным на территории муниципального образования. Это позволит, в частности, предотвращать самовольное размещение объектов движимого имущества, рационально и эффективно использовать земельный фонд муниципального образования, а также поддерживать эстетику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6. Повышение уровня информационной открытости органов, уполномоченных в области управления и распоряжения муниципальным имуществом. Предполагается публикация на сайте сведений о свободных и арендуемых земельных участках и иной полезной информации.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результате повышения эффективности управления муниципальным имуществом земельные ресурсы города и недвижимость будут вовлекаться в новые хозяйственно-экономические отношения, в результате чего заметно </w:t>
      </w:r>
      <w:r w:rsidRPr="005B0D7D">
        <w:rPr>
          <w:rFonts w:ascii="Times New Roman" w:eastAsia="Batang" w:hAnsi="Times New Roman" w:cs="Times New Roman"/>
          <w:sz w:val="28"/>
          <w:szCs w:val="28"/>
          <w:lang w:eastAsia="ko-KR"/>
        </w:rPr>
        <w:lastRenderedPageBreak/>
        <w:t>увеличится число их пользователей и одновременно возрастет пользовательская дисциплина, а значит, будет обеспечен немалый бюджетный эффект.</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88" w:name="_Toc406591424"/>
      <w:bookmarkStart w:id="289" w:name="_Toc410639539"/>
      <w:bookmarkStart w:id="290" w:name="_Toc395506363"/>
      <w:bookmarkStart w:id="291" w:name="_Toc404211541"/>
      <w:bookmarkStart w:id="292" w:name="_Toc404218175"/>
      <w:bookmarkEnd w:id="210"/>
      <w:bookmarkEnd w:id="211"/>
      <w:r w:rsidRPr="005B0D7D">
        <w:rPr>
          <w:rFonts w:ascii="Times New Roman" w:eastAsia="Batang" w:hAnsi="Times New Roman" w:cs="Times New Roman"/>
          <w:b/>
          <w:bCs/>
          <w:sz w:val="28"/>
          <w:szCs w:val="28"/>
          <w:lang w:eastAsia="ko-KR"/>
        </w:rPr>
        <w:t>Задача 23. Развитие межмуниципального сотрудничества</w:t>
      </w:r>
      <w:bookmarkEnd w:id="288"/>
      <w:bookmarkEnd w:id="28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позиционирование Ханты-Мансийска как важного звена в системе межмуниципальных экономических, культурных и иных связей, обеспечение участия города в организациях межмуниципального сотрудничества.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Межмуниципальное сотрудничество является организационно-правовым механизмом, позволяющим согласовывать интересы, объединять усилия (включая финансовые средства, материальные и иные ресурсы) и координировать действия муниципальных образований для решения вопросов местного значения, выражения и защиты общих интересов, налаживания взаимодействия с региональными и федеральными органами власти.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Межмуниципальное сотрудничество будет реализовано в двух формах: 1) организация партнерского взаимодействия с отдельными муниципальными образованиями и 2) налаживание и развитие сотрудничества с ассоциациями и объединениями муниципальных образований.</w:t>
      </w:r>
    </w:p>
    <w:p w:rsidR="005B0D7D" w:rsidRPr="005B0D7D" w:rsidRDefault="005B0D7D" w:rsidP="005B0D7D">
      <w:pPr>
        <w:spacing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 взаимодействии с муниципальными образованиями следует учитывать три контура межмуниципального сотрудничества, каждому из которых соответствуют свои приоритетные направления (таблица 12).</w:t>
      </w:r>
    </w:p>
    <w:p w:rsidR="005B0D7D" w:rsidRPr="005B0D7D" w:rsidRDefault="005B0D7D" w:rsidP="005B0D7D">
      <w:pPr>
        <w:spacing w:after="12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Таблица 12</w:t>
      </w:r>
    </w:p>
    <w:p w:rsidR="005B0D7D" w:rsidRPr="005B0D7D" w:rsidRDefault="005B0D7D" w:rsidP="005B0D7D">
      <w:pPr>
        <w:spacing w:before="120" w:after="120" w:line="240" w:lineRule="auto"/>
        <w:ind w:firstLine="720"/>
        <w:jc w:val="center"/>
        <w:rPr>
          <w:rFonts w:ascii="Times New Roman" w:eastAsia="Batang" w:hAnsi="Times New Roman" w:cs="Times New Roman"/>
          <w:b/>
          <w:iCs/>
          <w:sz w:val="24"/>
          <w:szCs w:val="24"/>
          <w:lang w:eastAsia="ko-KR"/>
        </w:rPr>
      </w:pPr>
      <w:r w:rsidRPr="005B0D7D">
        <w:rPr>
          <w:rFonts w:ascii="Times New Roman" w:eastAsia="Batang" w:hAnsi="Times New Roman" w:cs="Times New Roman"/>
          <w:b/>
          <w:iCs/>
          <w:sz w:val="24"/>
          <w:szCs w:val="24"/>
          <w:lang w:eastAsia="ko-KR"/>
        </w:rPr>
        <w:t>Приоритетные направления межмуниципального сотрудничества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119"/>
        <w:gridCol w:w="5528"/>
      </w:tblGrid>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w:t>
            </w:r>
          </w:p>
        </w:tc>
        <w:tc>
          <w:tcPr>
            <w:tcW w:w="311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Контур сотрудничества</w:t>
            </w:r>
          </w:p>
        </w:tc>
        <w:tc>
          <w:tcPr>
            <w:tcW w:w="5528"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Приоритетные направления сотрудничества</w:t>
            </w:r>
          </w:p>
        </w:tc>
      </w:tr>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1.</w:t>
            </w:r>
          </w:p>
        </w:tc>
        <w:tc>
          <w:tcPr>
            <w:tcW w:w="311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Ближайшие муниципальные образования примерно в 100-километровой зоне от Ханты-Мансийска</w:t>
            </w:r>
          </w:p>
        </w:tc>
        <w:tc>
          <w:tcPr>
            <w:tcW w:w="5528"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Взаимодействие в рамках агломерации «Большой Ханты-Мансийск». Совместное решение вопросов развития агропромышленного комплекса, предоставления земли под инвестиционные площадки, транспортного обслуживания, охраны окружающей среды</w:t>
            </w:r>
          </w:p>
        </w:tc>
      </w:tr>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2.</w:t>
            </w:r>
          </w:p>
        </w:tc>
        <w:tc>
          <w:tcPr>
            <w:tcW w:w="311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Российские муниципальные образования</w:t>
            </w:r>
          </w:p>
        </w:tc>
        <w:tc>
          <w:tcPr>
            <w:tcW w:w="5528"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Экономическое сотрудничество; сотрудничество в области информационных технологий и иных управленческих инноваций, обеспечения продовольственной безопасности</w:t>
            </w:r>
          </w:p>
        </w:tc>
      </w:tr>
      <w:tr w:rsidR="005B0D7D" w:rsidRPr="005B0D7D" w:rsidTr="005B0D7D">
        <w:tc>
          <w:tcPr>
            <w:tcW w:w="567"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3.</w:t>
            </w:r>
          </w:p>
        </w:tc>
        <w:tc>
          <w:tcPr>
            <w:tcW w:w="3119"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Зарубежные муниципальные образования</w:t>
            </w:r>
          </w:p>
        </w:tc>
        <w:tc>
          <w:tcPr>
            <w:tcW w:w="5528" w:type="dxa"/>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Сотрудничество в области современных технологий, обмена ресурсами; политическое сотрудничество (содействие укреплению межгосударственных отношений)</w:t>
            </w:r>
          </w:p>
        </w:tc>
      </w:tr>
    </w:tbl>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Предполагается развитие сотрудничества с организациями межмуниципального сотрудничества, членом которых является город Ханты-Мансийск, а также, при необходимости, налаживание сотрудничества с иными организациями межмуниципального сотрудничества. Взаимодействие с данными организациями будет осуществляться по следующим направлениям:</w:t>
      </w:r>
    </w:p>
    <w:p w:rsidR="005B0D7D" w:rsidRPr="005B0D7D" w:rsidRDefault="005B0D7D" w:rsidP="005B0D7D">
      <w:p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1) участие представителей органов местного самоуправления города Ханты-Мансийска в конференциях и семинарах, организованных организациями межмуниципального сотрудничества;</w:t>
      </w:r>
    </w:p>
    <w:p w:rsidR="005B0D7D" w:rsidRPr="005B0D7D" w:rsidRDefault="005B0D7D" w:rsidP="005B0D7D">
      <w:p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lastRenderedPageBreak/>
        <w:t>2) совместное с организациями межмуниципального сотрудничества проведение всероссийских и международных конференций по вопросам местного значения;</w:t>
      </w:r>
    </w:p>
    <w:p w:rsidR="005B0D7D" w:rsidRPr="005B0D7D" w:rsidRDefault="005B0D7D" w:rsidP="005B0D7D">
      <w:p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3) участие в составлении консолидированных обзоров по решению актуальных вопросов местного значения с учетом лучших практик.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 территориями, с которыми уже заключены базовые соглашения о межмуниципальном сотрудничестве, планируется заключать отраслевые договоры, подразумевающие конкретные права и обязанности (вплоть до поставок продукции и услуг). Также предполагается расширение перечня муниципальных образований, с которыми будут заключены протоколы о намерениях и соглашения о межмуниципальном сотрудничестве.</w:t>
      </w:r>
    </w:p>
    <w:p w:rsidR="005B0D7D" w:rsidRPr="005B0D7D" w:rsidRDefault="005B0D7D" w:rsidP="005B0D7D">
      <w:pPr>
        <w:keepNext/>
        <w:spacing w:before="240" w:after="60" w:line="240" w:lineRule="auto"/>
        <w:jc w:val="center"/>
        <w:outlineLvl w:val="1"/>
        <w:rPr>
          <w:rFonts w:ascii="Times New Roman" w:eastAsia="Batang" w:hAnsi="Times New Roman" w:cs="Times New Roman"/>
          <w:b/>
          <w:bCs/>
          <w:sz w:val="28"/>
          <w:szCs w:val="28"/>
          <w:lang w:eastAsia="ko-KR"/>
        </w:rPr>
      </w:pPr>
      <w:bookmarkStart w:id="293" w:name="_Toc406591425"/>
      <w:bookmarkStart w:id="294" w:name="_Toc410639540"/>
      <w:r w:rsidRPr="005B0D7D">
        <w:rPr>
          <w:rFonts w:ascii="Times New Roman" w:eastAsia="Batang" w:hAnsi="Times New Roman" w:cs="Times New Roman"/>
          <w:b/>
          <w:bCs/>
          <w:sz w:val="28"/>
          <w:szCs w:val="28"/>
          <w:lang w:eastAsia="ko-KR"/>
        </w:rPr>
        <w:t>Задача 24. Развитие средств массовых коммуникаций</w:t>
      </w:r>
      <w:bookmarkEnd w:id="293"/>
      <w:bookmarkEnd w:id="294"/>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u w:val="single"/>
          <w:lang w:eastAsia="ko-KR"/>
        </w:rPr>
        <w:t>Ориентир</w:t>
      </w:r>
      <w:r w:rsidRPr="005B0D7D">
        <w:rPr>
          <w:rFonts w:ascii="Times New Roman" w:eastAsia="Batang" w:hAnsi="Times New Roman" w:cs="Times New Roman"/>
          <w:sz w:val="28"/>
          <w:szCs w:val="28"/>
          <w:lang w:eastAsia="ko-KR"/>
        </w:rPr>
        <w:t xml:space="preserve"> – поддержка развития городских средств массовых коммуникаций в целях укрепления яркого и позитивного имиджа Ханты-Мансийска во внутренней и внешней среде, развитие цифрового телевещания.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Качество </w:t>
      </w:r>
      <w:proofErr w:type="spellStart"/>
      <w:r w:rsidRPr="005B0D7D">
        <w:rPr>
          <w:rFonts w:ascii="Times New Roman" w:eastAsia="Batang" w:hAnsi="Times New Roman" w:cs="Times New Roman"/>
          <w:sz w:val="28"/>
          <w:szCs w:val="28"/>
          <w:lang w:eastAsia="ko-KR"/>
        </w:rPr>
        <w:t>медийного</w:t>
      </w:r>
      <w:proofErr w:type="spellEnd"/>
      <w:r w:rsidRPr="005B0D7D">
        <w:rPr>
          <w:rFonts w:ascii="Times New Roman" w:eastAsia="Batang" w:hAnsi="Times New Roman" w:cs="Times New Roman"/>
          <w:sz w:val="28"/>
          <w:szCs w:val="28"/>
          <w:lang w:eastAsia="ko-KR"/>
        </w:rPr>
        <w:t xml:space="preserve"> продукта и его способность работать на благо местного сообщества, внося вклад в формирование позитивного имиджа территории, будет определяться улучшением состояния материально-технической базы муниципальных средств массовой коммуникации, интенсификацией использования современных </w:t>
      </w:r>
      <w:proofErr w:type="spellStart"/>
      <w:r w:rsidRPr="005B0D7D">
        <w:rPr>
          <w:rFonts w:ascii="Times New Roman" w:eastAsia="Batang" w:hAnsi="Times New Roman" w:cs="Times New Roman"/>
          <w:sz w:val="28"/>
          <w:szCs w:val="28"/>
          <w:lang w:eastAsia="ko-KR"/>
        </w:rPr>
        <w:t>медиатехнологий</w:t>
      </w:r>
      <w:proofErr w:type="spellEnd"/>
      <w:r w:rsidRPr="005B0D7D">
        <w:rPr>
          <w:rFonts w:ascii="Times New Roman" w:eastAsia="Batang" w:hAnsi="Times New Roman" w:cs="Times New Roman"/>
          <w:sz w:val="28"/>
          <w:szCs w:val="28"/>
          <w:lang w:eastAsia="ko-KR"/>
        </w:rPr>
        <w:t>, повышением уровня профессионализма и мотивации журналистов.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Укрепление материально-технической базы муниципальных средств массовой информации обеспечит повышение интереса к информационному продукту различных категорий населения, в первую очередь молодежи, за счет нестандартного подхода к оформлению информационных сюжетов, добавления современных сервисов.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Среди </w:t>
      </w:r>
      <w:proofErr w:type="spellStart"/>
      <w:r w:rsidRPr="005B0D7D">
        <w:rPr>
          <w:rFonts w:ascii="Times New Roman" w:eastAsia="Batang" w:hAnsi="Times New Roman" w:cs="Times New Roman"/>
          <w:sz w:val="28"/>
          <w:szCs w:val="28"/>
          <w:lang w:eastAsia="ko-KR"/>
        </w:rPr>
        <w:t>медиатехнологий</w:t>
      </w:r>
      <w:proofErr w:type="spellEnd"/>
      <w:r w:rsidRPr="005B0D7D">
        <w:rPr>
          <w:rFonts w:ascii="Times New Roman" w:eastAsia="Batang" w:hAnsi="Times New Roman" w:cs="Times New Roman"/>
          <w:sz w:val="28"/>
          <w:szCs w:val="28"/>
          <w:lang w:eastAsia="ko-KR"/>
        </w:rPr>
        <w:t xml:space="preserve">, обеспечивающих повышение качества работы муниципальных средств массовой коммуникации, важную роль занимает технология </w:t>
      </w:r>
      <w:proofErr w:type="spellStart"/>
      <w:r w:rsidRPr="005B0D7D">
        <w:rPr>
          <w:rFonts w:ascii="Times New Roman" w:eastAsia="Batang" w:hAnsi="Times New Roman" w:cs="Times New Roman"/>
          <w:sz w:val="28"/>
          <w:szCs w:val="28"/>
          <w:lang w:eastAsia="ko-KR"/>
        </w:rPr>
        <w:t>медапланирования</w:t>
      </w:r>
      <w:proofErr w:type="spellEnd"/>
      <w:r w:rsidRPr="005B0D7D">
        <w:rPr>
          <w:rFonts w:ascii="Times New Roman" w:eastAsia="Batang" w:hAnsi="Times New Roman" w:cs="Times New Roman"/>
          <w:sz w:val="28"/>
          <w:szCs w:val="28"/>
          <w:lang w:eastAsia="ko-KR"/>
        </w:rPr>
        <w:t xml:space="preserve">. Данная технология позволяет выстроить систему освещения ключевых событий города различными способами в различных средствах массовой информации, чтобы у потребителя информации сложилась целостная и позитивная картина событий. К тому же, </w:t>
      </w:r>
      <w:proofErr w:type="spellStart"/>
      <w:r w:rsidRPr="005B0D7D">
        <w:rPr>
          <w:rFonts w:ascii="Times New Roman" w:eastAsia="Batang" w:hAnsi="Times New Roman" w:cs="Times New Roman"/>
          <w:sz w:val="28"/>
          <w:szCs w:val="28"/>
          <w:lang w:eastAsia="ko-KR"/>
        </w:rPr>
        <w:t>медиапланирование</w:t>
      </w:r>
      <w:proofErr w:type="spellEnd"/>
      <w:r w:rsidRPr="005B0D7D">
        <w:rPr>
          <w:rFonts w:ascii="Times New Roman" w:eastAsia="Batang" w:hAnsi="Times New Roman" w:cs="Times New Roman"/>
          <w:sz w:val="28"/>
          <w:szCs w:val="28"/>
          <w:lang w:eastAsia="ko-KR"/>
        </w:rPr>
        <w:t xml:space="preserve"> позволяет относительно равномерно распределить нагрузку между редакторами различных медиа: газет, телевидения, радио, Интернет-сайтов.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Содействие повышению уровня профессиональной квалификации и мотивации журналистов предполагается путем проведения конкурсов профессионального мастерства, а также мастер-классов с приглашенными ведущими специалистами в области масс-медиа.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Выявлению степени удовлетворенности населения различными сторонами жизнедеятельности будет способствовать ежегодное проведение серии социологических мониторингов. Целесообразно, чтобы исследования были четко встроены в годовой цикл и проводились на основе единой методологии, приближенной к реалиям города, что позволит получать сопоставимые и объективные данные, пригодные для принятия управленческих решений.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 xml:space="preserve">Важной задачей в сфере массовых коммуникаций является переход городских </w:t>
      </w:r>
      <w:proofErr w:type="gramStart"/>
      <w:r w:rsidRPr="005B0D7D">
        <w:rPr>
          <w:rFonts w:ascii="Times New Roman" w:eastAsia="Batang" w:hAnsi="Times New Roman" w:cs="Times New Roman"/>
          <w:sz w:val="28"/>
          <w:szCs w:val="28"/>
          <w:lang w:eastAsia="ko-KR"/>
        </w:rPr>
        <w:t>медиа на</w:t>
      </w:r>
      <w:proofErr w:type="gramEnd"/>
      <w:r w:rsidRPr="005B0D7D">
        <w:rPr>
          <w:rFonts w:ascii="Times New Roman" w:eastAsia="Batang" w:hAnsi="Times New Roman" w:cs="Times New Roman"/>
          <w:sz w:val="28"/>
          <w:szCs w:val="28"/>
          <w:lang w:eastAsia="ko-KR"/>
        </w:rPr>
        <w:t xml:space="preserve"> цифровой формат производства эфирной продукции. Решение данной задачи позволит организовать трансляцию новых телерадиоканалов при снижении энергетических и трудовых затрат. Производство </w:t>
      </w:r>
      <w:proofErr w:type="spellStart"/>
      <w:r w:rsidRPr="005B0D7D">
        <w:rPr>
          <w:rFonts w:ascii="Times New Roman" w:eastAsia="Batang" w:hAnsi="Times New Roman" w:cs="Times New Roman"/>
          <w:sz w:val="28"/>
          <w:szCs w:val="28"/>
          <w:lang w:eastAsia="ko-KR"/>
        </w:rPr>
        <w:t>телерадиопродукции</w:t>
      </w:r>
      <w:proofErr w:type="spellEnd"/>
      <w:r w:rsidRPr="005B0D7D">
        <w:rPr>
          <w:rFonts w:ascii="Times New Roman" w:eastAsia="Batang" w:hAnsi="Times New Roman" w:cs="Times New Roman"/>
          <w:sz w:val="28"/>
          <w:szCs w:val="28"/>
          <w:lang w:eastAsia="ko-KR"/>
        </w:rPr>
        <w:t xml:space="preserve"> в цифровом формате позволит городским электронным средствам массовой информации встроиться в единую общероссийскую систему цифрового эфирного телерадиовещания.</w:t>
      </w:r>
    </w:p>
    <w:p w:rsidR="005B0D7D" w:rsidRPr="005B0D7D" w:rsidRDefault="005B0D7D" w:rsidP="005B0D7D">
      <w:pPr>
        <w:spacing w:after="0" w:line="240" w:lineRule="auto"/>
        <w:ind w:firstLine="720"/>
        <w:jc w:val="both"/>
        <w:rPr>
          <w:rFonts w:ascii="Times New Roman" w:eastAsia="Batang" w:hAnsi="Times New Roman" w:cs="Times New Roman"/>
          <w:b/>
          <w:bCs/>
          <w:kern w:val="32"/>
          <w:sz w:val="28"/>
          <w:szCs w:val="28"/>
          <w:lang w:eastAsia="ko-KR"/>
        </w:rPr>
      </w:pPr>
      <w:r w:rsidRPr="005B0D7D">
        <w:rPr>
          <w:rFonts w:ascii="Times New Roman" w:eastAsia="Batang" w:hAnsi="Times New Roman" w:cs="Times New Roman"/>
          <w:sz w:val="28"/>
          <w:szCs w:val="28"/>
          <w:lang w:eastAsia="ko-KR"/>
        </w:rPr>
        <w:t>В результате решения данной задачи ожидается рост интереса населения к проблематике, задаваемой местными средствами массовых коммуникаций, усиление социальной интеграции жителей города вокруг общих проблем, повышение уровня информационной открытости органов местного самоуправления. Позитивный имидж города во внутренней среде будет способствовать росту удовлетворенности населения деятельностью органов местного самоуправления, а внешний имидж позволит привлечь туристов и инвесторов.</w:t>
      </w:r>
      <w:bookmarkStart w:id="295" w:name="_Toc403942021"/>
      <w:bookmarkStart w:id="296" w:name="_Toc404211573"/>
      <w:bookmarkStart w:id="297" w:name="_Toc404218207"/>
      <w:bookmarkStart w:id="298" w:name="_Toc403942022"/>
      <w:bookmarkStart w:id="299" w:name="_Toc404211543"/>
      <w:bookmarkStart w:id="300" w:name="_Toc404218177"/>
      <w:bookmarkEnd w:id="290"/>
      <w:bookmarkEnd w:id="291"/>
      <w:bookmarkEnd w:id="292"/>
    </w:p>
    <w:p w:rsidR="005B0D7D" w:rsidRPr="005B0D7D" w:rsidRDefault="005B0D7D" w:rsidP="005B0D7D">
      <w:pPr>
        <w:keepNext/>
        <w:spacing w:before="240" w:after="120" w:line="240" w:lineRule="auto"/>
        <w:ind w:firstLine="720"/>
        <w:jc w:val="center"/>
        <w:outlineLvl w:val="0"/>
        <w:rPr>
          <w:rFonts w:ascii="Times New Roman" w:eastAsia="Batang" w:hAnsi="Times New Roman" w:cs="Times New Roman"/>
          <w:b/>
          <w:bCs/>
          <w:kern w:val="32"/>
          <w:sz w:val="28"/>
          <w:szCs w:val="28"/>
          <w:lang w:eastAsia="ko-KR"/>
        </w:rPr>
      </w:pPr>
      <w:bookmarkStart w:id="301" w:name="_Toc410639541"/>
      <w:r w:rsidRPr="005B0D7D">
        <w:rPr>
          <w:rFonts w:ascii="Times New Roman" w:eastAsia="Batang" w:hAnsi="Times New Roman" w:cs="Times New Roman"/>
          <w:b/>
          <w:bCs/>
          <w:kern w:val="32"/>
          <w:sz w:val="28"/>
          <w:szCs w:val="28"/>
          <w:lang w:eastAsia="ko-KR"/>
        </w:rPr>
        <w:t>9. ОЖИДАЕМЫЕ РЕЗУЛЬТАТЫ И СТРАТЕГИЧЕСКИЕ ПОКАЗАТЕЛИ</w:t>
      </w:r>
      <w:bookmarkEnd w:id="295"/>
      <w:bookmarkEnd w:id="296"/>
      <w:bookmarkEnd w:id="297"/>
      <w:bookmarkEnd w:id="301"/>
    </w:p>
    <w:p w:rsidR="005B0D7D" w:rsidRPr="005B0D7D" w:rsidRDefault="005B0D7D" w:rsidP="005B0D7D">
      <w:pPr>
        <w:keepNext/>
        <w:spacing w:before="240" w:after="60" w:line="240" w:lineRule="auto"/>
        <w:ind w:firstLine="720"/>
        <w:jc w:val="center"/>
        <w:outlineLvl w:val="1"/>
        <w:rPr>
          <w:rFonts w:ascii="Times New Roman" w:eastAsia="Batang" w:hAnsi="Times New Roman" w:cs="Times New Roman"/>
          <w:b/>
          <w:bCs/>
          <w:sz w:val="28"/>
          <w:szCs w:val="28"/>
          <w:lang w:eastAsia="ko-KR"/>
        </w:rPr>
      </w:pPr>
      <w:bookmarkStart w:id="302" w:name="_Toc404211574"/>
      <w:bookmarkStart w:id="303" w:name="_Toc404218208"/>
      <w:bookmarkStart w:id="304" w:name="_Toc410639542"/>
      <w:r w:rsidRPr="005B0D7D">
        <w:rPr>
          <w:rFonts w:ascii="Times New Roman" w:eastAsia="Batang" w:hAnsi="Times New Roman" w:cs="Times New Roman"/>
          <w:b/>
          <w:bCs/>
          <w:sz w:val="28"/>
          <w:szCs w:val="28"/>
          <w:lang w:eastAsia="ko-KR"/>
        </w:rPr>
        <w:t>9.1. Ожидаемые результаты</w:t>
      </w:r>
      <w:bookmarkEnd w:id="298"/>
      <w:bookmarkEnd w:id="302"/>
      <w:bookmarkEnd w:id="303"/>
      <w:bookmarkEnd w:id="304"/>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рамках настоящей Стратегии предполагается, что реализация мероприятий, вытекающих из концептуального изложения способов решения стратегических задач, приведет к улучшению значений основных социально-экономических показателей.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данном разделе ожидаемые результаты представлены, исходя из умеренно-оптимистического сценария, который выбран в качестве базового. Отправной точкой для оценки целого ряда показателей служит прогноз роста численности населения города Ханты-Мансийска, которое, ожидается, к 2020 году составит 120,0 тыс. человек, а к 2030 году – 150 тыс. человек.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промышленной продукции по крупным и средним предприятиям города Ханты-Мансийска к 2030 году достигнет значения 24 106,8 млн. руб., увеличившись по сравнению с базовым периодом в 2,49 раза. Рост данного показателя будет обеспечен развитием небольших производств, работающих преимущественно на местном сырье и отвечающих потребностям местного рынка. Определенный вклад в достижение планового значения показателя объема промышленной продукции внесут малые инновационные предприятия.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сельскохозяйственной продукции вырастет с 5,82 до 16,64 млн. руб., в 2,9 раза, что позволит повысить уровень продовольственной безопасности города. Этому будет способствовать финансовая поддержка сельскохозяйственных производителей со стороны Администрации города и обеспечение рынка сбыта их продукции на территории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Объем инвестиций в основной капитал увеличится с 23,6 до 96,1 млрд. руб., т.е. в 4,1 раза, поскольку успешная реализация актуальных на сегодняшний день инвестиционных проектов откроет возможности для притока новых и новых инвестиций. На дальнейшее улучшение инвестиционного климата повлияет </w:t>
      </w:r>
      <w:r w:rsidRPr="005B0D7D">
        <w:rPr>
          <w:rFonts w:ascii="Times New Roman" w:eastAsia="Batang" w:hAnsi="Times New Roman" w:cs="Times New Roman"/>
          <w:sz w:val="28"/>
          <w:szCs w:val="28"/>
          <w:lang w:eastAsia="ko-KR"/>
        </w:rPr>
        <w:lastRenderedPageBreak/>
        <w:t>формирование и инфраструктурное оснащение инвестиционных площадок, а также усовершенствованная система сопровождения инвестиционных проектов.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Благоприятная экономическая ситуация в городе позволит повысить деловую активность населения. Ожидается, что число субъектов малого и среднего предпринимательства к 2030 году вырастет в 1,1 раза и составит 641,8 ед. на 10 тыс. населения. Соответственно, вырастет и среднегодовая численность работающих на малых и средних предприятиях. Поддержка малого и среднего бизнеса будет выстроена таким образом, чтобы отдавать приоритет производственной деятельности, что повысит устойчивость городской экономики.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Дальнейшее развертывание деятельности Технопарка высоких технологий Ханты-Мансийского автономного округа – Югры и высших учебных заведений города, строительство Индустриального парка, а также муниципальная поддержка инновационной активности населения и хозяйствующих субъектов приведет к росту числа малых инновационных предприятий в 1,3 раза.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новых социально-эконмических условиях получит дальнейшее развитие сфера потребительского рынка, на которую будет влиять рост численности населения, повышение его платежеспособности и изменение качественного состава за счет миграционного притока высококвалифицированных специалистов. Удовлетворение на местном уровне большего объема потребностей, расширение ассортимента товаров, в том числе за счет местного производства, позволит наращивать оборот розничной торговли. Ожидается, что оборот розничной торговли с 2013 по 2030 год вырастет с 16,0 млрд. руб. до 44,9 млрд. руб., т.е. на 280%. Интенсивное развитие туризма и повышение качества обслуживания обусловит рост оборота общественного питания, который может увеличиться </w:t>
      </w:r>
      <w:proofErr w:type="gramStart"/>
      <w:r w:rsidRPr="005B0D7D">
        <w:rPr>
          <w:rFonts w:ascii="Times New Roman" w:eastAsia="Batang" w:hAnsi="Times New Roman" w:cs="Times New Roman"/>
          <w:sz w:val="28"/>
          <w:szCs w:val="28"/>
          <w:lang w:eastAsia="ko-KR"/>
        </w:rPr>
        <w:t>в</w:t>
      </w:r>
      <w:proofErr w:type="gramEnd"/>
      <w:r w:rsidRPr="005B0D7D">
        <w:rPr>
          <w:rFonts w:ascii="Times New Roman" w:eastAsia="Batang" w:hAnsi="Times New Roman" w:cs="Times New Roman"/>
          <w:sz w:val="28"/>
          <w:szCs w:val="28"/>
          <w:lang w:eastAsia="ko-KR"/>
        </w:rPr>
        <w:t xml:space="preserve"> 3,4 раза. Объем платных услуг, как ожидается, возрастет на 234%, прежде всего, за счет увеличения объемов коммунальных платежей (в силу миграционного прироста и улучшения жилищных условий), услуг в области образования, культуры и спорта. Развитие событийного и рекреационного туризма приведет к росту спроса на туристские и гостиничные услуги.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Среднемесячная номинальная начисленная заработная плата, как ожидается, за 13 лет вырастет в среднем в 1,7 раз и составит 105 609,4 тыс. руб. Ведущим фактором роста заработной платы станет ее увеличение в бюджетном секторе, доведение до заданных нормативов в соответствии с майскими Указами Президента Российской Федерации.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Уровень регистрируемой безработицы снизится незначительно, с 0,13% до 0,12%. В большей мере уменьшится скрытая безработица, на уровень которой будет влиять реализация коммерческих и бюджетных инвестиционных проектов, развитие малого и среднего предпринимательства.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Учитывая инвестиционную активность застройщиков в базовый период времени, можно предположить, что темпы ввода в действие жилых домов будут ежегодно увеличиваться – за </w:t>
      </w:r>
      <w:proofErr w:type="gramStart"/>
      <w:r w:rsidRPr="005B0D7D">
        <w:rPr>
          <w:rFonts w:ascii="Times New Roman" w:eastAsia="Batang" w:hAnsi="Times New Roman" w:cs="Times New Roman"/>
          <w:sz w:val="28"/>
          <w:szCs w:val="28"/>
          <w:lang w:eastAsia="ko-KR"/>
        </w:rPr>
        <w:t>счет</w:t>
      </w:r>
      <w:proofErr w:type="gramEnd"/>
      <w:r w:rsidRPr="005B0D7D">
        <w:rPr>
          <w:rFonts w:ascii="Times New Roman" w:eastAsia="Batang" w:hAnsi="Times New Roman" w:cs="Times New Roman"/>
          <w:sz w:val="28"/>
          <w:szCs w:val="28"/>
          <w:lang w:eastAsia="ko-KR"/>
        </w:rPr>
        <w:t xml:space="preserve"> как освоения новых территорий, так и сноса ветхого и аварийного жилья в центре города. Согласно прогнозу, в 2030 году будет вводиться </w:t>
      </w:r>
      <w:smartTag w:uri="urn:schemas-microsoft-com:office:smarttags" w:element="metricconverter">
        <w:smartTagPr>
          <w:attr w:name="ProductID" w:val="1,3 кв. м"/>
        </w:smartTagPr>
        <w:r w:rsidRPr="005B0D7D">
          <w:rPr>
            <w:rFonts w:ascii="Times New Roman" w:eastAsia="Batang" w:hAnsi="Times New Roman" w:cs="Times New Roman"/>
            <w:sz w:val="28"/>
            <w:szCs w:val="28"/>
            <w:lang w:eastAsia="ko-KR"/>
          </w:rPr>
          <w:t>1,3 кв. м</w:t>
        </w:r>
      </w:smartTag>
      <w:r w:rsidRPr="005B0D7D">
        <w:rPr>
          <w:rFonts w:ascii="Times New Roman" w:eastAsia="Batang" w:hAnsi="Times New Roman" w:cs="Times New Roman"/>
          <w:sz w:val="28"/>
          <w:szCs w:val="28"/>
          <w:lang w:eastAsia="ko-KR"/>
        </w:rPr>
        <w:t xml:space="preserve"> жилья на одного жителя, что является очень высоким показателем. Наращивание объемов введенного жилья позволит в полтора раза </w:t>
      </w:r>
      <w:r w:rsidRPr="005B0D7D">
        <w:rPr>
          <w:rFonts w:ascii="Times New Roman" w:eastAsia="Batang" w:hAnsi="Times New Roman" w:cs="Times New Roman"/>
          <w:sz w:val="28"/>
          <w:szCs w:val="28"/>
          <w:lang w:eastAsia="ko-KR"/>
        </w:rPr>
        <w:lastRenderedPageBreak/>
        <w:t xml:space="preserve">увеличить показатель обеспеченности жильем, доведя его до </w:t>
      </w:r>
      <w:smartTag w:uri="urn:schemas-microsoft-com:office:smarttags" w:element="metricconverter">
        <w:smartTagPr>
          <w:attr w:name="ProductID" w:val="30 кв. м"/>
        </w:smartTagPr>
        <w:r w:rsidRPr="005B0D7D">
          <w:rPr>
            <w:rFonts w:ascii="Times New Roman" w:eastAsia="Batang" w:hAnsi="Times New Roman" w:cs="Times New Roman"/>
            <w:sz w:val="28"/>
            <w:szCs w:val="28"/>
            <w:lang w:eastAsia="ko-KR"/>
          </w:rPr>
          <w:t>30 кв. м</w:t>
        </w:r>
      </w:smartTag>
      <w:r w:rsidRPr="005B0D7D">
        <w:rPr>
          <w:rFonts w:ascii="Times New Roman" w:eastAsia="Batang" w:hAnsi="Times New Roman" w:cs="Times New Roman"/>
          <w:sz w:val="28"/>
          <w:szCs w:val="28"/>
          <w:lang w:eastAsia="ko-KR"/>
        </w:rPr>
        <w:t xml:space="preserve"> на одного жителя. Свои жилищные условия смогут улучшить более 2 300 семей.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Постоянное увеличение численности населения и рост рождаемости будет создавать нагрузку на объекты социальной инфраструктуры. Вместе с тем развитие механизмов государственно-частного партнерства в сфере капитального строительства позволит решить проблему очереди в детские сады, по меньшей мере, в отношении детей 3-6 лет, и перевести общеобразовательные организации преимущественно на односменный режим работы. Проблемы дошкольного воспитания детей будут решаться также за счет альтернативных его форм: групп краткосрочного пребывания, частных детских садов, повышения возможностей семейного воспитания за счет нового формата рабочих мест, в том числе дистанционных. Развитие общего образования будет осуществляться в направлении повышения вариативности его форм, организации профильного обучения, обеспечения взаимосвязи с потребностями рынка труда, применения </w:t>
      </w:r>
      <w:proofErr w:type="spellStart"/>
      <w:r w:rsidRPr="005B0D7D">
        <w:rPr>
          <w:rFonts w:ascii="Times New Roman" w:eastAsia="Batang" w:hAnsi="Times New Roman" w:cs="Times New Roman"/>
          <w:sz w:val="28"/>
          <w:szCs w:val="28"/>
          <w:lang w:eastAsia="ko-KR"/>
        </w:rPr>
        <w:t>здоровьесберегающих</w:t>
      </w:r>
      <w:proofErr w:type="spellEnd"/>
      <w:r w:rsidRPr="005B0D7D">
        <w:rPr>
          <w:rFonts w:ascii="Times New Roman" w:eastAsia="Batang" w:hAnsi="Times New Roman" w:cs="Times New Roman"/>
          <w:sz w:val="28"/>
          <w:szCs w:val="28"/>
          <w:lang w:eastAsia="ko-KR"/>
        </w:rPr>
        <w:t xml:space="preserve"> технологий. К 2030 году все общеобразовательные организации будут соответствовать современным условиям обучения. Доля детей первой и второй групп здоровья возрастет с 91% до 95,9%. О развитии интеллектуального потенциала города Ханты-Мансийска будет свидетельствовать увеличение числа учащихся – победителей олимпиад окружного уровня и выше: к 2030 году город будет обеспечивать 15-20 победителей олимпиад ежегодно.</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Рационально выстроенная демографическая политика, основанная как на социально-экономическом, так и на идеологическом стимулировании деторождения, приведет к увеличению коэффициента рождаемости с 20,0 до 25,0 промилле. Меры по предотвращению смертности от управляемых причин обеспечат к 2030 году естественный прирост населения на уровне 18 промилле.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Коэффициент миграционного прироста увеличится примерно в полтора раза, с 3,9 до 6,0 промилле. В городе окажутся наиболее востребованными высококвалифицированные мигранты в силу реализации инвестиционных проектов и развития инновационной экономики и, в небольшой степени, представители рабочих профессий, главным образом строители.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Рост культурных потребностей населения обусловит повышение интереса к культурно-массовым мероприятиям и помещению библиотек.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Комплекс мер по повышению туристической привлекательности города Ханты-Мансийска, развитие различных видов туризма приведет к увеличению туристского потока на 42%.</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Пропаганда здорового образа жизни вместе с дальнейшим строительством спортивных объектов и сооружений обусловит увеличение доли граждан, систематически занимающихся физической культурой и спортом, до 41% в 2030 году, т.е. на 8,1%. Ханты-Мансийск сохранит свою роль спортивного города: ежегодно будет увеличиваться число спортсменов-разрядников.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Своевременная реконструкция инженерных сетей позволит ежегодно сокращать степень их износа. Предотвращение внештатных ситуаций в жилищно-коммунальном хозяйстве будет способствовать снижению доли обращений граждан в Администрацию города по вопросам коммунально-бытового обслуживания на 10%, с 22% до 12%.</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Строительство межмуниципального полигона по сортировке и частичной переработке твердых бытовых отходов позитивно скажется на экологической обстановке. Организация производства на основе вторичного сырья внесет вклад в развитие реального сектора экономики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Снижению уровня преступности будет способствовать создание новых рабочих мест, установка камер видеонаблюдения в общественных местах, профилактическая работа с подростками группы риска, усиление миграционного контроля. Привитие высокой культуры вождения вкупе со своевременным ремонтом и реконструкцией аварийно-опасных участков дорог позволит снизить число дорожно-транспортных происшествий.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Развитие информационных систем позволит довести показатель доли муниципальных услуг, получаемых в электронном виде либо через многофункциональные центры, до 100%.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Усложнение управленческих задач потребует поддержания высокого уровня профессионального развития муниципальных служащих. Возрастет востребованность курсов повышения квалификации, на отдельных должностях муниципальной службы будут работать кандидаты и доктора наук.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Рациональное и результативное расходование бюджетных сре</w:t>
      </w:r>
      <w:proofErr w:type="gramStart"/>
      <w:r w:rsidRPr="005B0D7D">
        <w:rPr>
          <w:rFonts w:ascii="Times New Roman" w:eastAsia="Batang" w:hAnsi="Times New Roman" w:cs="Times New Roman"/>
          <w:sz w:val="28"/>
          <w:szCs w:val="28"/>
          <w:lang w:eastAsia="ko-KR"/>
        </w:rPr>
        <w:t>дств пр</w:t>
      </w:r>
      <w:proofErr w:type="gramEnd"/>
      <w:r w:rsidRPr="005B0D7D">
        <w:rPr>
          <w:rFonts w:ascii="Times New Roman" w:eastAsia="Batang" w:hAnsi="Times New Roman" w:cs="Times New Roman"/>
          <w:sz w:val="28"/>
          <w:szCs w:val="28"/>
          <w:lang w:eastAsia="ko-KR"/>
        </w:rPr>
        <w:t xml:space="preserve">иведет к повышению показателя </w:t>
      </w:r>
      <w:proofErr w:type="spellStart"/>
      <w:r w:rsidRPr="005B0D7D">
        <w:rPr>
          <w:rFonts w:ascii="Times New Roman" w:eastAsia="Batang" w:hAnsi="Times New Roman" w:cs="Times New Roman"/>
          <w:sz w:val="28"/>
          <w:szCs w:val="28"/>
          <w:lang w:eastAsia="ko-KR"/>
        </w:rPr>
        <w:t>бюджетообеспеченности</w:t>
      </w:r>
      <w:proofErr w:type="spellEnd"/>
      <w:r w:rsidRPr="005B0D7D">
        <w:rPr>
          <w:rFonts w:ascii="Times New Roman" w:eastAsia="Batang" w:hAnsi="Times New Roman" w:cs="Times New Roman"/>
          <w:sz w:val="28"/>
          <w:szCs w:val="28"/>
          <w:lang w:eastAsia="ko-KR"/>
        </w:rPr>
        <w:t xml:space="preserve"> на одного жителя в силу роста объема собственных налоговых и неналоговых доходов.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Развитие межмуниципального сотрудничества будет осуществляться в сторону его углубления: рамочные соглашения станут основой для заключения договоров между хозяйствующими субъектами с конкретными обязательствами.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Формированию позитивного имиджа города будет способствовать рост числа посещений веб-сайтов – муниципальных средств массовой информации.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целом ожидаемые результаты развития экономики и социальной сферы города будут свидетельствовать о повышении уровня жизни населения. </w:t>
      </w:r>
    </w:p>
    <w:p w:rsidR="005B0D7D" w:rsidRPr="005B0D7D" w:rsidRDefault="005B0D7D" w:rsidP="005B0D7D">
      <w:pPr>
        <w:keepNext/>
        <w:spacing w:before="240" w:after="60" w:line="240" w:lineRule="auto"/>
        <w:ind w:firstLine="720"/>
        <w:jc w:val="center"/>
        <w:outlineLvl w:val="1"/>
        <w:rPr>
          <w:rFonts w:ascii="Times New Roman" w:eastAsia="Batang" w:hAnsi="Times New Roman" w:cs="Times New Roman"/>
          <w:b/>
          <w:bCs/>
          <w:sz w:val="28"/>
          <w:szCs w:val="28"/>
          <w:lang w:eastAsia="ko-KR"/>
        </w:rPr>
      </w:pPr>
      <w:bookmarkStart w:id="305" w:name="_Toc403942023"/>
      <w:bookmarkStart w:id="306" w:name="_Toc404211575"/>
      <w:bookmarkStart w:id="307" w:name="_Toc404218209"/>
      <w:bookmarkStart w:id="308" w:name="_Toc410639543"/>
      <w:r w:rsidRPr="005B0D7D">
        <w:rPr>
          <w:rFonts w:ascii="Times New Roman" w:eastAsia="Batang" w:hAnsi="Times New Roman" w:cs="Times New Roman"/>
          <w:b/>
          <w:bCs/>
          <w:sz w:val="28"/>
          <w:szCs w:val="28"/>
          <w:lang w:eastAsia="ko-KR"/>
        </w:rPr>
        <w:t>9.2. Стратегические показатели</w:t>
      </w:r>
      <w:bookmarkEnd w:id="305"/>
      <w:bookmarkEnd w:id="306"/>
      <w:bookmarkEnd w:id="307"/>
      <w:bookmarkEnd w:id="308"/>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Стратегические показатели в увязке с задачами Стратегии представлены в таблице 13.</w:t>
      </w:r>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Таблица 13</w:t>
      </w:r>
    </w:p>
    <w:p w:rsidR="005B0D7D" w:rsidRPr="005B0D7D" w:rsidRDefault="005B0D7D" w:rsidP="005B0D7D">
      <w:pPr>
        <w:spacing w:before="120" w:after="120" w:line="240" w:lineRule="auto"/>
        <w:ind w:firstLine="720"/>
        <w:jc w:val="center"/>
        <w:rPr>
          <w:rFonts w:ascii="Times New Roman" w:eastAsia="Batang" w:hAnsi="Times New Roman" w:cs="Times New Roman"/>
          <w:b/>
          <w:iCs/>
          <w:sz w:val="24"/>
          <w:szCs w:val="24"/>
          <w:lang w:eastAsia="ko-KR"/>
        </w:rPr>
      </w:pPr>
      <w:r w:rsidRPr="005B0D7D">
        <w:rPr>
          <w:rFonts w:ascii="Times New Roman" w:eastAsia="Batang" w:hAnsi="Times New Roman" w:cs="Times New Roman"/>
          <w:b/>
          <w:iCs/>
          <w:sz w:val="24"/>
          <w:szCs w:val="24"/>
          <w:lang w:eastAsia="ko-KR"/>
        </w:rPr>
        <w:t>Соответствие между задачами Стратегии и стратегическими показателями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635"/>
      </w:tblGrid>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 Развитие реального сектора экономики</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производства промышленной продукции, млн. руб.</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2. Развитие агропромышленного комплекса, местной пищевой промышленности</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производства сельскохозяйственной продукции, млн. руб.</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3. Обеспечение благоприятного инвестиционного климата</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инвестиций в основной капитал, млн. руб.</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4. Повышение роли малого и среднего предпринимательства в местном сообществе</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субъектов малого и среднего предпринимательства на 10 тыс. населения, ед.</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Доля среднесписочной численности работников (без внешних совместителей) малых и средних предприятий в среднесписочной численности </w:t>
            </w:r>
            <w:r w:rsidRPr="005B0D7D">
              <w:rPr>
                <w:rFonts w:ascii="Times New Roman" w:eastAsia="Batang" w:hAnsi="Times New Roman" w:cs="Times New Roman"/>
                <w:sz w:val="24"/>
                <w:szCs w:val="24"/>
                <w:lang w:eastAsia="ko-KR"/>
              </w:rPr>
              <w:lastRenderedPageBreak/>
              <w:t>работников (без внешних совместителей) всех предприятий и организаций, %</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lastRenderedPageBreak/>
              <w:t>Задача 5. Инновационное развитие</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малых инновационных предприятий, ед.</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6. Развитие сектора услуг, потребительского рынка</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оборота розничной торговли, млн. руб.</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оборота общественного питания, млн. руб.</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платных услуг населению, млн. руб. в ценах соответствующих лет</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7. Развитие сферы социально-трудовых отношений</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Среднемесячная номинальная начисленная заработная плата, руб.</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Уровень регистрируемой безработицы на конец года, тыс. чел.</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8. Обеспечение населения доступным и комфортным жильем</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Ввод в действие жилых домов, кв. м на 1 жителя</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Общая площадь жилых помещений, приходящаяся в среднем на одного жителя, кв. м</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семей, улучшивших жилищные условия в текущем году, ед.</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9. Снижение уровня социального неравенства, активизация социального потенциала населения</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семей, находящихся в социально опасном положении, снятых с учета с исправлением от общего количества семей, находящихся в социально опасном положении, %</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10. Развитие образования</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муниципальных общеобразовательных учреждений, соответствующих современным требованиям обучения,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Доля детей первой и второй групп здоровья в общей </w:t>
            </w:r>
            <w:proofErr w:type="gramStart"/>
            <w:r w:rsidRPr="005B0D7D">
              <w:rPr>
                <w:rFonts w:ascii="Times New Roman" w:eastAsia="Batang" w:hAnsi="Times New Roman" w:cs="Times New Roman"/>
                <w:sz w:val="24"/>
                <w:szCs w:val="24"/>
                <w:lang w:eastAsia="ko-KR"/>
              </w:rPr>
              <w:t>численности</w:t>
            </w:r>
            <w:proofErr w:type="gramEnd"/>
            <w:r w:rsidRPr="005B0D7D">
              <w:rPr>
                <w:rFonts w:ascii="Times New Roman" w:eastAsia="Batang" w:hAnsi="Times New Roman" w:cs="Times New Roman"/>
                <w:sz w:val="24"/>
                <w:szCs w:val="24"/>
                <w:lang w:eastAsia="ko-KR"/>
              </w:rPr>
              <w:t xml:space="preserve"> обучающихся в муниципальных общеобразовательных учреждениях,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учащихся муниципальных общеобразовательных учреждений, занимающихся во вторую смену,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победителей олимпиад регионального уровня и выше, чел.</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11. Реализация социально-демографической политики</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Коэффициент естественного прироста (убыли), на 1000 человек населения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Коэффициент миграционного прироста (убыли), на 1000 человек населения</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12. Развитие культуры</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Количество посещений культурно-массовых мероприятий, чел.</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Количество пользователей муниципальных </w:t>
            </w:r>
            <w:r w:rsidRPr="005B0D7D">
              <w:rPr>
                <w:rFonts w:ascii="Times New Roman" w:eastAsia="Batang" w:hAnsi="Times New Roman" w:cs="Times New Roman"/>
                <w:sz w:val="24"/>
                <w:szCs w:val="24"/>
                <w:lang w:eastAsia="ko-KR"/>
              </w:rPr>
              <w:lastRenderedPageBreak/>
              <w:t>библиотек, чел.</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lastRenderedPageBreak/>
              <w:t>Задача 13. Развитие внутреннего и въездного туризма</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туристов, посетивших город Ханты-Мансийск, тыс. чел.</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14. Развитие физической культуры и массового спорта</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населения, регулярно занимающегося физической культурой и спортом</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спортсменов-разрядников, чел.</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15. Реализация молодежной политики</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мероприятий молодежной политики, ед.</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участников молодежных мероприятий, %</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16. Развитие транспортной инфраструктуры</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муниципальных автомобильных дорог, соответствующих нормативным требованиям,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Пассажирооборот, </w:t>
            </w:r>
            <w:proofErr w:type="spellStart"/>
            <w:r w:rsidRPr="005B0D7D">
              <w:rPr>
                <w:rFonts w:ascii="Times New Roman" w:eastAsia="Batang" w:hAnsi="Times New Roman" w:cs="Times New Roman"/>
                <w:sz w:val="24"/>
                <w:szCs w:val="24"/>
                <w:lang w:eastAsia="ko-KR"/>
              </w:rPr>
              <w:t>пс</w:t>
            </w:r>
            <w:proofErr w:type="spellEnd"/>
            <w:r w:rsidRPr="005B0D7D">
              <w:rPr>
                <w:rFonts w:ascii="Times New Roman" w:eastAsia="Batang" w:hAnsi="Times New Roman" w:cs="Times New Roman"/>
                <w:sz w:val="24"/>
                <w:szCs w:val="24"/>
                <w:lang w:eastAsia="ko-KR"/>
              </w:rPr>
              <w:t>-км</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17. Комплексное развитие систем коммунальной, энергетической и коммуникационной инфраструктур</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обращений граждан в Администрацию города по вопросам коммунально-бытового обслуживания, в общем числе обращений, %</w:t>
            </w:r>
          </w:p>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сетей, нуждающихся в замене, в том числе:</w:t>
            </w:r>
          </w:p>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тепловых сетей, %</w:t>
            </w:r>
          </w:p>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водопроводных сетей, %</w:t>
            </w:r>
          </w:p>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сетей водоотведения, %</w:t>
            </w:r>
          </w:p>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сетей газоснабжения,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сетей электроснабжения,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утилизируемых твердых бытовых отходов, %</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18. Совершенствование системы предупреждения и защиты населения от чрезвычайных ситуаций природного и техногенного характера, охрана окружающей среды</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Среднее время реагирования на экстренные вызовы, мин</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19. Обеспечение личной безопасности граждан</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Уровень преступности, преступлений</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Коэффициент смертности населения от дорожно-транспортных происшествий, чел. на 100 тыс. населения</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20. Повышение эффективности муниципального управления на основе использования современных информационно-коммуникационных технологий</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информационных систем для социальной, экономической и культурной сфер жизнедеятельности муниципалитета, единиц</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Доля получаемых муниципальных услуг через Портал государственных и муниципальных услуг и систему многофункциональных центров,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Увеличение доли межведомственных запросов, направляемых через систему межведомственного электронного взаимодействия, %</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информационных систем (сервисов), автоматизирующих деятельность органов местного самоуправления, ед.</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21. Профессиональное развитие муниципальных кадров</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муниципальных служащих, имеющих два и более высших образования, чел.</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муниципальных служащих, получивших дополнительное образование, чел.</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Задача 22. Рациональное и </w:t>
            </w:r>
            <w:r w:rsidRPr="005B0D7D">
              <w:rPr>
                <w:rFonts w:ascii="Times New Roman" w:eastAsia="Batang" w:hAnsi="Times New Roman" w:cs="Times New Roman"/>
                <w:sz w:val="24"/>
                <w:szCs w:val="24"/>
                <w:lang w:eastAsia="ko-KR"/>
              </w:rPr>
              <w:lastRenderedPageBreak/>
              <w:t>результативное управление бюджетным процессом и муниципальной собственностью</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lastRenderedPageBreak/>
              <w:t xml:space="preserve">Объем собственных налоговых и неналоговых </w:t>
            </w:r>
            <w:r w:rsidRPr="005B0D7D">
              <w:rPr>
                <w:rFonts w:ascii="Times New Roman" w:eastAsia="Batang" w:hAnsi="Times New Roman" w:cs="Times New Roman"/>
                <w:sz w:val="24"/>
                <w:szCs w:val="24"/>
                <w:lang w:eastAsia="ko-KR"/>
              </w:rPr>
              <w:lastRenderedPageBreak/>
              <w:t>доходов, млн. руб.</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Балансовая стоимость имущества, включенного в Реестр муниципальной собственности, млн. руб.</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Объем доходов от имущества, находящегося в муниципальной собственности, млн. руб.</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lastRenderedPageBreak/>
              <w:t>Задача 23. Развитие межмуниципального сотрудничества</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Число заключенных соглашений о межмуниципальном сотрудничестве, ед.</w:t>
            </w:r>
          </w:p>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Количество проектов (договоров), реализованных в развитие соглашений о межмуниципальном сотрудничестве, ед.</w:t>
            </w:r>
          </w:p>
        </w:tc>
      </w:tr>
      <w:tr w:rsidR="005B0D7D" w:rsidRPr="005B0D7D" w:rsidTr="005B0D7D">
        <w:tc>
          <w:tcPr>
            <w:tcW w:w="3936" w:type="dxa"/>
          </w:tcPr>
          <w:p w:rsidR="005B0D7D" w:rsidRPr="005B0D7D" w:rsidRDefault="005B0D7D" w:rsidP="005B0D7D">
            <w:pPr>
              <w:spacing w:after="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Задача 24. Развитие средств массовых коммуникаций</w:t>
            </w:r>
          </w:p>
        </w:tc>
        <w:tc>
          <w:tcPr>
            <w:tcW w:w="5635" w:type="dxa"/>
          </w:tcPr>
          <w:p w:rsidR="005B0D7D" w:rsidRPr="005B0D7D" w:rsidRDefault="005B0D7D" w:rsidP="005B0D7D">
            <w:pPr>
              <w:spacing w:after="60" w:line="240" w:lineRule="auto"/>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Рост популярности городских средств массовой информации (телевидение, газета, официальный сайт), %</w:t>
            </w:r>
          </w:p>
        </w:tc>
      </w:tr>
    </w:tbl>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Значения стратегических показателей на период реализации Стратеги с учетом базового периода представлены в таблице 15.</w:t>
      </w:r>
    </w:p>
    <w:p w:rsidR="005B0D7D" w:rsidRPr="005B0D7D" w:rsidRDefault="005B0D7D" w:rsidP="005B0D7D">
      <w:pPr>
        <w:tabs>
          <w:tab w:val="left" w:pos="1080"/>
        </w:tabs>
        <w:spacing w:after="0" w:line="240" w:lineRule="auto"/>
        <w:ind w:firstLine="720"/>
        <w:jc w:val="right"/>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br w:type="page"/>
      </w:r>
      <w:r w:rsidRPr="005B0D7D">
        <w:rPr>
          <w:rFonts w:ascii="Times New Roman" w:eastAsia="Batang" w:hAnsi="Times New Roman" w:cs="Times New Roman"/>
          <w:sz w:val="28"/>
          <w:szCs w:val="28"/>
          <w:lang w:eastAsia="ko-KR"/>
        </w:rPr>
        <w:lastRenderedPageBreak/>
        <w:t>Таблица 15</w:t>
      </w:r>
    </w:p>
    <w:p w:rsidR="005B0D7D" w:rsidRPr="005B0D7D" w:rsidRDefault="005B0D7D" w:rsidP="005B0D7D">
      <w:pPr>
        <w:spacing w:before="120" w:after="120" w:line="240" w:lineRule="auto"/>
        <w:ind w:firstLine="720"/>
        <w:jc w:val="center"/>
        <w:rPr>
          <w:rFonts w:ascii="Times New Roman" w:eastAsia="Batang" w:hAnsi="Times New Roman" w:cs="Times New Roman"/>
          <w:b/>
          <w:iCs/>
          <w:sz w:val="24"/>
          <w:szCs w:val="24"/>
          <w:lang w:eastAsia="ko-KR"/>
        </w:rPr>
      </w:pPr>
      <w:r w:rsidRPr="005B0D7D">
        <w:rPr>
          <w:rFonts w:ascii="Times New Roman" w:eastAsia="Batang" w:hAnsi="Times New Roman" w:cs="Times New Roman"/>
          <w:b/>
          <w:iCs/>
          <w:sz w:val="24"/>
          <w:szCs w:val="24"/>
          <w:lang w:eastAsia="ko-KR"/>
        </w:rPr>
        <w:t>Таблица стратегических показателей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5"/>
        <w:gridCol w:w="9"/>
        <w:gridCol w:w="2492"/>
        <w:gridCol w:w="935"/>
        <w:gridCol w:w="935"/>
        <w:gridCol w:w="935"/>
        <w:gridCol w:w="935"/>
        <w:gridCol w:w="935"/>
        <w:gridCol w:w="935"/>
        <w:gridCol w:w="1111"/>
      </w:tblGrid>
      <w:tr w:rsidR="005B0D7D" w:rsidRPr="005B0D7D" w:rsidTr="005B0D7D">
        <w:trPr>
          <w:cantSplit/>
        </w:trPr>
        <w:tc>
          <w:tcPr>
            <w:tcW w:w="525" w:type="dxa"/>
          </w:tcPr>
          <w:p w:rsidR="005B0D7D" w:rsidRPr="005B0D7D" w:rsidRDefault="005B0D7D" w:rsidP="005B0D7D">
            <w:pPr>
              <w:spacing w:after="0" w:line="240" w:lineRule="auto"/>
              <w:jc w:val="both"/>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w:t>
            </w:r>
          </w:p>
        </w:tc>
        <w:tc>
          <w:tcPr>
            <w:tcW w:w="2501" w:type="dxa"/>
            <w:gridSpan w:val="2"/>
          </w:tcPr>
          <w:p w:rsidR="005B0D7D" w:rsidRPr="005B0D7D" w:rsidRDefault="005B0D7D" w:rsidP="005B0D7D">
            <w:pPr>
              <w:spacing w:after="0" w:line="240" w:lineRule="auto"/>
              <w:jc w:val="center"/>
              <w:rPr>
                <w:rFonts w:ascii="Times New Roman" w:eastAsia="Batang" w:hAnsi="Times New Roman" w:cs="Times New Roman"/>
                <w:lang w:eastAsia="ko-KR"/>
              </w:rPr>
            </w:pPr>
            <w:r w:rsidRPr="005B0D7D">
              <w:rPr>
                <w:rFonts w:ascii="Times New Roman" w:eastAsia="Batang" w:hAnsi="Times New Roman" w:cs="Times New Roman"/>
                <w:lang w:eastAsia="ko-KR"/>
              </w:rPr>
              <w:t>Наименование показателя</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2013</w:t>
            </w:r>
          </w:p>
          <w:p w:rsidR="005B0D7D" w:rsidRPr="005B0D7D" w:rsidRDefault="005B0D7D" w:rsidP="005B0D7D">
            <w:pPr>
              <w:spacing w:after="0" w:line="240" w:lineRule="auto"/>
              <w:jc w:val="center"/>
              <w:rPr>
                <w:rFonts w:ascii="Times New Roman" w:eastAsia="Batang" w:hAnsi="Times New Roman" w:cs="Times New Roman"/>
                <w:sz w:val="18"/>
                <w:szCs w:val="18"/>
                <w:lang w:eastAsia="ko-KR"/>
              </w:rPr>
            </w:pPr>
            <w:r w:rsidRPr="005B0D7D">
              <w:rPr>
                <w:rFonts w:ascii="Times New Roman" w:eastAsia="Batang" w:hAnsi="Times New Roman" w:cs="Times New Roman"/>
                <w:sz w:val="18"/>
                <w:szCs w:val="18"/>
                <w:lang w:eastAsia="ko-KR"/>
              </w:rPr>
              <w:t>базовый</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2015</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2016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2017</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2020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2025</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20"/>
                <w:szCs w:val="20"/>
                <w:lang w:eastAsia="ko-KR"/>
              </w:rPr>
            </w:pPr>
            <w:r w:rsidRPr="005B0D7D">
              <w:rPr>
                <w:rFonts w:ascii="Times New Roman" w:eastAsia="Batang" w:hAnsi="Times New Roman" w:cs="Times New Roman"/>
                <w:sz w:val="20"/>
                <w:szCs w:val="20"/>
                <w:lang w:eastAsia="ko-KR"/>
              </w:rPr>
              <w:t>2030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Объем производства промышленной продукции, млн. руб.</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9 700,9</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11 531,01</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12 511,38</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13 370,04</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15 121,8</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19 355,90</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24 106,8</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Объем производства сельскохозяйственной продукции, млн. руб.</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5,82</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18,57</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20,26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22,42</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27,5</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36,68</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45,28</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Объем инвестиций в основной капитал, млн. руб.</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23 571,8</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29 773,16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33 639,77</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38 110,10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54 743,49</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72 535,12</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96 109,04</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субъектов малого и среднего предпринимательства на 10 тыс. населения, ед.</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607,6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610,6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613,7</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616,8</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623,0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632,3</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641,8</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sz w:val="24"/>
                <w:szCs w:val="24"/>
                <w:lang w:eastAsia="ko-KR"/>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14,3</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15,8</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16,1</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16,2</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17,9</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19,7</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малых инновационных предприятий, ед.</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118</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134</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142</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206</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246</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Объем оборота розничной торговли, млн. руб.</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15 989,90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18 842,59</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20 458,59</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22 170,56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27 059,76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35 998,51</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44 937,26</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Объем оборота общественного питания, млн. руб.</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2 174,10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2 715,44</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2 959,66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3 207,32</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4 217,93</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5 845,48</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7 473,03</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Объем платных услуг населению в ценах соответствующих лет, млн. руб.</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5 177,56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6 121,26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6 677,37</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7 319,36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8 581,32</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10 297,58</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12 357,09</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Среднемесячная номинальная начисленная заработная плата, руб.</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62 643,5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73 405,28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79 938,35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87 532,49</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91 031,76</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97 786,52</w:t>
            </w:r>
          </w:p>
        </w:tc>
        <w:tc>
          <w:tcPr>
            <w:tcW w:w="1111"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105 609,44</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Уровень зарегистрированной безработицы на конец года, тыс. чел.</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0,13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0,12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0,12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0,12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0,12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0,12</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0,12</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Ввод в действие жилых домов, кв. м на 1 жителя</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Общая площадь жилых помещений, приходящаяся в среднем на одного жителя, кв. м</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25,0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30,0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семей, улучшивших жилищные условия в текущем году, чел.</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291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308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319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326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330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340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350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семей, находящихся в социально опасном положении, снятых с учета с улучшением ситуации, от общего количества семей, находящихся в социально-опасном положении,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70</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70</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70</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70</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70</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70</w:t>
            </w:r>
          </w:p>
        </w:tc>
        <w:tc>
          <w:tcPr>
            <w:tcW w:w="1111"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37,43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35,64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31,09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25,79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24,0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24,0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24,0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муниципальных общеобразовательных учреждений, соответствующих современным требованиям обучения,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75,0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95,0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100,0</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100,0</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100,0</w:t>
            </w:r>
          </w:p>
        </w:tc>
        <w:tc>
          <w:tcPr>
            <w:tcW w:w="1111"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Доля детей первой и второй групп здоровья в общей </w:t>
            </w:r>
            <w:proofErr w:type="gramStart"/>
            <w:r w:rsidRPr="005B0D7D">
              <w:rPr>
                <w:rFonts w:ascii="Times New Roman" w:eastAsia="Batang" w:hAnsi="Times New Roman" w:cs="Times New Roman"/>
                <w:lang w:eastAsia="ko-KR"/>
              </w:rPr>
              <w:t>численности</w:t>
            </w:r>
            <w:proofErr w:type="gramEnd"/>
            <w:r w:rsidRPr="005B0D7D">
              <w:rPr>
                <w:rFonts w:ascii="Times New Roman" w:eastAsia="Batang" w:hAnsi="Times New Roman" w:cs="Times New Roman"/>
                <w:lang w:eastAsia="ko-KR"/>
              </w:rPr>
              <w:t xml:space="preserve"> обучающихся в муниципальных общеобразовательных учреждениях,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91,0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92,9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92,9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92,9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93,5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95,0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95,9</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учащихся муниципальных общеобразовательных учреждений, занимающихся во вторую смену,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45</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42,8</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35,1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26,1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18,5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7,2</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победителей олимпиад регионального уровня и выше, чел.</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19</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55,0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91,8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94,1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95,6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96,0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97,0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97,1</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Коэффициент естественного прироста (убыли), на 1000 человек населения</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val="en-US" w:eastAsia="ko-KR"/>
              </w:rPr>
            </w:pPr>
            <w:r w:rsidRPr="005B0D7D">
              <w:rPr>
                <w:rFonts w:ascii="Times New Roman" w:eastAsia="Batang" w:hAnsi="Times New Roman" w:cs="Times New Roman"/>
                <w:sz w:val="16"/>
                <w:szCs w:val="16"/>
                <w:lang w:eastAsia="ko-KR"/>
              </w:rPr>
              <w:t>13,8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17,0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18,0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Коэффициент миграционного прироста (убыли), на 1000 человек населения</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4,7</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5,5</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Количество посещений культурно-массовых мероприятий, тыс. чел.</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135,2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137,4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142,6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144,3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148,7</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155,2</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159,9</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Количество пользователей муниципальных библиотек, тыс. чел.</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17,0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17,3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19,1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20,6</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22,1</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туристов, посетивших город Ханты-Мансийск, тыс. чел.</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112,8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125,0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150,0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160,0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населения, регулярно занимающегося физической культурой и спортом,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32,9</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33,5</w:t>
            </w:r>
          </w:p>
        </w:tc>
        <w:tc>
          <w:tcPr>
            <w:tcW w:w="935" w:type="dxa"/>
          </w:tcPr>
          <w:p w:rsidR="005B0D7D" w:rsidRPr="005B0D7D" w:rsidRDefault="005B0D7D" w:rsidP="005B0D7D">
            <w:pPr>
              <w:spacing w:after="0" w:line="240" w:lineRule="auto"/>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34,0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34,5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36,0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38,5</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41,0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спортсменов-разрядников, чел.</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850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870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880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890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910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960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1010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мероприятий молодежной политики, ед.</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75</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участников молодежных мероприятий, тыс. чел.</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9,7</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муниципальных автомобильных дорог, соответствующих нормативным требованиям,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Пассажирооборот, млн. </w:t>
            </w:r>
            <w:proofErr w:type="spellStart"/>
            <w:r w:rsidRPr="005B0D7D">
              <w:rPr>
                <w:rFonts w:ascii="Times New Roman" w:eastAsia="Batang" w:hAnsi="Times New Roman" w:cs="Times New Roman"/>
                <w:lang w:eastAsia="ko-KR"/>
              </w:rPr>
              <w:t>пс</w:t>
            </w:r>
            <w:proofErr w:type="spellEnd"/>
            <w:r w:rsidRPr="005B0D7D">
              <w:rPr>
                <w:rFonts w:ascii="Times New Roman" w:eastAsia="Batang" w:hAnsi="Times New Roman" w:cs="Times New Roman"/>
                <w:lang w:eastAsia="ko-KR"/>
              </w:rPr>
              <w:t>/км.</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139,1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139,9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141,2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144,3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146,2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148,5</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151,1</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обращений граждан в Администрацию города по вопросам коммунально-бытового обслуживания, в общем числе обращений,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сетей, нуждающихся в замене, в том числе:</w:t>
            </w:r>
          </w:p>
        </w:tc>
        <w:tc>
          <w:tcPr>
            <w:tcW w:w="6721" w:type="dxa"/>
            <w:gridSpan w:val="7"/>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p>
        </w:tc>
      </w:tr>
      <w:tr w:rsidR="005B0D7D" w:rsidRPr="005B0D7D" w:rsidTr="005B0D7D">
        <w:trPr>
          <w:cantSplit/>
        </w:trPr>
        <w:tc>
          <w:tcPr>
            <w:tcW w:w="534" w:type="dxa"/>
            <w:gridSpan w:val="2"/>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тепловых сетей,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28,8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26,3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25,7</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24,2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21,9</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20,5</w:t>
            </w:r>
          </w:p>
        </w:tc>
      </w:tr>
      <w:tr w:rsidR="005B0D7D" w:rsidRPr="005B0D7D" w:rsidTr="005B0D7D">
        <w:trPr>
          <w:cantSplit/>
        </w:trPr>
        <w:tc>
          <w:tcPr>
            <w:tcW w:w="534" w:type="dxa"/>
            <w:gridSpan w:val="2"/>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водопроводных сетей,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2,7</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w:t>
            </w:r>
          </w:p>
        </w:tc>
      </w:tr>
      <w:tr w:rsidR="005B0D7D" w:rsidRPr="005B0D7D" w:rsidTr="005B0D7D">
        <w:trPr>
          <w:cantSplit/>
        </w:trPr>
        <w:tc>
          <w:tcPr>
            <w:tcW w:w="534" w:type="dxa"/>
            <w:gridSpan w:val="2"/>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сетей водоотведения,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1,8</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1,7</w:t>
            </w:r>
          </w:p>
        </w:tc>
      </w:tr>
      <w:tr w:rsidR="005B0D7D" w:rsidRPr="005B0D7D" w:rsidTr="005B0D7D">
        <w:trPr>
          <w:cantSplit/>
        </w:trPr>
        <w:tc>
          <w:tcPr>
            <w:tcW w:w="534" w:type="dxa"/>
            <w:gridSpan w:val="2"/>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сетей газоснабжения,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w:t>
            </w:r>
          </w:p>
        </w:tc>
      </w:tr>
      <w:tr w:rsidR="005B0D7D" w:rsidRPr="005B0D7D" w:rsidTr="005B0D7D">
        <w:trPr>
          <w:cantSplit/>
        </w:trPr>
        <w:tc>
          <w:tcPr>
            <w:tcW w:w="534" w:type="dxa"/>
            <w:gridSpan w:val="2"/>
          </w:tcPr>
          <w:p w:rsidR="005B0D7D" w:rsidRPr="005B0D7D" w:rsidRDefault="005B0D7D" w:rsidP="005B0D7D">
            <w:pPr>
              <w:spacing w:after="0" w:line="240" w:lineRule="auto"/>
              <w:jc w:val="both"/>
              <w:rPr>
                <w:rFonts w:ascii="Times New Roman" w:eastAsia="Batang" w:hAnsi="Times New Roman" w:cs="Times New Roman"/>
                <w:sz w:val="24"/>
                <w:szCs w:val="24"/>
                <w:lang w:eastAsia="ko-KR"/>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сетей электроснабжения,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1,8</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1,7</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утилизируемых твердых бытовых отходов, %</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Среднее время реагирования на экстренные вызовы, мин</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От 5 до 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От 5 до 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От 5 до 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От 5 до 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От 5 до 20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От 5 до 20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От 5 до 20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Уровень преступности, преступлений на 10 тыс. жителей</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162,3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159,0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158,0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155,0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150,0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145,0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Смертность населения от дорожно-транспортных происшествий, чел. на 100 тыс. населения</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16,0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8,0</w:t>
            </w:r>
          </w:p>
        </w:tc>
      </w:tr>
      <w:tr w:rsidR="005B0D7D" w:rsidRPr="005B0D7D" w:rsidTr="005B0D7D">
        <w:trPr>
          <w:cantSplit/>
          <w:trHeight w:val="2063"/>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информационных систем для социальной, экономической и культурной сфер жизнедеятельности муниципалитета, единиц</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19</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25</w:t>
            </w:r>
          </w:p>
        </w:tc>
      </w:tr>
      <w:tr w:rsidR="005B0D7D" w:rsidRPr="005B0D7D" w:rsidTr="005B0D7D">
        <w:trPr>
          <w:cantSplit/>
          <w:trHeight w:val="2063"/>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получаемых муниципальных услуг через Портал государственных и муниципальных услуг и систему многофункциональных центров, %</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17</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25</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35</w:t>
            </w:r>
          </w:p>
        </w:tc>
      </w:tr>
      <w:tr w:rsidR="005B0D7D" w:rsidRPr="005B0D7D" w:rsidTr="005B0D7D">
        <w:trPr>
          <w:cantSplit/>
          <w:trHeight w:val="2063"/>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Доля межведомственных запросов, направляемых через систему межведомственного электронного взаимодействия, %</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33</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50</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70</w:t>
            </w:r>
          </w:p>
        </w:tc>
      </w:tr>
      <w:tr w:rsidR="005B0D7D" w:rsidRPr="005B0D7D" w:rsidTr="005B0D7D">
        <w:trPr>
          <w:cantSplit/>
          <w:trHeight w:val="1867"/>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информационных систем (сервисов), автоматизирующих деятельность органов местного самоуправления, ед.</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13</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17</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25</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муниципальных служащих, имеющих два и более высших образования, чел.</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33</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35</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36</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37</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40</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45</w:t>
            </w:r>
          </w:p>
        </w:tc>
        <w:tc>
          <w:tcPr>
            <w:tcW w:w="1111"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муниципальных служащих, получивших дополнительное образование, чел.</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189</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50</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60</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103</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106</w:t>
            </w:r>
          </w:p>
        </w:tc>
        <w:tc>
          <w:tcPr>
            <w:tcW w:w="935"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111</w:t>
            </w:r>
          </w:p>
        </w:tc>
        <w:tc>
          <w:tcPr>
            <w:tcW w:w="1111" w:type="dxa"/>
            <w:vAlign w:val="center"/>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116</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Объем собственных налоговых и неналоговых доходов, млн. руб.</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3595,30</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3963,46</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4201,27</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4453,34</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5304</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5622,24</w:t>
            </w:r>
          </w:p>
        </w:tc>
        <w:tc>
          <w:tcPr>
            <w:tcW w:w="1111"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5959,58</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Балансовая стоимость имущества, включенного в Реестр муниципальной собственности, млн. руб.</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64702</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69308,78</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73467,31</w:t>
            </w:r>
          </w:p>
        </w:tc>
        <w:tc>
          <w:tcPr>
            <w:tcW w:w="935" w:type="dxa"/>
          </w:tcPr>
          <w:p w:rsidR="005B0D7D" w:rsidRPr="005B0D7D" w:rsidRDefault="005B0D7D" w:rsidP="005B0D7D">
            <w:pPr>
              <w:spacing w:after="0" w:line="240" w:lineRule="auto"/>
              <w:jc w:val="center"/>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77875,35</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92750,79</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124121,47</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147830,66</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Объем доходов от имущества, находящегося в муниципальной собственности, млн. руб.</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bCs/>
                <w:sz w:val="16"/>
                <w:szCs w:val="16"/>
                <w:lang w:eastAsia="ko-KR"/>
              </w:rPr>
              <w:t>86 756,88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88546,43</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91452,56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94839,98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97123,34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104345,61</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110792,01</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Число заключенных соглашений о межмуниципальном сотрудничестве, ед.</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18</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24</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30</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Количество проектов (договоров), реализованных в развитие соглашений о межмуниципальном сотрудничестве, ед.</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12</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15</w:t>
            </w:r>
          </w:p>
        </w:tc>
      </w:tr>
      <w:tr w:rsidR="005B0D7D" w:rsidRPr="005B0D7D" w:rsidTr="005B0D7D">
        <w:trPr>
          <w:cantSplit/>
        </w:trPr>
        <w:tc>
          <w:tcPr>
            <w:tcW w:w="534" w:type="dxa"/>
            <w:gridSpan w:val="2"/>
          </w:tcPr>
          <w:p w:rsidR="005B0D7D" w:rsidRPr="005B0D7D" w:rsidRDefault="005B0D7D" w:rsidP="005B0D7D">
            <w:pPr>
              <w:numPr>
                <w:ilvl w:val="0"/>
                <w:numId w:val="20"/>
              </w:numPr>
              <w:spacing w:after="0" w:line="240" w:lineRule="auto"/>
              <w:contextualSpacing/>
              <w:jc w:val="both"/>
              <w:rPr>
                <w:rFonts w:ascii="Times New Roman" w:eastAsia="Batang" w:hAnsi="Times New Roman" w:cs="Times New Roman"/>
                <w:sz w:val="20"/>
                <w:szCs w:val="20"/>
                <w:lang w:eastAsia="ru-RU"/>
              </w:rPr>
            </w:pPr>
          </w:p>
        </w:tc>
        <w:tc>
          <w:tcPr>
            <w:tcW w:w="2492" w:type="dxa"/>
          </w:tcPr>
          <w:p w:rsidR="005B0D7D" w:rsidRPr="005B0D7D" w:rsidRDefault="005B0D7D" w:rsidP="005B0D7D">
            <w:pPr>
              <w:spacing w:after="60" w:line="240" w:lineRule="auto"/>
              <w:rPr>
                <w:rFonts w:ascii="Times New Roman" w:eastAsia="Batang" w:hAnsi="Times New Roman" w:cs="Times New Roman"/>
                <w:lang w:eastAsia="ko-KR"/>
              </w:rPr>
            </w:pPr>
            <w:r w:rsidRPr="005B0D7D">
              <w:rPr>
                <w:rFonts w:ascii="Times New Roman" w:eastAsia="Batang" w:hAnsi="Times New Roman" w:cs="Times New Roman"/>
                <w:lang w:eastAsia="ko-KR"/>
              </w:rPr>
              <w:t xml:space="preserve">Общее число </w:t>
            </w:r>
            <w:proofErr w:type="gramStart"/>
            <w:r w:rsidRPr="005B0D7D">
              <w:rPr>
                <w:rFonts w:ascii="Times New Roman" w:eastAsia="Batang" w:hAnsi="Times New Roman" w:cs="Times New Roman"/>
                <w:lang w:eastAsia="ko-KR"/>
              </w:rPr>
              <w:t>просмотров страниц Официального информационного портала органов местного самоуправления</w:t>
            </w:r>
            <w:proofErr w:type="gramEnd"/>
            <w:r w:rsidRPr="005B0D7D">
              <w:rPr>
                <w:rFonts w:ascii="Times New Roman" w:eastAsia="Batang" w:hAnsi="Times New Roman" w:cs="Times New Roman"/>
                <w:lang w:eastAsia="ko-KR"/>
              </w:rPr>
              <w:t xml:space="preserve"> города Ханты-Мансийска, млн. просмотров</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2,1</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2,2</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2,4</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2,6</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3,0</w:t>
            </w:r>
          </w:p>
        </w:tc>
        <w:tc>
          <w:tcPr>
            <w:tcW w:w="935"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4,0</w:t>
            </w:r>
          </w:p>
        </w:tc>
        <w:tc>
          <w:tcPr>
            <w:tcW w:w="1111" w:type="dxa"/>
          </w:tcPr>
          <w:p w:rsidR="005B0D7D" w:rsidRPr="005B0D7D" w:rsidRDefault="005B0D7D" w:rsidP="005B0D7D">
            <w:pPr>
              <w:spacing w:after="0" w:line="240" w:lineRule="auto"/>
              <w:jc w:val="both"/>
              <w:rPr>
                <w:rFonts w:ascii="Times New Roman" w:eastAsia="Batang" w:hAnsi="Times New Roman" w:cs="Times New Roman"/>
                <w:sz w:val="16"/>
                <w:szCs w:val="16"/>
                <w:lang w:eastAsia="ko-KR"/>
              </w:rPr>
            </w:pPr>
            <w:r w:rsidRPr="005B0D7D">
              <w:rPr>
                <w:rFonts w:ascii="Times New Roman" w:eastAsia="Batang" w:hAnsi="Times New Roman" w:cs="Times New Roman"/>
                <w:sz w:val="16"/>
                <w:szCs w:val="16"/>
                <w:lang w:eastAsia="ko-KR"/>
              </w:rPr>
              <w:t>5.0</w:t>
            </w:r>
          </w:p>
        </w:tc>
      </w:tr>
    </w:tbl>
    <w:p w:rsidR="005B0D7D" w:rsidRPr="005B0D7D" w:rsidRDefault="005B0D7D" w:rsidP="005B0D7D">
      <w:pPr>
        <w:keepNext/>
        <w:spacing w:before="240" w:after="60" w:line="240" w:lineRule="auto"/>
        <w:ind w:firstLine="720"/>
        <w:jc w:val="center"/>
        <w:outlineLvl w:val="1"/>
        <w:rPr>
          <w:rFonts w:ascii="Times New Roman" w:eastAsia="Batang" w:hAnsi="Times New Roman" w:cs="Times New Roman"/>
          <w:b/>
          <w:bCs/>
          <w:sz w:val="28"/>
          <w:szCs w:val="28"/>
          <w:lang w:eastAsia="ko-KR"/>
        </w:rPr>
      </w:pPr>
      <w:bookmarkStart w:id="309" w:name="_Toc410639544"/>
      <w:r w:rsidRPr="005B0D7D">
        <w:rPr>
          <w:rFonts w:ascii="Times New Roman" w:eastAsia="Batang" w:hAnsi="Times New Roman" w:cs="Times New Roman"/>
          <w:b/>
          <w:bCs/>
          <w:sz w:val="28"/>
          <w:szCs w:val="28"/>
          <w:lang w:eastAsia="ko-KR"/>
        </w:rPr>
        <w:t>9.3. Риски реализации Стратегии</w:t>
      </w:r>
      <w:bookmarkEnd w:id="309"/>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Эффективность реализации Стратегии в немалой степени определяется снижением отрицательных последствий от следующих рисков.</w:t>
      </w:r>
    </w:p>
    <w:p w:rsidR="005B0D7D" w:rsidRPr="005B0D7D" w:rsidRDefault="005B0D7D" w:rsidP="0085547B">
      <w:pPr>
        <w:numPr>
          <w:ilvl w:val="0"/>
          <w:numId w:val="47"/>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Недостаточное бюджетное финансирование муниципальных программ, реализация которых определяет решение задач Стратегии.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целях минимизации последствий данного риска необходимо выделять в программах приоритетные мероприятия, существенно влияющие на социальный эффект и не подлежащие секвестру, и мероприятия на перспективу, проведение которых при недостатке финансирования может быть отложено на более поздний период.</w:t>
      </w:r>
    </w:p>
    <w:p w:rsidR="005B0D7D" w:rsidRPr="005B0D7D" w:rsidRDefault="005B0D7D" w:rsidP="0085547B">
      <w:pPr>
        <w:numPr>
          <w:ilvl w:val="0"/>
          <w:numId w:val="47"/>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Недостаточная активность органов Администрации города в реализации задач Стратегии, замыкание на текущей деятельности.</w:t>
      </w:r>
    </w:p>
    <w:p w:rsidR="005B0D7D" w:rsidRPr="005B0D7D" w:rsidRDefault="005B0D7D" w:rsidP="005B0D7D">
      <w:pPr>
        <w:tabs>
          <w:tab w:val="left" w:pos="1134"/>
        </w:tabs>
        <w:spacing w:after="0" w:line="240" w:lineRule="auto"/>
        <w:ind w:left="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Нейтрализация данного риска предполагает следующее.</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Разработка четких механизмов реализации Стратегии.</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Проведение мониторинга реализации Стратегии.</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Активизация стратегического мышления муниципальных служащих, в том числе посредством специальных обучающих программ. </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Включение параметра успешности реализации Стратегии в процедуру ведомственной оценки эффективности. </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Поощрение инициативы служащих в деле поиска и применения инновационных механизмов стратегического управления городом.</w:t>
      </w:r>
    </w:p>
    <w:p w:rsidR="005B0D7D" w:rsidRPr="005B0D7D" w:rsidRDefault="005B0D7D" w:rsidP="0085547B">
      <w:pPr>
        <w:numPr>
          <w:ilvl w:val="0"/>
          <w:numId w:val="47"/>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Неиспользование положений Стратегии в муниципальных программах</w:t>
      </w:r>
    </w:p>
    <w:p w:rsidR="005B0D7D" w:rsidRPr="005B0D7D" w:rsidRDefault="005B0D7D" w:rsidP="005B0D7D">
      <w:pPr>
        <w:tabs>
          <w:tab w:val="left" w:pos="1134"/>
        </w:tabs>
        <w:spacing w:after="0" w:line="240" w:lineRule="auto"/>
        <w:ind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Снижение отрицательных последствий данного риска предполагает включение тезиса об обеспечении соответствия между программами и Стратегией в Порядок разработки, реализации и оценки эффективности муниципальных программ.</w:t>
      </w:r>
    </w:p>
    <w:p w:rsidR="005B0D7D" w:rsidRPr="005B0D7D" w:rsidRDefault="005B0D7D" w:rsidP="0085547B">
      <w:pPr>
        <w:numPr>
          <w:ilvl w:val="0"/>
          <w:numId w:val="47"/>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Недостаточное участие </w:t>
      </w:r>
      <w:proofErr w:type="gramStart"/>
      <w:r w:rsidRPr="005B0D7D">
        <w:rPr>
          <w:rFonts w:ascii="Times New Roman" w:eastAsia="Batang" w:hAnsi="Times New Roman" w:cs="Times New Roman"/>
          <w:sz w:val="28"/>
          <w:szCs w:val="28"/>
          <w:lang w:eastAsia="ru-RU"/>
        </w:rPr>
        <w:t>бизнес-сообщества</w:t>
      </w:r>
      <w:proofErr w:type="gramEnd"/>
      <w:r w:rsidRPr="005B0D7D">
        <w:rPr>
          <w:rFonts w:ascii="Times New Roman" w:eastAsia="Batang" w:hAnsi="Times New Roman" w:cs="Times New Roman"/>
          <w:sz w:val="28"/>
          <w:szCs w:val="28"/>
          <w:lang w:eastAsia="ru-RU"/>
        </w:rPr>
        <w:t xml:space="preserve"> в обсуждении и реализации Стратегии</w:t>
      </w:r>
    </w:p>
    <w:p w:rsidR="005B0D7D" w:rsidRPr="005B0D7D" w:rsidRDefault="005B0D7D" w:rsidP="005B0D7D">
      <w:p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Нейтрализация данного риска предполагает следующее.</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Размещение информационного материала на сайте и разработка буклета «Стратегия социально-экономического развития города Ханты-Мансийска до 2020 года и на период до 2030 года: возможности для бизнеса». </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Включение вопроса о стратегическом управлении городом в повестку дня конференции предпринимателей и иных мероприятий с их участием.</w:t>
      </w:r>
    </w:p>
    <w:p w:rsidR="005B0D7D" w:rsidRPr="005B0D7D" w:rsidRDefault="005B0D7D" w:rsidP="0085547B">
      <w:pPr>
        <w:numPr>
          <w:ilvl w:val="0"/>
          <w:numId w:val="47"/>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Недостаточное участие населения в обсуждении и реализации Стратегии</w:t>
      </w:r>
    </w:p>
    <w:p w:rsidR="005B0D7D" w:rsidRPr="005B0D7D" w:rsidRDefault="005B0D7D" w:rsidP="005B0D7D">
      <w:p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Нейтрализация данного риска предполагает следующее.</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Популяризация основных положений Стратегии, разработка буклета «Стратегия социально-экономического развития города Ханты-Мансийска до 2020 года и на период до 2030 года: возможности для населения». </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Организация работы дискуссионных площадок. </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Обсуждение Стратегии на собраниях трудовых коллективов муниципальных учреждений. </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Проведение публичных слушаний с участием профессиональных модераторов. </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Включение вопросов изучения ключевых положений Стратегии в программу внеклассных мероприятий общеобразовательных организаций</w:t>
      </w:r>
    </w:p>
    <w:p w:rsidR="005B0D7D" w:rsidRPr="005B0D7D" w:rsidRDefault="005B0D7D" w:rsidP="0085547B">
      <w:pPr>
        <w:numPr>
          <w:ilvl w:val="0"/>
          <w:numId w:val="47"/>
        </w:numPr>
        <w:tabs>
          <w:tab w:val="left" w:pos="1134"/>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Быстрое устаревание положений Стратегии по причине резкого изменения социально-экономической ситуации</w:t>
      </w:r>
    </w:p>
    <w:p w:rsidR="005B0D7D" w:rsidRPr="005B0D7D" w:rsidRDefault="005B0D7D" w:rsidP="005B0D7D">
      <w:p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Нейтрализация данного риска предполагает следующее.</w:t>
      </w:r>
    </w:p>
    <w:p w:rsidR="005B0D7D" w:rsidRPr="005B0D7D" w:rsidRDefault="005B0D7D" w:rsidP="0085547B">
      <w:pPr>
        <w:numPr>
          <w:ilvl w:val="0"/>
          <w:numId w:val="48"/>
        </w:numPr>
        <w:spacing w:after="0" w:line="240" w:lineRule="auto"/>
        <w:ind w:left="993" w:hanging="284"/>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Отработка процедуры актуализации Стратегии с участием экспертного сообщества.</w:t>
      </w:r>
    </w:p>
    <w:p w:rsidR="005B0D7D" w:rsidRPr="005B0D7D" w:rsidRDefault="005B0D7D" w:rsidP="005B0D7D">
      <w:pPr>
        <w:keepNext/>
        <w:spacing w:before="240" w:after="120" w:line="240" w:lineRule="auto"/>
        <w:ind w:firstLine="720"/>
        <w:jc w:val="center"/>
        <w:outlineLvl w:val="0"/>
        <w:rPr>
          <w:rFonts w:ascii="Times New Roman" w:eastAsia="Batang" w:hAnsi="Times New Roman" w:cs="Times New Roman"/>
          <w:b/>
          <w:bCs/>
          <w:kern w:val="32"/>
          <w:sz w:val="28"/>
          <w:szCs w:val="28"/>
          <w:lang w:eastAsia="ko-KR"/>
        </w:rPr>
      </w:pPr>
      <w:bookmarkStart w:id="310" w:name="_Toc410639545"/>
      <w:r w:rsidRPr="005B0D7D">
        <w:rPr>
          <w:rFonts w:ascii="Times New Roman" w:eastAsia="Batang" w:hAnsi="Times New Roman" w:cs="Times New Roman"/>
          <w:b/>
          <w:bCs/>
          <w:kern w:val="32"/>
          <w:sz w:val="28"/>
          <w:szCs w:val="28"/>
          <w:lang w:eastAsia="ko-KR"/>
        </w:rPr>
        <w:t>10. ОЦЕНКА ФИНАНСОВЫХ РЕСУРСОВ, НЕОБХОДИМЫХ ДЛЯ ДОСТИЖЕНИЯ СТРАТЕГИЧЕСКИХ ЦЕЛЕЙ</w:t>
      </w:r>
      <w:bookmarkEnd w:id="310"/>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 Перспективы и темпы социально-экономического развития города во многом будут определяться объемами инвестиций и реализацией инвестиционных проектов.</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Инвестиции в развитие производственной и социальной инфраструктуры создадут необходимые условия для использования экономического потенциала территории.</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Успешная реализация инвестиционных проектов, направленных на развитие производства и социальной сферы, создаст альтернативу масштабному потоку инвестиций в торгово-посредническую деятельность, что позволит уменьшить риски развития экономики города.</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Инвестиции в реальном секторе экономики будут направлены на создание и модернизацию предприятий в отраслях промышленности, сельского хозяйства, строительства, коммунальной сферы.</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Инвестиции в промышленность будут направлены на развитие производства строительных и отделочных материалов, создание мебельного цеха, развитие </w:t>
      </w:r>
      <w:proofErr w:type="spellStart"/>
      <w:r w:rsidRPr="005B0D7D">
        <w:rPr>
          <w:rFonts w:ascii="Times New Roman" w:eastAsia="Batang" w:hAnsi="Times New Roman" w:cs="Times New Roman"/>
          <w:sz w:val="28"/>
          <w:szCs w:val="28"/>
          <w:lang w:eastAsia="ko-KR"/>
        </w:rPr>
        <w:t>нефтесервисных</w:t>
      </w:r>
      <w:proofErr w:type="spellEnd"/>
      <w:r w:rsidRPr="005B0D7D">
        <w:rPr>
          <w:rFonts w:ascii="Times New Roman" w:eastAsia="Batang" w:hAnsi="Times New Roman" w:cs="Times New Roman"/>
          <w:sz w:val="28"/>
          <w:szCs w:val="28"/>
          <w:lang w:eastAsia="ko-KR"/>
        </w:rPr>
        <w:t xml:space="preserve"> компаний, организацию </w:t>
      </w:r>
      <w:proofErr w:type="spellStart"/>
      <w:r w:rsidRPr="005B0D7D">
        <w:rPr>
          <w:rFonts w:ascii="Times New Roman" w:eastAsia="Batang" w:hAnsi="Times New Roman" w:cs="Times New Roman"/>
          <w:sz w:val="28"/>
          <w:szCs w:val="28"/>
          <w:lang w:eastAsia="ko-KR"/>
        </w:rPr>
        <w:t>мусоропереработки</w:t>
      </w:r>
      <w:proofErr w:type="spellEnd"/>
      <w:r w:rsidRPr="005B0D7D">
        <w:rPr>
          <w:rFonts w:ascii="Times New Roman" w:eastAsia="Batang" w:hAnsi="Times New Roman" w:cs="Times New Roman"/>
          <w:sz w:val="28"/>
          <w:szCs w:val="28"/>
          <w:lang w:eastAsia="ko-KR"/>
        </w:rPr>
        <w:t>. Для развития данных произво</w:t>
      </w:r>
      <w:proofErr w:type="gramStart"/>
      <w:r w:rsidRPr="005B0D7D">
        <w:rPr>
          <w:rFonts w:ascii="Times New Roman" w:eastAsia="Batang" w:hAnsi="Times New Roman" w:cs="Times New Roman"/>
          <w:sz w:val="28"/>
          <w:szCs w:val="28"/>
          <w:lang w:eastAsia="ko-KR"/>
        </w:rPr>
        <w:t>дств тр</w:t>
      </w:r>
      <w:proofErr w:type="gramEnd"/>
      <w:r w:rsidRPr="005B0D7D">
        <w:rPr>
          <w:rFonts w:ascii="Times New Roman" w:eastAsia="Batang" w:hAnsi="Times New Roman" w:cs="Times New Roman"/>
          <w:sz w:val="28"/>
          <w:szCs w:val="28"/>
          <w:lang w:eastAsia="ko-KR"/>
        </w:rPr>
        <w:t>ебуется порядка 750 млн. руб., в том числе 37,5 млн. руб.  средств местного бюджета.</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Инвестиции в агропромышленном комплексе будут направлены на создание и модернизацию предприятий, внедрение современных технологий с учетом требований </w:t>
      </w:r>
      <w:proofErr w:type="spellStart"/>
      <w:r w:rsidRPr="005B0D7D">
        <w:rPr>
          <w:rFonts w:ascii="Times New Roman" w:eastAsia="Batang" w:hAnsi="Times New Roman" w:cs="Times New Roman"/>
          <w:sz w:val="28"/>
          <w:szCs w:val="28"/>
          <w:lang w:eastAsia="ko-KR"/>
        </w:rPr>
        <w:t>энергоэффектиности</w:t>
      </w:r>
      <w:proofErr w:type="spellEnd"/>
      <w:r w:rsidRPr="005B0D7D">
        <w:rPr>
          <w:rFonts w:ascii="Times New Roman" w:eastAsia="Batang" w:hAnsi="Times New Roman" w:cs="Times New Roman"/>
          <w:sz w:val="28"/>
          <w:szCs w:val="28"/>
          <w:lang w:eastAsia="ko-KR"/>
        </w:rPr>
        <w:t xml:space="preserve"> и </w:t>
      </w:r>
      <w:proofErr w:type="spellStart"/>
      <w:r w:rsidRPr="005B0D7D">
        <w:rPr>
          <w:rFonts w:ascii="Times New Roman" w:eastAsia="Batang" w:hAnsi="Times New Roman" w:cs="Times New Roman"/>
          <w:sz w:val="28"/>
          <w:szCs w:val="28"/>
          <w:lang w:eastAsia="ko-KR"/>
        </w:rPr>
        <w:t>экологичности</w:t>
      </w:r>
      <w:proofErr w:type="spellEnd"/>
      <w:r w:rsidRPr="005B0D7D">
        <w:rPr>
          <w:rFonts w:ascii="Times New Roman" w:eastAsia="Batang" w:hAnsi="Times New Roman" w:cs="Times New Roman"/>
          <w:sz w:val="28"/>
          <w:szCs w:val="28"/>
          <w:lang w:eastAsia="ko-KR"/>
        </w:rPr>
        <w:t xml:space="preserve"> производства.  Приоритетными направлениями инвестирования будут:</w:t>
      </w:r>
    </w:p>
    <w:p w:rsidR="005B0D7D" w:rsidRPr="005B0D7D" w:rsidRDefault="005B0D7D" w:rsidP="0085547B">
      <w:pPr>
        <w:numPr>
          <w:ilvl w:val="0"/>
          <w:numId w:val="50"/>
        </w:numPr>
        <w:tabs>
          <w:tab w:val="left" w:pos="0"/>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Создание условий для развития и модернизации рыбной отрасли, повышение эффективности использования и развития ресурсного потенциала </w:t>
      </w:r>
      <w:proofErr w:type="spellStart"/>
      <w:r w:rsidRPr="005B0D7D">
        <w:rPr>
          <w:rFonts w:ascii="Times New Roman" w:eastAsia="Batang" w:hAnsi="Times New Roman" w:cs="Times New Roman"/>
          <w:sz w:val="28"/>
          <w:szCs w:val="28"/>
          <w:lang w:eastAsia="ru-RU"/>
        </w:rPr>
        <w:lastRenderedPageBreak/>
        <w:t>рыбохозяйственного</w:t>
      </w:r>
      <w:proofErr w:type="spellEnd"/>
      <w:r w:rsidRPr="005B0D7D">
        <w:rPr>
          <w:rFonts w:ascii="Times New Roman" w:eastAsia="Batang" w:hAnsi="Times New Roman" w:cs="Times New Roman"/>
          <w:sz w:val="28"/>
          <w:szCs w:val="28"/>
          <w:lang w:eastAsia="ru-RU"/>
        </w:rPr>
        <w:t xml:space="preserve"> комплекса в объеме 46,0 млн. руб. средств местного бюджета.</w:t>
      </w:r>
    </w:p>
    <w:p w:rsidR="005B0D7D" w:rsidRPr="005B0D7D" w:rsidRDefault="005B0D7D" w:rsidP="0085547B">
      <w:pPr>
        <w:numPr>
          <w:ilvl w:val="0"/>
          <w:numId w:val="50"/>
        </w:numPr>
        <w:tabs>
          <w:tab w:val="left" w:pos="0"/>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Поддержка сельскохозяйственного производства и деятельности по заготовке и переработке дикоросов в объеме 736, 6 млн. руб. </w:t>
      </w:r>
    </w:p>
    <w:p w:rsidR="005B0D7D" w:rsidRPr="005B0D7D" w:rsidRDefault="005B0D7D" w:rsidP="0085547B">
      <w:pPr>
        <w:numPr>
          <w:ilvl w:val="0"/>
          <w:numId w:val="50"/>
        </w:numPr>
        <w:tabs>
          <w:tab w:val="left" w:pos="-142"/>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Создание тепличного хозяйства – 104,0 млн. руб.  </w:t>
      </w:r>
    </w:p>
    <w:p w:rsidR="005B0D7D" w:rsidRPr="005B0D7D" w:rsidRDefault="005B0D7D" w:rsidP="0085547B">
      <w:pPr>
        <w:numPr>
          <w:ilvl w:val="0"/>
          <w:numId w:val="50"/>
        </w:numPr>
        <w:tabs>
          <w:tab w:val="left" w:pos="0"/>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Строительство птицефабрики – 705,5 млн. руб.</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Совокупный объем инвестиций в основной капитал агропромышленного комплекса составит  1 592,1 млн. руб., в том числе из местного бюджета 46,0 млн. руб.</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сферу жилищного строительства, в том числе индивидуальное жилищное строительство необходимо привлечь средств в объеме 582 160,1 млн. руб., в том числе 27 013,3 млн. руб.  на развитие индивидуального жилищного строительства. В общем объеме средств, необходимых на жилищное строительство, из бюджета города потребуется 2 910,8 млн. руб.  При этом для решения проблемы ветхого жилья и обеспечения населения благоустроенным жильем  потребуются инвестиции в жилищное строительство на сумму не менее 344,5 млн. руб. средств местного бюджета.  </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proofErr w:type="gramStart"/>
      <w:r w:rsidRPr="005B0D7D">
        <w:rPr>
          <w:rFonts w:ascii="Times New Roman" w:eastAsia="Batang" w:hAnsi="Times New Roman" w:cs="Times New Roman"/>
          <w:sz w:val="28"/>
          <w:szCs w:val="28"/>
          <w:lang w:eastAsia="ko-KR"/>
        </w:rPr>
        <w:t>Совокупный объем инвестиций в сфере коммунального хозяйства ожидается в объеме 25 754,0 млн. руб. в том числе бюджетных средств – 3 072,6 млн. руб. В частности, для строительства, реконструкции и технического перевооружения источников тепловой энергии, а также объектов системы теплоснабжения потребуется 22 504 млн. руб., в том числе 1 125,2 млн. руб. бюджетных средств.</w:t>
      </w:r>
      <w:proofErr w:type="gramEnd"/>
      <w:r w:rsidRPr="005B0D7D">
        <w:rPr>
          <w:rFonts w:ascii="Times New Roman" w:eastAsia="Batang" w:hAnsi="Times New Roman" w:cs="Times New Roman"/>
          <w:sz w:val="28"/>
          <w:szCs w:val="28"/>
          <w:lang w:eastAsia="ko-KR"/>
        </w:rPr>
        <w:t xml:space="preserve"> Реализация инвестиционных проектов в сфере газоснабжения в объеме 1 410,3 млн. руб., в том числе 1 099,5 средств местного бюджета, что позволит обеспечить газом районы новой жилой застройки, индивидуального жилищного строительства, а также промышленную зону. Объем потребности в инвестиционных ресурсах в сфере водоснабжения и водоотведения оценивается в 819,7 млн. руб., в том числе 541,9 млн. руб. средств местного бюджета. Согласно адресной инвестиционной программе, потребуется 1 020,0 млн. руб., в том числе 306,0 средств местного бюджета.</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Развитие транспортной инфраструктуры города будет реализовано посредством строительства, реконструкции и благоустройства улично-дорожной сети, сооружения объектов капитального строительства транспортной системы, что потребует инвестиций в объеме 3 928,1 млн. руб., в том числе 1 885,5 млн. за счет средств местного бюджета. </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На развитие и строительство объектов в социальной сфере (образование, культура и спорт) необходимы средства в объеме 15 434,0 млн. руб., в том числе средства местного бюджета 771,7 млн. руб. </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4"/>
          <w:lang w:eastAsia="ko-KR"/>
        </w:rPr>
        <w:t xml:space="preserve">Дальнейшее развитие туризма требует строительства и реконструкции важнейших туристических объектов нового уровня: мотелей, мини-гостиниц, гостиниц. В настоящее время наиболее актуальной задачей является  завершение строительства современного бальнеологического комплекса «Термальный курорт «Югорская долина» общей площадью </w:t>
      </w:r>
      <w:smartTag w:uri="urn:schemas-microsoft-com:office:smarttags" w:element="metricconverter">
        <w:smartTagPr>
          <w:attr w:name="ProductID" w:val="4 600 кв. м"/>
        </w:smartTagPr>
        <w:r w:rsidRPr="005B0D7D">
          <w:rPr>
            <w:rFonts w:ascii="Times New Roman" w:eastAsia="Batang" w:hAnsi="Times New Roman" w:cs="Times New Roman"/>
            <w:sz w:val="28"/>
            <w:szCs w:val="24"/>
            <w:lang w:eastAsia="ko-KR"/>
          </w:rPr>
          <w:t>4 600 кв. м</w:t>
        </w:r>
      </w:smartTag>
      <w:r w:rsidRPr="005B0D7D">
        <w:rPr>
          <w:rFonts w:ascii="Times New Roman" w:eastAsia="Batang" w:hAnsi="Times New Roman" w:cs="Times New Roman"/>
          <w:sz w:val="28"/>
          <w:szCs w:val="24"/>
          <w:lang w:eastAsia="ko-KR"/>
        </w:rPr>
        <w:t xml:space="preserve">. Общий объем инвестиций составляет 780 млн. руб., для завершения строительства необходимо 353 млн. руб. </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На строительство социально-значимых объектов, внесенных в Перечень инвестиционных проектов, реализуемых на территории города Ханты-Мансийска,  потребуются средства в объеме 118 000 млн. руб. частных инвестиций.</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Общая сумма инвестиций в основной капитал в 2015-2030 годы составит порядка 747 971,3 млн. руб., в том числе:</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средства местного бюджета – 8 724,1 млн. руб.;</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средства окружного бюджета – 22 751,8 млн. руб.;</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привлеченные средства – 716 495,4 млн. руб.</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вложение финансовых ресурсов в достижение стратегических целей позволит наращивать экономический потенциал, повышать инвестиционную привлекательность территории, создавать новые рабочие места, развивать социальную сферу и городскую инфраструктуру.</w:t>
      </w:r>
    </w:p>
    <w:p w:rsidR="005B0D7D" w:rsidRPr="005B0D7D" w:rsidRDefault="005B0D7D" w:rsidP="005B0D7D">
      <w:pPr>
        <w:keepNext/>
        <w:spacing w:before="240" w:after="120" w:line="240" w:lineRule="auto"/>
        <w:ind w:firstLine="720"/>
        <w:jc w:val="center"/>
        <w:outlineLvl w:val="0"/>
        <w:rPr>
          <w:rFonts w:ascii="Times New Roman" w:eastAsia="Batang" w:hAnsi="Times New Roman" w:cs="Times New Roman"/>
          <w:b/>
          <w:bCs/>
          <w:kern w:val="32"/>
          <w:sz w:val="28"/>
          <w:szCs w:val="28"/>
          <w:lang w:eastAsia="ko-KR"/>
        </w:rPr>
      </w:pPr>
      <w:bookmarkStart w:id="311" w:name="_Toc403942024"/>
      <w:bookmarkStart w:id="312" w:name="_Toc404211576"/>
      <w:bookmarkStart w:id="313" w:name="_Toc404218210"/>
      <w:bookmarkStart w:id="314" w:name="_Toc410639546"/>
      <w:r w:rsidRPr="005B0D7D">
        <w:rPr>
          <w:rFonts w:ascii="Times New Roman" w:eastAsia="Batang" w:hAnsi="Times New Roman" w:cs="Times New Roman"/>
          <w:b/>
          <w:bCs/>
          <w:kern w:val="32"/>
          <w:sz w:val="28"/>
          <w:szCs w:val="28"/>
          <w:lang w:eastAsia="ko-KR"/>
        </w:rPr>
        <w:t>11. МЕХАНИЗМЫ РЕАЛИЗАЦИИ СТРАТЕГИИ</w:t>
      </w:r>
      <w:bookmarkEnd w:id="311"/>
      <w:bookmarkEnd w:id="312"/>
      <w:bookmarkEnd w:id="313"/>
      <w:bookmarkEnd w:id="314"/>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315" w:name="_Toc410639547"/>
      <w:r w:rsidRPr="005B0D7D">
        <w:rPr>
          <w:rFonts w:ascii="Times New Roman" w:eastAsia="Batang" w:hAnsi="Times New Roman" w:cs="Times New Roman"/>
          <w:b/>
          <w:bCs/>
          <w:sz w:val="28"/>
          <w:szCs w:val="28"/>
          <w:lang w:eastAsia="ko-KR"/>
        </w:rPr>
        <w:t>11.1. Правовые механизмы</w:t>
      </w:r>
      <w:bookmarkEnd w:id="315"/>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Развитие нормативно-правовой базы, способствующей реализации стратегических целей и задач, планируется осуществлять по следующим отраслевым направлениям.</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развития промышленного и сельскохозяйственного производства, поддержки малого и среднего предпринимательства:</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нормативное закрепление форм и видов поддержки в отношении различных категорий субъектов малого и среднего предпринимательства; развитие конкуренции, закрепление приоритетности поддержки организаторов производства и фермеров; поощрение инновационной деятельности, регламентация деятельности Индустриального парка.</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инвестиционной деятельности:</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регламентация порядка заключения с инвестором инвестиционного договора, особенностей наделения инвесторов различными статусами в зависимости от приоритетности инвестиционных проектов; установление конкретных форм налогового стимулирования, а также различных льгот; увязка налогового бремени с инновационной активностью инвестора и социальной эффективностью проекта, определение форм прямого участия города Ханты-Мансийска в инвестиционном процессе, регулирование развития инвестиционных площадок, порядка предоставления бюджетных инвестиций муниципальным бюджетным и автономным учреждениям города.</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развития потребительского рынка:</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xml:space="preserve">- меры по предоставлению имущества и налоговому стимулированию социально-значимых предприятий торговли и услуг; поддержке логистики; организации </w:t>
      </w:r>
      <w:proofErr w:type="spellStart"/>
      <w:r w:rsidRPr="005B0D7D">
        <w:rPr>
          <w:rFonts w:ascii="Times New Roman" w:eastAsia="Batang" w:hAnsi="Times New Roman" w:cs="Times New Roman"/>
          <w:bCs/>
          <w:sz w:val="28"/>
          <w:szCs w:val="28"/>
          <w:lang w:eastAsia="ko-KR"/>
        </w:rPr>
        <w:t>выставочно</w:t>
      </w:r>
      <w:proofErr w:type="spellEnd"/>
      <w:r w:rsidRPr="005B0D7D">
        <w:rPr>
          <w:rFonts w:ascii="Times New Roman" w:eastAsia="Batang" w:hAnsi="Times New Roman" w:cs="Times New Roman"/>
          <w:bCs/>
          <w:sz w:val="28"/>
          <w:szCs w:val="28"/>
          <w:lang w:eastAsia="ko-KR"/>
        </w:rPr>
        <w:t>-ярмарочной деятельности;</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градостроительные нормативы по обеспечению доступности предприятий торговли и услуг для лиц с ограниченными возможностями; по повышению эстетической привлекательности торговых объектов.</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жилищной сфере:</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lastRenderedPageBreak/>
        <w:t>- меры, направленные на регламентацию отношений с застройщиками, поощрение использования ими инновационных стройматериалов, стимулирование строительства арендного жилья, внедрение технологии молодежного жилищного кооператива для обеспечения доступности жилья.</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социальной защиты:</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xml:space="preserve">- меры, направленные на дополнительную социальную поддержку отдельных категорий граждан, частности, выделение земельных участков многодетным семьям, строительство индивидуальных домов для семей с приемными детьми. </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совершенствование регламентации поддержки общественных организаций, реализующих социально-значимые инициативы.</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образования:</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меры, направленные на развитие системы государственно-частного партнерства, поддержку альтернативных форм дошкольного образования и воспитания; создание современных условий обучения, поддержку талантливых детей; развитие дополнительного образования.</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социально-демографической политики:</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меры, стимулирующие повышение рождаемости, укрепление института семьи, развитие профилактической медицины, формирование здорового образа жизни.</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культуры, туризма, спорта и молодежной политики:</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меры, направленные на развитие профессионального уровня и творческого потенциала работников культуры; поддержку предпринимателей, занимающихся развитием въездного и внутреннего туризма; создание туристского кластера; поощрение массового спорта, развитие адаптивной физической культуры и адаптивного спорта; поддержку молодежных инициатив в различных сферах жизнедеятельности.</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развития дорожно-транспортной инфраструктуры:</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меры, направленные на развитие общественного транспорта, регулирование пассажирских перевозок; градостроительные нормативы, регламентирующие строительство парковок.</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жилищно-коммунального хозяйства:</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proofErr w:type="gramStart"/>
      <w:r w:rsidRPr="005B0D7D">
        <w:rPr>
          <w:rFonts w:ascii="Times New Roman" w:eastAsia="Batang" w:hAnsi="Times New Roman" w:cs="Times New Roman"/>
          <w:bCs/>
          <w:sz w:val="28"/>
          <w:szCs w:val="28"/>
          <w:lang w:eastAsia="ko-KR"/>
        </w:rPr>
        <w:t>- меры, регламентирующие применение концессионных механизмов в отношении инженерных сетей и иных объектов коммунальной инфраструктуры; меры, направленные на оптимизацию взаимодействия Администрации города с управляющими компаниями; меры по повышению инвестиционной привлекательности города в части упрощения процедур технологического подключения к сетям.</w:t>
      </w:r>
      <w:proofErr w:type="gramEnd"/>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предупреждения чрезвычайной ситуации и обеспечения личной безопасности граждан:</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xml:space="preserve">- меры по созданию и организации деятельности единой дежурно-диспетчерской службы, спасательной станции; </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xml:space="preserve">- меры, направленные на защиту информации в области мобилизационной подготовки; управление защитными сооружениями гражданской обороны; меры по организации антитеррористической защищенности, противодействию </w:t>
      </w:r>
      <w:r w:rsidRPr="005B0D7D">
        <w:rPr>
          <w:rFonts w:ascii="Times New Roman" w:eastAsia="Batang" w:hAnsi="Times New Roman" w:cs="Times New Roman"/>
          <w:bCs/>
          <w:sz w:val="28"/>
          <w:szCs w:val="28"/>
          <w:lang w:eastAsia="ko-KR"/>
        </w:rPr>
        <w:lastRenderedPageBreak/>
        <w:t>экстремизму, использованию потенциала общественных организаций для охраны общественного порядка.</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информатизации и совершенствования муниципального управления:</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меры по регламентации предоставления муниципальных услуг в электронном виде, организации межведомственного электронного взаимодействия;</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меры по регламентированию профессионального развития муниципальных служащих, кадровых технологий наставничества, аттестации служащих, работы с кадровым резервом, ротации.</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В сфере муниципальных финансов и имущества:</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установление нормативов финансовых затрат на предоставление муниципальных услуг, корректировка требований к муниципальным заданиям в части соблюдения нормативов финансовых затрат, совершенствование регламентации ставок арендной платы за земельные участки, находящиеся в муниципальной собственности</w:t>
      </w:r>
    </w:p>
    <w:p w:rsidR="005B0D7D" w:rsidRPr="005B0D7D" w:rsidRDefault="005B0D7D" w:rsidP="005B0D7D">
      <w:pPr>
        <w:spacing w:after="0" w:line="240" w:lineRule="auto"/>
        <w:ind w:firstLine="709"/>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меры по совершенствованию учета объектов муниципальной собственности, вовлечения в оборот земельных участков, управления бесхозяйным имуществом.</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Правовое обеспечение управления реализацией Стратегии социально-экономического развития города Ханты-Мансийска до 2020 года и на период до 2030 года предполагает утверждение ряда новых локальных актов:</w:t>
      </w:r>
    </w:p>
    <w:p w:rsidR="005B0D7D" w:rsidRPr="005B0D7D" w:rsidRDefault="005B0D7D" w:rsidP="005B0D7D">
      <w:pPr>
        <w:numPr>
          <w:ilvl w:val="0"/>
          <w:numId w:val="17"/>
        </w:num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Решение Думы города Ханты-Мансийска об утверждении Стратегии социально-экономического развития города Ханты-Мансийска до </w:t>
      </w:r>
      <w:r w:rsidRPr="005B0D7D">
        <w:rPr>
          <w:rFonts w:ascii="Times New Roman" w:eastAsia="Batang" w:hAnsi="Times New Roman" w:cs="Times New Roman"/>
          <w:sz w:val="28"/>
          <w:szCs w:val="24"/>
          <w:lang w:eastAsia="ko-KR"/>
        </w:rPr>
        <w:t xml:space="preserve">2020 года и на период </w:t>
      </w:r>
      <w:r w:rsidRPr="005B0D7D">
        <w:rPr>
          <w:rFonts w:ascii="Times New Roman" w:eastAsia="Batang" w:hAnsi="Times New Roman" w:cs="Times New Roman"/>
          <w:sz w:val="28"/>
          <w:szCs w:val="28"/>
          <w:lang w:eastAsia="ko-KR"/>
        </w:rPr>
        <w:t>до 2030 года – основополагающий документ, встраивающий настоящую Стратегию в правовое поле.</w:t>
      </w:r>
    </w:p>
    <w:p w:rsidR="005B0D7D" w:rsidRPr="005B0D7D" w:rsidRDefault="005B0D7D" w:rsidP="005B0D7D">
      <w:pPr>
        <w:numPr>
          <w:ilvl w:val="0"/>
          <w:numId w:val="17"/>
        </w:num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Локальный акт, закрепляющий за органами Администрации города Ханты-Мансийска решение стратегических задач и достижение плановых значений показателей. </w:t>
      </w:r>
    </w:p>
    <w:p w:rsidR="005B0D7D" w:rsidRPr="005B0D7D" w:rsidRDefault="005B0D7D" w:rsidP="005B0D7D">
      <w:pPr>
        <w:numPr>
          <w:ilvl w:val="0"/>
          <w:numId w:val="17"/>
        </w:num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Положение об экспертном сопровождении реализации Стратегии социально-экономического развития города Ханты-Мансийска </w:t>
      </w:r>
      <w:r w:rsidRPr="005B0D7D">
        <w:rPr>
          <w:rFonts w:ascii="Times New Roman" w:eastAsia="Batang" w:hAnsi="Times New Roman" w:cs="Times New Roman"/>
          <w:sz w:val="28"/>
          <w:szCs w:val="24"/>
          <w:lang w:eastAsia="ko-KR"/>
        </w:rPr>
        <w:t xml:space="preserve">до 2020 года и на период </w:t>
      </w:r>
      <w:r w:rsidRPr="005B0D7D">
        <w:rPr>
          <w:rFonts w:ascii="Times New Roman" w:eastAsia="Batang" w:hAnsi="Times New Roman" w:cs="Times New Roman"/>
          <w:sz w:val="28"/>
          <w:szCs w:val="28"/>
          <w:lang w:eastAsia="ko-KR"/>
        </w:rPr>
        <w:t>до 2030 года.</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Также целесообразно внесение изменений в действующие локальные акты. Положение о Молодежном совете при Главе Администрации города Ханты-Мансийска следует дополнить пунктом об участии молодых людей в обсуждении Стратегии социально-экономического развития города Ханты-Мансийска </w:t>
      </w:r>
      <w:r w:rsidRPr="005B0D7D">
        <w:rPr>
          <w:rFonts w:ascii="Times New Roman" w:eastAsia="Batang" w:hAnsi="Times New Roman" w:cs="Times New Roman"/>
          <w:sz w:val="28"/>
          <w:szCs w:val="24"/>
          <w:lang w:eastAsia="ko-KR"/>
        </w:rPr>
        <w:t xml:space="preserve">до 2020 года и на период </w:t>
      </w:r>
      <w:r w:rsidRPr="005B0D7D">
        <w:rPr>
          <w:rFonts w:ascii="Times New Roman" w:eastAsia="Batang" w:hAnsi="Times New Roman" w:cs="Times New Roman"/>
          <w:sz w:val="28"/>
          <w:szCs w:val="28"/>
          <w:lang w:eastAsia="ko-KR"/>
        </w:rPr>
        <w:t>до 2030 года и иных документов стратегического планирования с последующим внесением предложений по их совершенствованию. В новой редакции Положения об экспертном совете при Главе Администрации города Ханты-Мансийска необходимо учесть участие Совета в контроле хода реализации Стратегии.</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Необходимо внесение комплекса изменений в положения об органах Администрации и должностные инструкции, включив в функционал органов и муниципальных служащих деятельность по реализации Стратегии.</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Совершенствование отраслевой нормативно-правовой базы и издание серии локальных актов, непосредственно регламентирующих стратегическое управление городом, создаст основу для успешной реализации Стратегии.</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316" w:name="_Toc410639548"/>
      <w:r w:rsidRPr="005B0D7D">
        <w:rPr>
          <w:rFonts w:ascii="Times New Roman" w:eastAsia="Batang" w:hAnsi="Times New Roman" w:cs="Times New Roman"/>
          <w:b/>
          <w:bCs/>
          <w:sz w:val="28"/>
          <w:szCs w:val="28"/>
          <w:lang w:eastAsia="ko-KR"/>
        </w:rPr>
        <w:t>11.2. Организационные механизмы</w:t>
      </w:r>
      <w:bookmarkEnd w:id="316"/>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Одним из условий обеспечения эффективности стратегического управления городом является распределение функций и обязанностей по реализации Стратегии между органами местного самоуправления в соответствии с их компетенцией и представителями местного сообщества: </w:t>
      </w:r>
      <w:proofErr w:type="gramStart"/>
      <w:r w:rsidRPr="005B0D7D">
        <w:rPr>
          <w:rFonts w:ascii="Times New Roman" w:eastAsia="Batang" w:hAnsi="Times New Roman" w:cs="Times New Roman"/>
          <w:sz w:val="28"/>
          <w:szCs w:val="28"/>
          <w:lang w:eastAsia="ko-KR"/>
        </w:rPr>
        <w:t>бизнес-структур</w:t>
      </w:r>
      <w:proofErr w:type="gramEnd"/>
      <w:r w:rsidRPr="005B0D7D">
        <w:rPr>
          <w:rFonts w:ascii="Times New Roman" w:eastAsia="Batang" w:hAnsi="Times New Roman" w:cs="Times New Roman"/>
          <w:sz w:val="28"/>
          <w:szCs w:val="28"/>
          <w:lang w:eastAsia="ko-KR"/>
        </w:rPr>
        <w:t>, общественных организаций и жителей города. Вовлечению молодежи в процесс обсуждения и реализации Стратегии будут способствовать городские коммуникационные площадки, в том числе Молодежный совет при Главе Администрации города. К обсуждению Стратегии и участию в реализации мероприятий могут привлекаться территориальные органы федеральных структур, органы исполнительной власти Ханты-Мансийского автономного округа – Югры.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roofErr w:type="gramStart"/>
      <w:r w:rsidRPr="005B0D7D">
        <w:rPr>
          <w:rFonts w:ascii="Times New Roman" w:eastAsia="Batang" w:hAnsi="Times New Roman" w:cs="Times New Roman"/>
          <w:sz w:val="28"/>
          <w:szCs w:val="28"/>
          <w:lang w:eastAsia="ko-KR"/>
        </w:rPr>
        <w:t>В целях организации взаимодействия органов местного самоуправления, общественных организаций, бизнес структур и жителей города координацию деятельности по управлению реализацией Стратегии  осуществляет Экспертный совет при Главе Администрации города, утвержденный постановлением Администрации города Ханты-Мансийска от 28.01.2013 года № 43 «О создании Экспертного совета при Главе Администрации города Ханты-Мансийска»,  в расширенном составе, с участием представителей органов местного самоуправления.</w:t>
      </w:r>
      <w:proofErr w:type="gramEnd"/>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Функциями Совета в части обеспечения реализации Стратегии являются:</w:t>
      </w:r>
    </w:p>
    <w:p w:rsidR="005B0D7D" w:rsidRPr="005B0D7D" w:rsidRDefault="005B0D7D" w:rsidP="009F2D02">
      <w:pPr>
        <w:numPr>
          <w:ilvl w:val="0"/>
          <w:numId w:val="18"/>
        </w:numPr>
        <w:tabs>
          <w:tab w:val="clear" w:pos="144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обсуждение вопросов, связанных с реализацией Стратегии;</w:t>
      </w:r>
    </w:p>
    <w:p w:rsidR="005B0D7D" w:rsidRPr="005B0D7D" w:rsidRDefault="005B0D7D" w:rsidP="009F2D02">
      <w:pPr>
        <w:numPr>
          <w:ilvl w:val="0"/>
          <w:numId w:val="18"/>
        </w:numPr>
        <w:tabs>
          <w:tab w:val="clear" w:pos="144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осуществление общественной </w:t>
      </w:r>
      <w:proofErr w:type="gramStart"/>
      <w:r w:rsidRPr="005B0D7D">
        <w:rPr>
          <w:rFonts w:ascii="Times New Roman" w:eastAsia="Batang" w:hAnsi="Times New Roman" w:cs="Times New Roman"/>
          <w:sz w:val="28"/>
          <w:szCs w:val="28"/>
          <w:lang w:eastAsia="ko-KR"/>
        </w:rPr>
        <w:t>экспертизы проектов нормативных правовых актов органов местного самоуправления</w:t>
      </w:r>
      <w:proofErr w:type="gramEnd"/>
      <w:r w:rsidRPr="005B0D7D">
        <w:rPr>
          <w:rFonts w:ascii="Times New Roman" w:eastAsia="Batang" w:hAnsi="Times New Roman" w:cs="Times New Roman"/>
          <w:sz w:val="28"/>
          <w:szCs w:val="28"/>
          <w:lang w:eastAsia="ko-KR"/>
        </w:rPr>
        <w:t xml:space="preserve"> по вопросам реализации Стратегии;</w:t>
      </w:r>
    </w:p>
    <w:p w:rsidR="005B0D7D" w:rsidRPr="005B0D7D" w:rsidRDefault="005B0D7D" w:rsidP="009F2D02">
      <w:pPr>
        <w:numPr>
          <w:ilvl w:val="0"/>
          <w:numId w:val="18"/>
        </w:numPr>
        <w:tabs>
          <w:tab w:val="clear" w:pos="144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подготовка предложений органам местного самоуправления по вопросам реализации Стратегии;</w:t>
      </w:r>
    </w:p>
    <w:p w:rsidR="005B0D7D" w:rsidRPr="005B0D7D" w:rsidRDefault="005B0D7D" w:rsidP="009F2D02">
      <w:pPr>
        <w:numPr>
          <w:ilvl w:val="0"/>
          <w:numId w:val="18"/>
        </w:numPr>
        <w:tabs>
          <w:tab w:val="clear" w:pos="144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заслушивание доклада о реализации Стратегии перед вынесением его на заседание Думы города Ханты-Мансийска;</w:t>
      </w:r>
    </w:p>
    <w:p w:rsidR="005B0D7D" w:rsidRPr="005B0D7D" w:rsidRDefault="005B0D7D" w:rsidP="009F2D02">
      <w:pPr>
        <w:numPr>
          <w:ilvl w:val="0"/>
          <w:numId w:val="18"/>
        </w:numPr>
        <w:tabs>
          <w:tab w:val="clear" w:pos="144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инициирование решения об актуализации Стратегии;</w:t>
      </w:r>
    </w:p>
    <w:p w:rsidR="005B0D7D" w:rsidRPr="005B0D7D" w:rsidRDefault="005B0D7D" w:rsidP="009F2D02">
      <w:pPr>
        <w:numPr>
          <w:ilvl w:val="0"/>
          <w:numId w:val="18"/>
        </w:numPr>
        <w:tabs>
          <w:tab w:val="clear" w:pos="144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утверждение плана мероприятий по реализации Стратегии;</w:t>
      </w:r>
    </w:p>
    <w:p w:rsidR="005B0D7D" w:rsidRPr="005B0D7D" w:rsidRDefault="005B0D7D" w:rsidP="009F2D02">
      <w:pPr>
        <w:numPr>
          <w:ilvl w:val="0"/>
          <w:numId w:val="18"/>
        </w:numPr>
        <w:tabs>
          <w:tab w:val="clear" w:pos="1440"/>
          <w:tab w:val="num" w:pos="0"/>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иные координационные и методические функции, относящиеся к сфере деятельности Совета.</w:t>
      </w:r>
    </w:p>
    <w:p w:rsidR="005B0D7D" w:rsidRPr="005B0D7D" w:rsidRDefault="005B0D7D" w:rsidP="005B0D7D">
      <w:pPr>
        <w:tabs>
          <w:tab w:val="left" w:pos="1080"/>
        </w:tabs>
        <w:spacing w:before="120" w:after="0" w:line="240" w:lineRule="auto"/>
        <w:ind w:firstLine="709"/>
        <w:jc w:val="both"/>
        <w:rPr>
          <w:rFonts w:ascii="Times New Roman" w:eastAsia="Batang" w:hAnsi="Times New Roman" w:cs="Times New Roman"/>
          <w:b/>
          <w:i/>
          <w:sz w:val="28"/>
          <w:szCs w:val="28"/>
          <w:lang w:eastAsia="ko-KR"/>
        </w:rPr>
      </w:pPr>
      <w:r w:rsidRPr="005B0D7D">
        <w:rPr>
          <w:rFonts w:ascii="Times New Roman" w:eastAsia="Batang" w:hAnsi="Times New Roman" w:cs="Times New Roman"/>
          <w:b/>
          <w:i/>
          <w:sz w:val="28"/>
          <w:szCs w:val="28"/>
          <w:lang w:eastAsia="ko-KR"/>
        </w:rPr>
        <w:t>Мониторинг реализации стратегии</w:t>
      </w:r>
    </w:p>
    <w:p w:rsidR="005B0D7D" w:rsidRPr="005B0D7D" w:rsidRDefault="005B0D7D" w:rsidP="005B0D7D">
      <w:pPr>
        <w:tabs>
          <w:tab w:val="left" w:pos="1080"/>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Значимой частью реализации Стратегии является система мониторинга, основная цель которого – проверка соответствия фактического состояния дел показателям Стратегии и обеспечение эффективного движения в направлении установленных ею целей.</w:t>
      </w:r>
    </w:p>
    <w:p w:rsidR="005B0D7D" w:rsidRPr="005B0D7D" w:rsidRDefault="005B0D7D" w:rsidP="005B0D7D">
      <w:pPr>
        <w:tabs>
          <w:tab w:val="left" w:pos="1080"/>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Система мониторинга включает:</w:t>
      </w:r>
    </w:p>
    <w:p w:rsidR="005B0D7D" w:rsidRPr="005B0D7D" w:rsidRDefault="005B0D7D" w:rsidP="005B0D7D">
      <w:pPr>
        <w:tabs>
          <w:tab w:val="left" w:pos="1134"/>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1) сбор и обработку информации о состоянии сфер жизнедеятельности города, развитие которых предполагает Стратегия;</w:t>
      </w:r>
    </w:p>
    <w:p w:rsidR="005B0D7D" w:rsidRPr="005B0D7D" w:rsidRDefault="005B0D7D" w:rsidP="005B0D7D">
      <w:pPr>
        <w:tabs>
          <w:tab w:val="left" w:pos="1134"/>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определение степени достижения плановых значений стратегических показателей.</w:t>
      </w:r>
    </w:p>
    <w:p w:rsidR="005B0D7D" w:rsidRPr="005B0D7D" w:rsidRDefault="005B0D7D" w:rsidP="005B0D7D">
      <w:pPr>
        <w:tabs>
          <w:tab w:val="left" w:pos="1134"/>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w:t>
      </w:r>
      <w:r w:rsidRPr="005B0D7D">
        <w:rPr>
          <w:rFonts w:ascii="Times New Roman" w:eastAsia="Batang" w:hAnsi="Times New Roman" w:cs="Times New Roman"/>
          <w:sz w:val="28"/>
          <w:szCs w:val="28"/>
          <w:lang w:eastAsia="ko-KR"/>
        </w:rPr>
        <w:tab/>
        <w:t>изучение изменений в экономике и социальной сфере, идентификация внешних и внутренних факторов и оценка их влияния на реализацию Стратегии в целом и на отдельные социально-экономические показатели;</w:t>
      </w:r>
    </w:p>
    <w:p w:rsidR="005B0D7D" w:rsidRPr="005B0D7D" w:rsidRDefault="005B0D7D" w:rsidP="005B0D7D">
      <w:pPr>
        <w:tabs>
          <w:tab w:val="left" w:pos="1134"/>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w:t>
      </w:r>
      <w:r w:rsidRPr="005B0D7D">
        <w:rPr>
          <w:rFonts w:ascii="Times New Roman" w:eastAsia="Batang" w:hAnsi="Times New Roman" w:cs="Times New Roman"/>
          <w:sz w:val="28"/>
          <w:szCs w:val="28"/>
          <w:lang w:eastAsia="ko-KR"/>
        </w:rPr>
        <w:tab/>
        <w:t>оценку экономической эффективности инвестиционных предложений и мероприятий, требующих затрат из местного бюджета;</w:t>
      </w:r>
    </w:p>
    <w:p w:rsidR="005B0D7D" w:rsidRPr="005B0D7D" w:rsidRDefault="005B0D7D" w:rsidP="005B0D7D">
      <w:pPr>
        <w:tabs>
          <w:tab w:val="left" w:pos="1134"/>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w:t>
      </w:r>
      <w:r w:rsidRPr="005B0D7D">
        <w:rPr>
          <w:rFonts w:ascii="Times New Roman" w:eastAsia="Batang" w:hAnsi="Times New Roman" w:cs="Times New Roman"/>
          <w:sz w:val="28"/>
          <w:szCs w:val="28"/>
          <w:lang w:eastAsia="ko-KR"/>
        </w:rPr>
        <w:tab/>
        <w:t>анализ подходов к реализации Стратегии, практикуемых различными органами, выявление передового опыта.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Правила использования результатов мониторинга реализации Стратегии закрепляются нормативным актом органов местного самоуправления. Результаты мониторинга публикуются в муниципальных средствах массовой информации.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 основе мониторинга могут формулироваться предложения по актуализации отдельных положений Стратегии либо документа в целом.</w:t>
      </w:r>
    </w:p>
    <w:p w:rsidR="005B0D7D" w:rsidRPr="005B0D7D" w:rsidRDefault="005B0D7D" w:rsidP="005B0D7D">
      <w:pPr>
        <w:spacing w:before="120" w:after="0" w:line="240" w:lineRule="auto"/>
        <w:ind w:firstLine="720"/>
        <w:jc w:val="both"/>
        <w:rPr>
          <w:rFonts w:ascii="Times New Roman" w:eastAsia="Batang" w:hAnsi="Times New Roman" w:cs="Times New Roman"/>
          <w:b/>
          <w:i/>
          <w:sz w:val="28"/>
          <w:szCs w:val="28"/>
          <w:lang w:eastAsia="ko-KR"/>
        </w:rPr>
      </w:pPr>
      <w:r w:rsidRPr="005B0D7D">
        <w:rPr>
          <w:rFonts w:ascii="Times New Roman" w:eastAsia="Batang" w:hAnsi="Times New Roman" w:cs="Times New Roman"/>
          <w:b/>
          <w:i/>
          <w:sz w:val="28"/>
          <w:szCs w:val="28"/>
          <w:lang w:eastAsia="ko-KR"/>
        </w:rPr>
        <w:t xml:space="preserve">Актуализация Стратегии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Система актуализации Стратегии призвана обеспечить приведение ее целей, задач, концептуального обоснования развития сфер жизнедеятельности, показателей и иных элементов в соответствие текущей социально-экономической ситуации. Необходимость в актуализации Стратегии может быть обусловлена изменениями федеральной и региональной политики, а также иными обстоятельствами, существенно влияющими на развитие города Ханты-Мансийска.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Система актуализации Стратегии включает: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1) сбор предложений от участников стратегического процесса: органов местного самоуправления, бюджетных учреждений, </w:t>
      </w:r>
      <w:proofErr w:type="gramStart"/>
      <w:r w:rsidRPr="005B0D7D">
        <w:rPr>
          <w:rFonts w:ascii="Times New Roman" w:eastAsia="Batang" w:hAnsi="Times New Roman" w:cs="Times New Roman"/>
          <w:sz w:val="28"/>
          <w:szCs w:val="28"/>
          <w:lang w:eastAsia="ko-KR"/>
        </w:rPr>
        <w:t>бизнес-структур</w:t>
      </w:r>
      <w:proofErr w:type="gramEnd"/>
      <w:r w:rsidRPr="005B0D7D">
        <w:rPr>
          <w:rFonts w:ascii="Times New Roman" w:eastAsia="Batang" w:hAnsi="Times New Roman" w:cs="Times New Roman"/>
          <w:sz w:val="28"/>
          <w:szCs w:val="28"/>
          <w:lang w:eastAsia="ko-KR"/>
        </w:rPr>
        <w:t>, общественных организаций и населения;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проведение аналитических исследований, позволяющих оценить текущее состояние и потенциал развития города Ханты-Мансийска, с целью формирования представлений об условиях и источниках развития сфер жизнедеятельности города на следующий плановый период;</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уточнение перечня целей, задач, подходов к их решению, а также показателей и иных элементов Стратегии;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планирование бюджетных ресурсов на среднесрочную перспективу;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5) проведение стратегических сессий, позволяющих активизировать стратегическое мышление муниципальных служащих, руководителей муниципальных учреждений и предприятий, ученых и общественности. Стратегическая сессия может включать </w:t>
      </w:r>
      <w:proofErr w:type="spellStart"/>
      <w:r w:rsidRPr="005B0D7D">
        <w:rPr>
          <w:rFonts w:ascii="Times New Roman" w:eastAsia="Batang" w:hAnsi="Times New Roman" w:cs="Times New Roman"/>
          <w:sz w:val="28"/>
          <w:szCs w:val="28"/>
          <w:lang w:eastAsia="ko-KR"/>
        </w:rPr>
        <w:t>коучинг</w:t>
      </w:r>
      <w:proofErr w:type="spellEnd"/>
      <w:r w:rsidRPr="005B0D7D">
        <w:rPr>
          <w:rFonts w:ascii="Times New Roman" w:eastAsia="Batang" w:hAnsi="Times New Roman" w:cs="Times New Roman"/>
          <w:sz w:val="28"/>
          <w:szCs w:val="28"/>
          <w:lang w:eastAsia="ko-KR"/>
        </w:rPr>
        <w:t>, подготовку индивидуальных и групповых проектов, научно-практический семинар, организационно-</w:t>
      </w:r>
      <w:proofErr w:type="spellStart"/>
      <w:r w:rsidRPr="005B0D7D">
        <w:rPr>
          <w:rFonts w:ascii="Times New Roman" w:eastAsia="Batang" w:hAnsi="Times New Roman" w:cs="Times New Roman"/>
          <w:sz w:val="28"/>
          <w:szCs w:val="28"/>
          <w:lang w:eastAsia="ko-KR"/>
        </w:rPr>
        <w:t>деятельностную</w:t>
      </w:r>
      <w:proofErr w:type="spellEnd"/>
      <w:r w:rsidRPr="005B0D7D">
        <w:rPr>
          <w:rFonts w:ascii="Times New Roman" w:eastAsia="Batang" w:hAnsi="Times New Roman" w:cs="Times New Roman"/>
          <w:sz w:val="28"/>
          <w:szCs w:val="28"/>
          <w:lang w:eastAsia="ko-KR"/>
        </w:rPr>
        <w:t xml:space="preserve"> игру, мозговой штурм.</w:t>
      </w:r>
    </w:p>
    <w:p w:rsidR="005B0D7D" w:rsidRPr="005B0D7D" w:rsidRDefault="005B0D7D" w:rsidP="005B0D7D">
      <w:pPr>
        <w:tabs>
          <w:tab w:val="left" w:pos="1134"/>
        </w:tabs>
        <w:spacing w:after="0" w:line="240" w:lineRule="auto"/>
        <w:ind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В период актуализации Стратегии рекомендуется создавать рабочую группу, в которую войдут представители органов местного самоуправления города Ханты-Мансийска, эксперты и общественность. Рабочая группа </w:t>
      </w:r>
      <w:r w:rsidRPr="005B0D7D">
        <w:rPr>
          <w:rFonts w:ascii="Times New Roman" w:eastAsia="Batang" w:hAnsi="Times New Roman" w:cs="Times New Roman"/>
          <w:sz w:val="28"/>
          <w:szCs w:val="28"/>
          <w:lang w:eastAsia="ru-RU"/>
        </w:rPr>
        <w:lastRenderedPageBreak/>
        <w:t xml:space="preserve">аккумулирует поступающие предложения по изменению документа и организовывает их рассмотрение. По итогам экспертизы выносится решение о целесообразности учета каждого поступившего предложения. </w:t>
      </w:r>
    </w:p>
    <w:p w:rsidR="005B0D7D" w:rsidRPr="005B0D7D" w:rsidRDefault="005B0D7D" w:rsidP="005B0D7D">
      <w:pPr>
        <w:tabs>
          <w:tab w:val="left" w:pos="1134"/>
        </w:tabs>
        <w:spacing w:after="0" w:line="240" w:lineRule="auto"/>
        <w:ind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Сам процесс актуализации Стратегии осуществляется силами рабочей группы либо с привлечением стороннего исполнителя.</w:t>
      </w:r>
    </w:p>
    <w:p w:rsidR="005B0D7D" w:rsidRPr="005B0D7D" w:rsidRDefault="005B0D7D" w:rsidP="005B0D7D">
      <w:pPr>
        <w:tabs>
          <w:tab w:val="left" w:pos="1134"/>
        </w:tabs>
        <w:spacing w:after="0" w:line="240" w:lineRule="auto"/>
        <w:ind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По итогам актуализации Стратегии готовится уточненный вариант проекта локального акта об утверждении Стратегии в новой редакции. </w:t>
      </w:r>
    </w:p>
    <w:p w:rsidR="005B0D7D" w:rsidRPr="005B0D7D" w:rsidRDefault="005B0D7D" w:rsidP="005B0D7D">
      <w:pPr>
        <w:spacing w:before="120" w:after="0" w:line="240" w:lineRule="auto"/>
        <w:ind w:firstLine="720"/>
        <w:jc w:val="both"/>
        <w:rPr>
          <w:rFonts w:ascii="Times New Roman" w:eastAsia="Batang" w:hAnsi="Times New Roman" w:cs="Times New Roman"/>
          <w:b/>
          <w:i/>
          <w:sz w:val="28"/>
          <w:szCs w:val="28"/>
          <w:lang w:eastAsia="ko-KR"/>
        </w:rPr>
      </w:pPr>
      <w:r w:rsidRPr="005B0D7D">
        <w:rPr>
          <w:rFonts w:ascii="Times New Roman" w:eastAsia="Batang" w:hAnsi="Times New Roman" w:cs="Times New Roman"/>
          <w:b/>
          <w:i/>
          <w:sz w:val="28"/>
          <w:szCs w:val="28"/>
          <w:lang w:eastAsia="ko-KR"/>
        </w:rPr>
        <w:t>Доклад о ходе реализации Стратегии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Начиная с 2015 года, Администрацией города Ханты-Мансийска будет готовиться ежегодный доклад о ходе реализации Стратегии, в котором будут отражаться достигнутые результаты, их соответствие намеченным целям и показателям. </w:t>
      </w:r>
      <w:proofErr w:type="gramStart"/>
      <w:r w:rsidRPr="005B0D7D">
        <w:rPr>
          <w:rFonts w:ascii="Times New Roman" w:eastAsia="Batang" w:hAnsi="Times New Roman" w:cs="Times New Roman"/>
          <w:sz w:val="28"/>
          <w:szCs w:val="28"/>
          <w:lang w:eastAsia="ko-KR"/>
        </w:rPr>
        <w:t>В докладе 1) освещаются факты опережения/отставания по группам показателей; 2) определяются внешние и внутренние причины, способствующие либо препятствующие достижению плановых значений показателей; 3) дается оценка эффективности проведенных мероприятий в части их фактического влияния на показатель; 4) по возможности отражаются технологии либо лучше практики решения аналогичных проблем в сравнении с другими муниципальными образованиями.</w:t>
      </w:r>
      <w:proofErr w:type="gramEnd"/>
    </w:p>
    <w:p w:rsidR="005B0D7D" w:rsidRPr="005B0D7D" w:rsidRDefault="005B0D7D" w:rsidP="005B0D7D">
      <w:pPr>
        <w:keepNext/>
        <w:spacing w:before="240" w:after="60" w:line="240" w:lineRule="auto"/>
        <w:ind w:left="624"/>
        <w:jc w:val="both"/>
        <w:outlineLvl w:val="1"/>
        <w:rPr>
          <w:rFonts w:ascii="Times New Roman" w:eastAsia="Batang" w:hAnsi="Times New Roman" w:cs="Times New Roman"/>
          <w:b/>
          <w:bCs/>
          <w:sz w:val="28"/>
          <w:szCs w:val="28"/>
          <w:lang w:eastAsia="ko-KR"/>
        </w:rPr>
      </w:pPr>
      <w:bookmarkStart w:id="317" w:name="_Toc410639549"/>
      <w:r w:rsidRPr="005B0D7D">
        <w:rPr>
          <w:rFonts w:ascii="Times New Roman" w:eastAsia="Batang" w:hAnsi="Times New Roman" w:cs="Times New Roman"/>
          <w:b/>
          <w:bCs/>
          <w:sz w:val="28"/>
          <w:szCs w:val="28"/>
          <w:lang w:eastAsia="ko-KR"/>
        </w:rPr>
        <w:t>11.3. Финансовые механизмы</w:t>
      </w:r>
      <w:bookmarkEnd w:id="317"/>
      <w:r w:rsidRPr="005B0D7D">
        <w:rPr>
          <w:rFonts w:ascii="Times New Roman" w:eastAsia="Batang" w:hAnsi="Times New Roman" w:cs="Times New Roman"/>
          <w:b/>
          <w:bCs/>
          <w:sz w:val="28"/>
          <w:szCs w:val="28"/>
          <w:lang w:eastAsia="ko-KR"/>
        </w:rPr>
        <w:t xml:space="preserve">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Финансовые механизмы реализации Стратегии включают следующие элементы.</w:t>
      </w:r>
    </w:p>
    <w:p w:rsidR="005B0D7D" w:rsidRPr="005B0D7D" w:rsidRDefault="005B0D7D" w:rsidP="0085547B">
      <w:pPr>
        <w:numPr>
          <w:ilvl w:val="0"/>
          <w:numId w:val="46"/>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Местный бюджет. В соответствии со ст. 179 Бюджетного кодекса Российской Федерации, решение стратегических задач будет финансироваться посредством финансирования мероприятий муниципальных программ. Реализация муниципальных программ должна обеспечивать положительную динамику стратегических показателей. Анализ муниципальных программ, действующих на момент разработки Стратегии, представлен в Приложении 5.</w:t>
      </w:r>
    </w:p>
    <w:p w:rsidR="005B0D7D" w:rsidRPr="005B0D7D" w:rsidRDefault="005B0D7D" w:rsidP="0085547B">
      <w:pPr>
        <w:numPr>
          <w:ilvl w:val="0"/>
          <w:numId w:val="46"/>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Государственно-частное партнерство, включая концессионные соглашения. Активное внедрение механизмов государственно-частного партнерства предполагается обеспечить за счет совершенствования нормативной базы и формирования инвестиционных предложений под конкретные объекты. На условиях государственно-частного партнерства планируется строительство детских садов, общеобразовательных школ, объектов культуры и спорта. Использование механизмов концессии планируется с целью модернизации и увеличения протяженности инженерных сетей.</w:t>
      </w:r>
    </w:p>
    <w:p w:rsidR="005B0D7D" w:rsidRPr="005B0D7D" w:rsidRDefault="005B0D7D" w:rsidP="0085547B">
      <w:pPr>
        <w:numPr>
          <w:ilvl w:val="0"/>
          <w:numId w:val="46"/>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Налоговые льготы предприятиям приоритетных видов экономической деятельности. Предполагается снижение ставок по местным налогам с целью поддержки инвестиционных проектов, направленных на развитие производств, агропромышленного комплекса и других приоритетных сфер.</w:t>
      </w:r>
    </w:p>
    <w:p w:rsidR="005B0D7D" w:rsidRPr="005B0D7D" w:rsidRDefault="005B0D7D" w:rsidP="0085547B">
      <w:pPr>
        <w:numPr>
          <w:ilvl w:val="0"/>
          <w:numId w:val="46"/>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Предоставление гарантий и компенсация части процентной ставки по кредитам и лизинговым платежам. Планируется развивать практику возмещения предприятиям части затрат по лизинговым операциям, а также части ставки </w:t>
      </w:r>
      <w:r w:rsidRPr="005B0D7D">
        <w:rPr>
          <w:rFonts w:ascii="Times New Roman" w:eastAsia="Batang" w:hAnsi="Times New Roman" w:cs="Times New Roman"/>
          <w:sz w:val="28"/>
          <w:szCs w:val="28"/>
          <w:lang w:eastAsia="ru-RU"/>
        </w:rPr>
        <w:lastRenderedPageBreak/>
        <w:t>Центрального банка Российской Федерации за пользование кредитами коммерческих банков.</w:t>
      </w:r>
    </w:p>
    <w:p w:rsidR="005B0D7D" w:rsidRPr="005B0D7D" w:rsidRDefault="005B0D7D" w:rsidP="0085547B">
      <w:pPr>
        <w:numPr>
          <w:ilvl w:val="0"/>
          <w:numId w:val="46"/>
        </w:numPr>
        <w:tabs>
          <w:tab w:val="left" w:pos="0"/>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Организация конкурсов на соискание муниципальных грантов. Финансовая поддержка общественных организаций, занимающихся оказанием содействия социально-незащищенных слоев населения, позволит решать социальные проблемы и создавать дополнительные возможности для реализации человеческого потенциала территории.</w:t>
      </w:r>
    </w:p>
    <w:p w:rsidR="005B0D7D" w:rsidRPr="005B0D7D" w:rsidRDefault="005B0D7D" w:rsidP="0085547B">
      <w:pPr>
        <w:numPr>
          <w:ilvl w:val="0"/>
          <w:numId w:val="46"/>
        </w:numPr>
        <w:tabs>
          <w:tab w:val="left" w:pos="0"/>
          <w:tab w:val="left" w:pos="851"/>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Средства бюджета Ханты-Мансийского автономного округа – Югры. Согласно п.4 ст.179 Бюджетного кодекса Российской Федерации, государственными программами субъекта Российской Федерации может быть предусмотрено предоставление на условиях </w:t>
      </w:r>
      <w:proofErr w:type="spellStart"/>
      <w:r w:rsidRPr="005B0D7D">
        <w:rPr>
          <w:rFonts w:ascii="Times New Roman" w:eastAsia="Batang" w:hAnsi="Times New Roman" w:cs="Times New Roman"/>
          <w:sz w:val="28"/>
          <w:szCs w:val="28"/>
          <w:lang w:eastAsia="ru-RU"/>
        </w:rPr>
        <w:t>софинансирования</w:t>
      </w:r>
      <w:proofErr w:type="spellEnd"/>
      <w:r w:rsidRPr="005B0D7D">
        <w:rPr>
          <w:rFonts w:ascii="Times New Roman" w:eastAsia="Batang" w:hAnsi="Times New Roman" w:cs="Times New Roman"/>
          <w:sz w:val="28"/>
          <w:szCs w:val="28"/>
          <w:lang w:eastAsia="ru-RU"/>
        </w:rPr>
        <w:t xml:space="preserve"> субсидий местным бюджетам на реализацию муниципальных программ, направленным на достижение целей, соответствующих государственным программам субъекта Российской Федерации. Активизация участия органов Администрации города Ханты-Мансийска в государственных программах автономного округа позволит увеличить финансирование социально-значимых мероприятий по самым различным направлениям деятельности. </w:t>
      </w:r>
    </w:p>
    <w:p w:rsidR="005B0D7D" w:rsidRPr="005B0D7D" w:rsidRDefault="005B0D7D" w:rsidP="0085547B">
      <w:pPr>
        <w:numPr>
          <w:ilvl w:val="0"/>
          <w:numId w:val="46"/>
        </w:numPr>
        <w:tabs>
          <w:tab w:val="left" w:pos="0"/>
          <w:tab w:val="left" w:pos="709"/>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Средства предприятий. Согласно договорам социально-экономического сотрудничества с предприятиями города, хозяйствующие субъекты будут направлять в местный бюджет средства, предназначенные для </w:t>
      </w:r>
      <w:proofErr w:type="spellStart"/>
      <w:r w:rsidRPr="005B0D7D">
        <w:rPr>
          <w:rFonts w:ascii="Times New Roman" w:eastAsia="Batang" w:hAnsi="Times New Roman" w:cs="Times New Roman"/>
          <w:sz w:val="28"/>
          <w:szCs w:val="28"/>
          <w:lang w:eastAsia="ru-RU"/>
        </w:rPr>
        <w:t>софинансрования</w:t>
      </w:r>
      <w:proofErr w:type="spellEnd"/>
      <w:r w:rsidRPr="005B0D7D">
        <w:rPr>
          <w:rFonts w:ascii="Times New Roman" w:eastAsia="Batang" w:hAnsi="Times New Roman" w:cs="Times New Roman"/>
          <w:sz w:val="28"/>
          <w:szCs w:val="28"/>
          <w:lang w:eastAsia="ru-RU"/>
        </w:rPr>
        <w:t xml:space="preserve"> строительства объектов социальной сферы, жилья, инфраструктурных объектов, объектов газификации, жилищно-коммунального комплекса, проведения культурных и спортивных мероприятий.</w:t>
      </w:r>
    </w:p>
    <w:p w:rsidR="005B0D7D" w:rsidRPr="005B0D7D" w:rsidRDefault="005B0D7D" w:rsidP="0085547B">
      <w:pPr>
        <w:numPr>
          <w:ilvl w:val="0"/>
          <w:numId w:val="46"/>
        </w:numPr>
        <w:tabs>
          <w:tab w:val="left" w:pos="0"/>
          <w:tab w:val="left" w:pos="567"/>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Средства частных инвесторов. Крупные инвестиционные проекты по строительству торгово-развлекательных центров, организаций сферы услуг будут реализованы за счет средств частных инвесторов. Развитая финансовая инфраструктура города Ханты-Мансийска – банки, страховые компании – позволит частным инвесторам шире использовать заемные средства. Ожидается, что дальнейшее повышение инвестиционной привлекательности города, расширение внешних связей путем заключения соглашений о межмуниципальном сотрудничестве приведет к росту числа инвестиционных предложений. </w:t>
      </w:r>
    </w:p>
    <w:p w:rsidR="005B0D7D" w:rsidRPr="005B0D7D" w:rsidRDefault="005B0D7D" w:rsidP="0085547B">
      <w:pPr>
        <w:numPr>
          <w:ilvl w:val="0"/>
          <w:numId w:val="46"/>
        </w:numPr>
        <w:tabs>
          <w:tab w:val="left" w:pos="0"/>
          <w:tab w:val="left" w:pos="851"/>
        </w:tabs>
        <w:spacing w:after="0" w:line="240" w:lineRule="auto"/>
        <w:ind w:left="0" w:firstLine="720"/>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Средства внебюджетных источников. В частности, следует стимулировать деятельность </w:t>
      </w:r>
      <w:proofErr w:type="gramStart"/>
      <w:r w:rsidRPr="005B0D7D">
        <w:rPr>
          <w:rFonts w:ascii="Times New Roman" w:eastAsia="Batang" w:hAnsi="Times New Roman" w:cs="Times New Roman"/>
          <w:sz w:val="28"/>
          <w:szCs w:val="28"/>
          <w:lang w:eastAsia="ru-RU"/>
        </w:rPr>
        <w:t>государственного</w:t>
      </w:r>
      <w:proofErr w:type="gramEnd"/>
      <w:r w:rsidRPr="005B0D7D">
        <w:rPr>
          <w:rFonts w:ascii="Times New Roman" w:eastAsia="Batang" w:hAnsi="Times New Roman" w:cs="Times New Roman"/>
          <w:sz w:val="28"/>
          <w:szCs w:val="28"/>
          <w:lang w:eastAsia="ru-RU"/>
        </w:rPr>
        <w:t xml:space="preserve"> и негосударственных пенсионных фондов, банковских и страховых организаций по инвестированию средств в экономику города.</w:t>
      </w:r>
    </w:p>
    <w:p w:rsidR="005B0D7D" w:rsidRPr="005B0D7D" w:rsidRDefault="005B0D7D" w:rsidP="005B0D7D">
      <w:pPr>
        <w:keepNext/>
        <w:spacing w:before="240" w:after="60" w:line="240" w:lineRule="auto"/>
        <w:jc w:val="both"/>
        <w:outlineLvl w:val="1"/>
        <w:rPr>
          <w:rFonts w:ascii="Times New Roman" w:eastAsia="Batang" w:hAnsi="Times New Roman" w:cs="Times New Roman"/>
          <w:b/>
          <w:bCs/>
          <w:sz w:val="28"/>
          <w:szCs w:val="28"/>
          <w:lang w:eastAsia="ko-KR"/>
        </w:rPr>
      </w:pPr>
      <w:bookmarkStart w:id="318" w:name="_Toc410639550"/>
      <w:r w:rsidRPr="005B0D7D">
        <w:rPr>
          <w:rFonts w:ascii="Times New Roman" w:eastAsia="Batang" w:hAnsi="Times New Roman" w:cs="Times New Roman"/>
          <w:b/>
          <w:bCs/>
          <w:sz w:val="28"/>
          <w:szCs w:val="28"/>
          <w:lang w:eastAsia="ko-KR"/>
        </w:rPr>
        <w:t>11.4. Механизмы информационно-технического обеспечения реализации Стратегии</w:t>
      </w:r>
      <w:bookmarkEnd w:id="318"/>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Информационно-техническое обеспечение реализации Стратегии строится на следующих принципах.</w:t>
      </w:r>
    </w:p>
    <w:p w:rsidR="005B0D7D" w:rsidRPr="005B0D7D" w:rsidRDefault="005B0D7D" w:rsidP="009F2D02">
      <w:pPr>
        <w:numPr>
          <w:ilvl w:val="1"/>
          <w:numId w:val="19"/>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информационной открытости. Ежегодные отчеты о реализации Стратегии публикуются на официальном сайте Администрации города Ханты-Мансийска, в том числе в формате открытых данных.</w:t>
      </w:r>
    </w:p>
    <w:p w:rsidR="005B0D7D" w:rsidRPr="005B0D7D" w:rsidRDefault="005B0D7D" w:rsidP="009F2D02">
      <w:pPr>
        <w:numPr>
          <w:ilvl w:val="1"/>
          <w:numId w:val="19"/>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Принцип задействования различных информационных систем и баз данных. Эффективная реализация Стратегии предполагает использование систем </w:t>
      </w:r>
      <w:r w:rsidRPr="005B0D7D">
        <w:rPr>
          <w:rFonts w:ascii="Times New Roman" w:eastAsia="Batang" w:hAnsi="Times New Roman" w:cs="Times New Roman"/>
          <w:sz w:val="28"/>
          <w:szCs w:val="28"/>
          <w:lang w:eastAsia="ru-RU"/>
        </w:rPr>
        <w:lastRenderedPageBreak/>
        <w:t>электронного документооборота, межведомственного электронного взаимодействия, предоставления муниципальных услуг в электронном виде, мониторинга градостроительного развития и других. Стратегия не может быть в полной мере реализована без использования базы данных объектов градостроительной деятельности, торгового реестра, реестра муниципальной собственности, реестра инвестиционных площадок.</w:t>
      </w:r>
    </w:p>
    <w:p w:rsidR="005B0D7D" w:rsidRPr="005B0D7D" w:rsidRDefault="005B0D7D" w:rsidP="009F2D02">
      <w:pPr>
        <w:numPr>
          <w:ilvl w:val="1"/>
          <w:numId w:val="19"/>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Принцип обратной связи. Эффективное решение стратегических задач, реализация мероприятий невозможна без выстраивания механизмов обратной связи. Предполагаются, что неотъемлемыми составляющими системы мониторинга Стратегии станут данные социологических опросов, посвященных выявлению удовлетворенности населения различными сферами жизнедеятельности, а также данные аналитической системы оценки качества предоставления муниципальных услуг.</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Основой информационно-технического обеспечения реализации Стратегии станет создание базы данных стратегических показателей, перечень которых приведен в п.9.2. Будет разработан регламент, устанавливающий процедуры пополнения базы данных и обеспечения доступа к ней со стороны ответственных исполнителей, контрольных органов и руководства города.</w:t>
      </w:r>
    </w:p>
    <w:bookmarkEnd w:id="181"/>
    <w:bookmarkEnd w:id="299"/>
    <w:bookmarkEnd w:id="300"/>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Для оценки эффективности работы органов Администрации города Ханты-Мансийска по достижению стратегических показателей будет внедрена технология параметрических моделей. Параметрическая модель – это диаграмма или набор диаграмм, позволяющих получить наглядное представление о степени достижения той или иной стратегической цели (задачи) в разрезе относящихся к ней показателей, а также о степени успешности того или иного органа Администрации города в обеспечении положительной динамики закрепленных за ним показателей.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Чтобы создать параметрическую модель, необходимо следующее.</w:t>
      </w:r>
    </w:p>
    <w:p w:rsidR="005B0D7D" w:rsidRPr="005B0D7D" w:rsidRDefault="005B0D7D" w:rsidP="009F2D02">
      <w:pPr>
        <w:numPr>
          <w:ilvl w:val="1"/>
          <w:numId w:val="3"/>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по каждому показателю собрать данные об исходном, плановом и фактическом его значении;</w:t>
      </w:r>
    </w:p>
    <w:p w:rsidR="005B0D7D" w:rsidRPr="005B0D7D" w:rsidRDefault="005B0D7D" w:rsidP="009F2D02">
      <w:pPr>
        <w:numPr>
          <w:ilvl w:val="1"/>
          <w:numId w:val="3"/>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перевести показатель в безразмерную величину;</w:t>
      </w:r>
    </w:p>
    <w:p w:rsidR="005B0D7D" w:rsidRPr="005B0D7D" w:rsidRDefault="005B0D7D" w:rsidP="009F2D02">
      <w:pPr>
        <w:numPr>
          <w:ilvl w:val="1"/>
          <w:numId w:val="3"/>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определить, на сколько процентов фактическое значение показателя отличается </w:t>
      </w:r>
      <w:proofErr w:type="gramStart"/>
      <w:r w:rsidRPr="005B0D7D">
        <w:rPr>
          <w:rFonts w:ascii="Times New Roman" w:eastAsia="Batang" w:hAnsi="Times New Roman" w:cs="Times New Roman"/>
          <w:sz w:val="28"/>
          <w:szCs w:val="28"/>
          <w:lang w:eastAsia="ru-RU"/>
        </w:rPr>
        <w:t>от</w:t>
      </w:r>
      <w:proofErr w:type="gramEnd"/>
      <w:r w:rsidRPr="005B0D7D">
        <w:rPr>
          <w:rFonts w:ascii="Times New Roman" w:eastAsia="Batang" w:hAnsi="Times New Roman" w:cs="Times New Roman"/>
          <w:sz w:val="28"/>
          <w:szCs w:val="28"/>
          <w:lang w:eastAsia="ru-RU"/>
        </w:rPr>
        <w:t xml:space="preserve"> планового;</w:t>
      </w:r>
    </w:p>
    <w:p w:rsidR="005B0D7D" w:rsidRPr="005B0D7D" w:rsidRDefault="005B0D7D" w:rsidP="009F2D02">
      <w:pPr>
        <w:numPr>
          <w:ilvl w:val="1"/>
          <w:numId w:val="3"/>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построить диаграмму, отображающую серию показателей, относящихся к одной цели (задачи) или к компетенции одного органа Администрации города;</w:t>
      </w:r>
    </w:p>
    <w:p w:rsidR="005B0D7D" w:rsidRPr="005B0D7D" w:rsidRDefault="005B0D7D" w:rsidP="009F2D02">
      <w:pPr>
        <w:numPr>
          <w:ilvl w:val="1"/>
          <w:numId w:val="3"/>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выявить, по каким параметрам наблюдается отставание, а по каким – опережение относительно плана;</w:t>
      </w:r>
    </w:p>
    <w:p w:rsidR="005B0D7D" w:rsidRPr="005B0D7D" w:rsidRDefault="005B0D7D" w:rsidP="009F2D02">
      <w:pPr>
        <w:numPr>
          <w:ilvl w:val="1"/>
          <w:numId w:val="3"/>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обеспечить понимание причин отклонения фактического значения каждого показателя </w:t>
      </w:r>
      <w:proofErr w:type="gramStart"/>
      <w:r w:rsidRPr="005B0D7D">
        <w:rPr>
          <w:rFonts w:ascii="Times New Roman" w:eastAsia="Batang" w:hAnsi="Times New Roman" w:cs="Times New Roman"/>
          <w:sz w:val="28"/>
          <w:szCs w:val="28"/>
          <w:lang w:eastAsia="ru-RU"/>
        </w:rPr>
        <w:t>от</w:t>
      </w:r>
      <w:proofErr w:type="gramEnd"/>
      <w:r w:rsidRPr="005B0D7D">
        <w:rPr>
          <w:rFonts w:ascii="Times New Roman" w:eastAsia="Batang" w:hAnsi="Times New Roman" w:cs="Times New Roman"/>
          <w:sz w:val="28"/>
          <w:szCs w:val="28"/>
          <w:lang w:eastAsia="ru-RU"/>
        </w:rPr>
        <w:t xml:space="preserve"> планового; </w:t>
      </w:r>
    </w:p>
    <w:p w:rsidR="005B0D7D" w:rsidRPr="005B0D7D" w:rsidRDefault="005B0D7D" w:rsidP="009F2D02">
      <w:pPr>
        <w:numPr>
          <w:ilvl w:val="1"/>
          <w:numId w:val="3"/>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выстроить план действий по достижению плановых значений показателей (путем составления «дорожной карты», внесения изменений в Комплексную программу социально-экономического развития города Ханты-Мансийска до 2020 года и муниципальные программы).</w:t>
      </w:r>
    </w:p>
    <w:p w:rsidR="005B0D7D" w:rsidRPr="005B0D7D" w:rsidRDefault="005B0D7D" w:rsidP="005B0D7D">
      <w:pPr>
        <w:spacing w:after="0" w:line="240" w:lineRule="auto"/>
        <w:ind w:firstLine="720"/>
        <w:jc w:val="both"/>
        <w:rPr>
          <w:rFonts w:ascii="Times New Roman" w:eastAsia="Batang" w:hAnsi="Times New Roman" w:cs="Times New Roman"/>
          <w:bCs/>
          <w:kern w:val="32"/>
          <w:sz w:val="28"/>
          <w:szCs w:val="28"/>
          <w:lang w:eastAsia="ko-KR"/>
        </w:rPr>
      </w:pPr>
      <w:r w:rsidRPr="005B0D7D">
        <w:rPr>
          <w:rFonts w:ascii="Times New Roman" w:eastAsia="Batang" w:hAnsi="Times New Roman" w:cs="Times New Roman"/>
          <w:sz w:val="28"/>
          <w:szCs w:val="28"/>
          <w:lang w:eastAsia="ko-KR"/>
        </w:rPr>
        <w:t>Ежегодное составление параметрических моделей позволит проводить сравнительный анализ эффективности реализации Стратегии.</w:t>
      </w:r>
      <w:r w:rsidRPr="005B0D7D">
        <w:rPr>
          <w:rFonts w:ascii="Times New Roman" w:eastAsia="Batang" w:hAnsi="Times New Roman" w:cs="Times New Roman"/>
          <w:bCs/>
          <w:kern w:val="32"/>
          <w:sz w:val="28"/>
          <w:szCs w:val="28"/>
          <w:lang w:eastAsia="ko-KR"/>
        </w:rPr>
        <w:br w:type="page"/>
      </w:r>
    </w:p>
    <w:p w:rsidR="005B0D7D" w:rsidRPr="005B0D7D" w:rsidRDefault="005B0D7D" w:rsidP="005B0D7D">
      <w:pPr>
        <w:keepNext/>
        <w:spacing w:before="240" w:after="120" w:line="240" w:lineRule="auto"/>
        <w:ind w:firstLine="720"/>
        <w:jc w:val="right"/>
        <w:outlineLvl w:val="0"/>
        <w:rPr>
          <w:rFonts w:ascii="Times New Roman" w:eastAsia="Batang" w:hAnsi="Times New Roman" w:cs="Times New Roman"/>
          <w:b/>
          <w:bCs/>
          <w:kern w:val="32"/>
          <w:sz w:val="28"/>
          <w:szCs w:val="28"/>
          <w:lang w:eastAsia="ko-KR"/>
        </w:rPr>
      </w:pPr>
      <w:bookmarkStart w:id="319" w:name="_Toc406359149"/>
      <w:bookmarkStart w:id="320" w:name="_Toc410639551"/>
      <w:r w:rsidRPr="005B0D7D">
        <w:rPr>
          <w:rFonts w:ascii="Times New Roman" w:eastAsia="Batang" w:hAnsi="Times New Roman" w:cs="Times New Roman"/>
          <w:b/>
          <w:bCs/>
          <w:kern w:val="32"/>
          <w:sz w:val="28"/>
          <w:szCs w:val="28"/>
          <w:lang w:eastAsia="ko-KR"/>
        </w:rPr>
        <w:lastRenderedPageBreak/>
        <w:t>Приложение 1.</w:t>
      </w:r>
      <w:bookmarkEnd w:id="319"/>
      <w:bookmarkEnd w:id="320"/>
    </w:p>
    <w:p w:rsidR="005B0D7D" w:rsidRPr="005B0D7D" w:rsidRDefault="005B0D7D" w:rsidP="005B0D7D">
      <w:pPr>
        <w:spacing w:after="0" w:line="240" w:lineRule="auto"/>
        <w:ind w:firstLine="720"/>
        <w:jc w:val="right"/>
        <w:rPr>
          <w:rFonts w:ascii="Times New Roman" w:eastAsia="Batang" w:hAnsi="Times New Roman" w:cs="Times New Roman"/>
          <w:sz w:val="28"/>
          <w:szCs w:val="28"/>
          <w:lang w:eastAsia="ko-KR"/>
        </w:rPr>
      </w:pPr>
      <w:bookmarkStart w:id="321" w:name="_Toc406359150"/>
      <w:r w:rsidRPr="005B0D7D">
        <w:rPr>
          <w:rFonts w:ascii="Times New Roman" w:eastAsia="Batang" w:hAnsi="Times New Roman" w:cs="Times New Roman"/>
          <w:sz w:val="24"/>
          <w:szCs w:val="24"/>
          <w:lang w:eastAsia="ko-KR"/>
        </w:rPr>
        <w:t>к разделу 8.2. Задачи 1-2 «Развитие реального сектора экономики», «Развитие агропромышленного комплекса, местной пищевой промышленности»</w:t>
      </w:r>
    </w:p>
    <w:p w:rsidR="005B0D7D" w:rsidRPr="005B0D7D" w:rsidRDefault="005B0D7D" w:rsidP="005B0D7D">
      <w:pPr>
        <w:keepNext/>
        <w:spacing w:before="120" w:after="120" w:line="240" w:lineRule="auto"/>
        <w:ind w:firstLine="720"/>
        <w:jc w:val="center"/>
        <w:outlineLvl w:val="0"/>
        <w:rPr>
          <w:rFonts w:ascii="Times New Roman" w:eastAsia="Batang" w:hAnsi="Times New Roman" w:cs="Times New Roman"/>
          <w:b/>
          <w:bCs/>
          <w:kern w:val="32"/>
          <w:sz w:val="28"/>
          <w:szCs w:val="28"/>
          <w:lang w:eastAsia="ko-KR"/>
        </w:rPr>
      </w:pPr>
      <w:bookmarkStart w:id="322" w:name="_Toc410639552"/>
      <w:bookmarkEnd w:id="321"/>
      <w:r w:rsidRPr="005B0D7D">
        <w:rPr>
          <w:rFonts w:ascii="Times New Roman" w:eastAsia="Batang" w:hAnsi="Times New Roman" w:cs="Times New Roman"/>
          <w:b/>
          <w:bCs/>
          <w:kern w:val="32"/>
          <w:sz w:val="28"/>
          <w:szCs w:val="28"/>
          <w:lang w:eastAsia="ko-KR"/>
        </w:rPr>
        <w:t xml:space="preserve">Предложения по размещению новых производств, внедрению инновационных </w:t>
      </w:r>
      <w:proofErr w:type="spellStart"/>
      <w:r w:rsidRPr="005B0D7D">
        <w:rPr>
          <w:rFonts w:ascii="Times New Roman" w:eastAsia="Batang" w:hAnsi="Times New Roman" w:cs="Times New Roman"/>
          <w:b/>
          <w:bCs/>
          <w:kern w:val="32"/>
          <w:sz w:val="28"/>
          <w:szCs w:val="28"/>
          <w:lang w:eastAsia="ko-KR"/>
        </w:rPr>
        <w:t>энерго</w:t>
      </w:r>
      <w:proofErr w:type="spellEnd"/>
      <w:r w:rsidRPr="005B0D7D">
        <w:rPr>
          <w:rFonts w:ascii="Times New Roman" w:eastAsia="Batang" w:hAnsi="Times New Roman" w:cs="Times New Roman"/>
          <w:b/>
          <w:bCs/>
          <w:kern w:val="32"/>
          <w:sz w:val="28"/>
          <w:szCs w:val="28"/>
          <w:lang w:eastAsia="ko-KR"/>
        </w:rPr>
        <w:t xml:space="preserve">-, ресурсосберегающих и </w:t>
      </w:r>
      <w:proofErr w:type="spellStart"/>
      <w:r w:rsidRPr="005B0D7D">
        <w:rPr>
          <w:rFonts w:ascii="Times New Roman" w:eastAsia="Batang" w:hAnsi="Times New Roman" w:cs="Times New Roman"/>
          <w:b/>
          <w:bCs/>
          <w:kern w:val="32"/>
          <w:sz w:val="28"/>
          <w:szCs w:val="28"/>
          <w:lang w:eastAsia="ko-KR"/>
        </w:rPr>
        <w:t>энергоэффективных</w:t>
      </w:r>
      <w:proofErr w:type="spellEnd"/>
      <w:r w:rsidRPr="005B0D7D">
        <w:rPr>
          <w:rFonts w:ascii="Times New Roman" w:eastAsia="Batang" w:hAnsi="Times New Roman" w:cs="Times New Roman"/>
          <w:b/>
          <w:bCs/>
          <w:kern w:val="32"/>
          <w:sz w:val="28"/>
          <w:szCs w:val="28"/>
          <w:lang w:eastAsia="ko-KR"/>
        </w:rPr>
        <w:t xml:space="preserve"> технологий на территории города Ханты-Мансийска</w:t>
      </w:r>
      <w:bookmarkEnd w:id="322"/>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Основой стратегического развития города Ханты-Мансийска в период до 2030 года должно стать развитие реального сектора экономики. Предполагается создать систему стимулирования крупных инвесторов, а также малого и среднего бизнеса таким образом, что одним из перспективных видов экономической деятельности будет создание и обеспечение функционирования производств.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Применительно к условиям города Ханты-Мансийска под созданием производственного сектора подразумевается не строительство крупных предприятий, а организация отдельных цехов и мелких производств, которые, с одной стороны, максимально используют местные сырьевые и трудовые ресурсы, а с другой, ориентированы преимущественно на местный рынок сбыта.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Ограничения в масштабах создаваемой производственной базы позволяют добиться определенного экономического эффекта без усиления вредного воздействия на окружающую среду, сохраняя сильные позиции Ханты-Мансийска как «города-заповедника». Более того, часть производств будут направлены на внедрение </w:t>
      </w:r>
      <w:proofErr w:type="spellStart"/>
      <w:r w:rsidRPr="005B0D7D">
        <w:rPr>
          <w:rFonts w:ascii="Times New Roman" w:eastAsia="Batang" w:hAnsi="Times New Roman" w:cs="Times New Roman"/>
          <w:sz w:val="28"/>
          <w:szCs w:val="28"/>
          <w:lang w:eastAsia="ko-KR"/>
        </w:rPr>
        <w:t>энерго</w:t>
      </w:r>
      <w:proofErr w:type="spellEnd"/>
      <w:r w:rsidRPr="005B0D7D">
        <w:rPr>
          <w:rFonts w:ascii="Times New Roman" w:eastAsia="Batang" w:hAnsi="Times New Roman" w:cs="Times New Roman"/>
          <w:sz w:val="28"/>
          <w:szCs w:val="28"/>
          <w:lang w:eastAsia="ko-KR"/>
        </w:rPr>
        <w:t xml:space="preserve">-, ресурсосберегающих технологий в жилищно-коммунальном хозяйстве, внедрение технологий вторичной переработки отходов с </w:t>
      </w:r>
      <w:proofErr w:type="spellStart"/>
      <w:r w:rsidRPr="005B0D7D">
        <w:rPr>
          <w:rFonts w:ascii="Times New Roman" w:eastAsia="Batang" w:hAnsi="Times New Roman" w:cs="Times New Roman"/>
          <w:sz w:val="28"/>
          <w:szCs w:val="28"/>
          <w:lang w:eastAsia="ko-KR"/>
        </w:rPr>
        <w:t>рекурперацией</w:t>
      </w:r>
      <w:proofErr w:type="spellEnd"/>
      <w:r w:rsidRPr="005B0D7D">
        <w:rPr>
          <w:rFonts w:ascii="Times New Roman" w:eastAsia="Batang" w:hAnsi="Times New Roman" w:cs="Times New Roman"/>
          <w:sz w:val="28"/>
          <w:szCs w:val="28"/>
          <w:lang w:eastAsia="ko-KR"/>
        </w:rPr>
        <w:t xml:space="preserve"> тепла и электроэнергии, что позволит одновременно снизить загрязнение атмосферы, почвы и воды и тем самым приведет к улучшению экологической обстановки.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Воссоздание производственной базы укрепит кадровый потенциал города, снизит миграционную убыль трудоспособного населения, создаст предпосылки для развития системы профессионального образования, повысит деловую и изобретательскую активность жителей.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Большую часть новых произво</w:t>
      </w:r>
      <w:proofErr w:type="gramStart"/>
      <w:r w:rsidRPr="005B0D7D">
        <w:rPr>
          <w:rFonts w:ascii="Times New Roman" w:eastAsia="Batang" w:hAnsi="Times New Roman" w:cs="Times New Roman"/>
          <w:sz w:val="28"/>
          <w:szCs w:val="28"/>
          <w:lang w:eastAsia="ko-KR"/>
        </w:rPr>
        <w:t>дств пл</w:t>
      </w:r>
      <w:proofErr w:type="gramEnd"/>
      <w:r w:rsidRPr="005B0D7D">
        <w:rPr>
          <w:rFonts w:ascii="Times New Roman" w:eastAsia="Batang" w:hAnsi="Times New Roman" w:cs="Times New Roman"/>
          <w:sz w:val="28"/>
          <w:szCs w:val="28"/>
          <w:lang w:eastAsia="ko-KR"/>
        </w:rPr>
        <w:t>анируется разместить на территории северо-западной производственной и коммунально-складской зоны. Согласно Генеральному плану и Правилам землепользования и застройки, на данной территории предусмотрено строительство комфортного для работы и отдыха, благоустроенного и архитектурно-выразительного промышленного района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roofErr w:type="gramStart"/>
      <w:r w:rsidRPr="005B0D7D">
        <w:rPr>
          <w:rFonts w:ascii="Times New Roman" w:eastAsia="Batang" w:hAnsi="Times New Roman" w:cs="Times New Roman"/>
          <w:sz w:val="28"/>
          <w:szCs w:val="28"/>
          <w:lang w:eastAsia="ko-KR"/>
        </w:rPr>
        <w:t>Проект планировки и проект межевания северо-западной производственной и коммунально-складской зоны города Ханты-Мансийска предусматривает размещение на данной территории следующих производственных объектов (наряду с торговыми, складскими и прочими): завод по переработке макулатуры, завод по переработке пластмасс, малое лесоперерабатывающее производство, малые предприятия пищевой промышленности, мясокомбинат, предприятия по переработке рыбы, полиграфическое производство, предприятие по переработке дикоросов, производство строительных блоков и материалов, домостроительный завод.</w:t>
      </w:r>
      <w:proofErr w:type="gramEnd"/>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Производства, размещение которых предложено ниже, конкретизируют и дополняют данный перечень.</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Центральным элементом северо-западной производственной и коммунально-складской зоны станет Индустриальный парк.</w:t>
      </w:r>
    </w:p>
    <w:p w:rsidR="005B0D7D" w:rsidRPr="005B0D7D" w:rsidRDefault="005B0D7D" w:rsidP="005B0D7D">
      <w:pPr>
        <w:spacing w:before="120" w:after="12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Ниже приведены характеристики ряда производств, которые, по мнению разработчиков Стратегии, целесообразно размещать в городе Ханты-Мансийске, в том числе на территории Индустриального парка.</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bookmarkStart w:id="323" w:name="_Toc406359152"/>
      <w:bookmarkStart w:id="324" w:name="_Toc406884138"/>
      <w:bookmarkStart w:id="325" w:name="_Toc406915520"/>
      <w:bookmarkStart w:id="326" w:name="_Toc406967910"/>
      <w:bookmarkStart w:id="327" w:name="_Toc407031473"/>
      <w:r w:rsidRPr="005B0D7D">
        <w:rPr>
          <w:rFonts w:ascii="Times New Roman" w:eastAsia="Batang" w:hAnsi="Times New Roman" w:cs="Times New Roman"/>
          <w:b/>
          <w:sz w:val="28"/>
          <w:szCs w:val="28"/>
          <w:lang w:eastAsia="ko-KR"/>
        </w:rPr>
        <w:t>1. Цех по модернизации парка электродвигателей</w:t>
      </w:r>
      <w:bookmarkEnd w:id="323"/>
      <w:bookmarkEnd w:id="324"/>
      <w:bookmarkEnd w:id="325"/>
      <w:bookmarkEnd w:id="326"/>
      <w:bookmarkEnd w:id="32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Цех осуществляет замену или перемотку существующих образцов по инновационной </w:t>
      </w:r>
      <w:proofErr w:type="spellStart"/>
      <w:r w:rsidRPr="005B0D7D">
        <w:rPr>
          <w:rFonts w:ascii="Times New Roman" w:eastAsia="Batang" w:hAnsi="Times New Roman" w:cs="Times New Roman"/>
          <w:sz w:val="28"/>
          <w:szCs w:val="28"/>
          <w:lang w:eastAsia="ko-KR"/>
        </w:rPr>
        <w:t>энергоэффективной</w:t>
      </w:r>
      <w:proofErr w:type="spellEnd"/>
      <w:r w:rsidRPr="005B0D7D">
        <w:rPr>
          <w:rFonts w:ascii="Times New Roman" w:eastAsia="Batang" w:hAnsi="Times New Roman" w:cs="Times New Roman"/>
          <w:sz w:val="28"/>
          <w:szCs w:val="28"/>
          <w:lang w:eastAsia="ko-KR"/>
        </w:rPr>
        <w:t xml:space="preserve"> технологии «Славянка», защищенной патентами и апробированной на всей территории России.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отличие от традиционного асинхронного двигателя, содержащего на статоре одну трехфазную обмотку, подключаемую в электросеть, в предлагаемом энергосберегающем асинхронном двигателе с индивидуальной компенсацией реактивной мощности на статоре размещены две трехфазные обмотки. Одна из обмоток, называемая рабочей, включается в электросеть, другая, называемая компенсационной, – на трехфазный конденсатор.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 работе энергосберегающего асинхронного двигателя в статических режимах, т.е. при неизменной скорости вращения, из электрической сети потребляется только активная мощность. При этом потребления из электросети реактивной мощности практически не происходит.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bookmarkStart w:id="328" w:name="_Toc406359153"/>
      <w:bookmarkStart w:id="329" w:name="_Toc406884139"/>
      <w:bookmarkStart w:id="330" w:name="_Toc406915521"/>
      <w:bookmarkStart w:id="331" w:name="_Toc406967911"/>
      <w:bookmarkStart w:id="332" w:name="_Toc407031474"/>
      <w:proofErr w:type="gramStart"/>
      <w:r w:rsidRPr="005B0D7D">
        <w:rPr>
          <w:rFonts w:ascii="Times New Roman" w:eastAsia="Batang" w:hAnsi="Times New Roman" w:cs="Times New Roman"/>
          <w:sz w:val="28"/>
          <w:szCs w:val="28"/>
          <w:lang w:eastAsia="ko-KR"/>
        </w:rPr>
        <w:t>Модернизация парка электродвигателей (замена на новые или перемотка существующих), используемых в жилищно-коммунальном хозяйстве, на промышленных предприятиях, а также на нефтепромыслах, позволит достичь существенной экономии потребляемой электроэнергии – до 20%, при одновременном значительном увеличении межремонтных сроков эксплуатации.</w:t>
      </w:r>
      <w:proofErr w:type="gramEnd"/>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2. Предприятие по очистке инженерных и технологических коммуникаций от накипи и внутренних отложений</w:t>
      </w:r>
      <w:bookmarkEnd w:id="328"/>
      <w:bookmarkEnd w:id="329"/>
      <w:bookmarkEnd w:id="330"/>
      <w:bookmarkEnd w:id="331"/>
      <w:bookmarkEnd w:id="332"/>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Инновационное оборудование с комплексным использованием  </w:t>
      </w:r>
      <w:proofErr w:type="spellStart"/>
      <w:r w:rsidRPr="005B0D7D">
        <w:rPr>
          <w:rFonts w:ascii="Times New Roman" w:eastAsia="Batang" w:hAnsi="Times New Roman" w:cs="Times New Roman"/>
          <w:sz w:val="28"/>
          <w:szCs w:val="28"/>
          <w:lang w:eastAsia="ko-KR"/>
        </w:rPr>
        <w:t>пневм</w:t>
      </w:r>
      <w:proofErr w:type="gramStart"/>
      <w:r w:rsidRPr="005B0D7D">
        <w:rPr>
          <w:rFonts w:ascii="Times New Roman" w:eastAsia="Batang" w:hAnsi="Times New Roman" w:cs="Times New Roman"/>
          <w:sz w:val="28"/>
          <w:szCs w:val="28"/>
          <w:lang w:eastAsia="ko-KR"/>
        </w:rPr>
        <w:t>о</w:t>
      </w:r>
      <w:proofErr w:type="spellEnd"/>
      <w:r w:rsidRPr="005B0D7D">
        <w:rPr>
          <w:rFonts w:ascii="Times New Roman" w:eastAsia="Batang" w:hAnsi="Times New Roman" w:cs="Times New Roman"/>
          <w:sz w:val="28"/>
          <w:szCs w:val="28"/>
          <w:lang w:eastAsia="ko-KR"/>
        </w:rPr>
        <w:t>-</w:t>
      </w:r>
      <w:proofErr w:type="gramEnd"/>
      <w:r w:rsidRPr="005B0D7D">
        <w:rPr>
          <w:rFonts w:ascii="Times New Roman" w:eastAsia="Batang" w:hAnsi="Times New Roman" w:cs="Times New Roman"/>
          <w:sz w:val="28"/>
          <w:szCs w:val="28"/>
          <w:lang w:eastAsia="ko-KR"/>
        </w:rPr>
        <w:t xml:space="preserve">, </w:t>
      </w:r>
      <w:proofErr w:type="spellStart"/>
      <w:r w:rsidRPr="005B0D7D">
        <w:rPr>
          <w:rFonts w:ascii="Times New Roman" w:eastAsia="Batang" w:hAnsi="Times New Roman" w:cs="Times New Roman"/>
          <w:sz w:val="28"/>
          <w:szCs w:val="28"/>
          <w:lang w:eastAsia="ko-KR"/>
        </w:rPr>
        <w:t>гидро</w:t>
      </w:r>
      <w:proofErr w:type="spellEnd"/>
      <w:r w:rsidRPr="005B0D7D">
        <w:rPr>
          <w:rFonts w:ascii="Times New Roman" w:eastAsia="Batang" w:hAnsi="Times New Roman" w:cs="Times New Roman"/>
          <w:sz w:val="28"/>
          <w:szCs w:val="28"/>
          <w:lang w:eastAsia="ko-KR"/>
        </w:rPr>
        <w:t xml:space="preserve">- и других физико-химических эффектов позволяет производить очистку сетей теплоснабжения, водоснабжения и водоотведения. В качестве рабочего реагента используется экологически безопасные, </w:t>
      </w:r>
      <w:proofErr w:type="spellStart"/>
      <w:r w:rsidRPr="005B0D7D">
        <w:rPr>
          <w:rFonts w:ascii="Times New Roman" w:eastAsia="Batang" w:hAnsi="Times New Roman" w:cs="Times New Roman"/>
          <w:sz w:val="28"/>
          <w:szCs w:val="28"/>
          <w:lang w:eastAsia="ko-KR"/>
        </w:rPr>
        <w:t>биоразлагаемые</w:t>
      </w:r>
      <w:proofErr w:type="spellEnd"/>
      <w:r w:rsidRPr="005B0D7D">
        <w:rPr>
          <w:rFonts w:ascii="Times New Roman" w:eastAsia="Batang" w:hAnsi="Times New Roman" w:cs="Times New Roman"/>
          <w:sz w:val="28"/>
          <w:szCs w:val="28"/>
          <w:lang w:eastAsia="ko-KR"/>
        </w:rPr>
        <w:t xml:space="preserve"> сертифицированные </w:t>
      </w:r>
      <w:bookmarkStart w:id="333" w:name="_Toc406359154"/>
      <w:bookmarkStart w:id="334" w:name="_Toc406884140"/>
      <w:bookmarkStart w:id="335" w:name="_Toc406915522"/>
      <w:bookmarkStart w:id="336" w:name="_Toc406967912"/>
      <w:bookmarkStart w:id="337" w:name="_Toc407031475"/>
      <w:r w:rsidRPr="005B0D7D">
        <w:rPr>
          <w:rFonts w:ascii="Times New Roman" w:eastAsia="Batang" w:hAnsi="Times New Roman" w:cs="Times New Roman"/>
          <w:sz w:val="28"/>
          <w:szCs w:val="28"/>
          <w:lang w:eastAsia="ko-KR"/>
        </w:rPr>
        <w:t>водорастворимые вещества, не требующие утилизации.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Для комплексного решения вопросов  очистки внутренних инженерных коммуникаций инфраструктурных объектов предполагается внедрять инновационные </w:t>
      </w:r>
      <w:proofErr w:type="spellStart"/>
      <w:r w:rsidRPr="005B0D7D">
        <w:rPr>
          <w:rFonts w:ascii="Times New Roman" w:eastAsia="Batang" w:hAnsi="Times New Roman" w:cs="Times New Roman"/>
          <w:sz w:val="28"/>
          <w:szCs w:val="28"/>
          <w:lang w:eastAsia="ko-KR"/>
        </w:rPr>
        <w:t>энерго</w:t>
      </w:r>
      <w:proofErr w:type="spellEnd"/>
      <w:r w:rsidRPr="005B0D7D">
        <w:rPr>
          <w:rFonts w:ascii="Times New Roman" w:eastAsia="Batang" w:hAnsi="Times New Roman" w:cs="Times New Roman"/>
          <w:sz w:val="28"/>
          <w:szCs w:val="28"/>
          <w:lang w:eastAsia="ko-KR"/>
        </w:rPr>
        <w:t xml:space="preserve">-, ресурсосберегающие технологии и вышеуказанные </w:t>
      </w:r>
      <w:proofErr w:type="spellStart"/>
      <w:r w:rsidRPr="005B0D7D">
        <w:rPr>
          <w:rFonts w:ascii="Times New Roman" w:eastAsia="Batang" w:hAnsi="Times New Roman" w:cs="Times New Roman"/>
          <w:sz w:val="28"/>
          <w:szCs w:val="28"/>
          <w:lang w:eastAsia="ko-KR"/>
        </w:rPr>
        <w:t>суперочистители</w:t>
      </w:r>
      <w:proofErr w:type="spellEnd"/>
      <w:r w:rsidRPr="005B0D7D">
        <w:rPr>
          <w:rFonts w:ascii="Times New Roman" w:eastAsia="Batang" w:hAnsi="Times New Roman" w:cs="Times New Roman"/>
          <w:sz w:val="28"/>
          <w:szCs w:val="28"/>
          <w:lang w:eastAsia="ko-KR"/>
        </w:rPr>
        <w:t xml:space="preserve"> нового поколения на водной основе.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Передовые технологии используют эффект интенсивного многофакторного химического, физического и биологического воздействия на технологическое оборудование инженерных систем и конструкционные элементы инфраструктурных объектов.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Инновационные технологии работают на принципиально новой физико-химической основе. В инженерные сети вводится экологически безопасный реагент (10-30% концентрации в водном растворе), обладающий </w:t>
      </w:r>
      <w:r w:rsidRPr="005B0D7D">
        <w:rPr>
          <w:rFonts w:ascii="Times New Roman" w:eastAsia="Batang" w:hAnsi="Times New Roman" w:cs="Times New Roman"/>
          <w:sz w:val="28"/>
          <w:szCs w:val="28"/>
          <w:lang w:eastAsia="ko-KR"/>
        </w:rPr>
        <w:lastRenderedPageBreak/>
        <w:t xml:space="preserve">расклинивающими свойствами. Также используется эффект мощных однократных или серийных </w:t>
      </w:r>
      <w:proofErr w:type="spellStart"/>
      <w:r w:rsidRPr="005B0D7D">
        <w:rPr>
          <w:rFonts w:ascii="Times New Roman" w:eastAsia="Batang" w:hAnsi="Times New Roman" w:cs="Times New Roman"/>
          <w:sz w:val="28"/>
          <w:szCs w:val="28"/>
          <w:lang w:eastAsia="ko-KR"/>
        </w:rPr>
        <w:t>пневм</w:t>
      </w:r>
      <w:proofErr w:type="gramStart"/>
      <w:r w:rsidRPr="005B0D7D">
        <w:rPr>
          <w:rFonts w:ascii="Times New Roman" w:eastAsia="Batang" w:hAnsi="Times New Roman" w:cs="Times New Roman"/>
          <w:sz w:val="28"/>
          <w:szCs w:val="28"/>
          <w:lang w:eastAsia="ko-KR"/>
        </w:rPr>
        <w:t>о</w:t>
      </w:r>
      <w:proofErr w:type="spellEnd"/>
      <w:r w:rsidRPr="005B0D7D">
        <w:rPr>
          <w:rFonts w:ascii="Times New Roman" w:eastAsia="Batang" w:hAnsi="Times New Roman" w:cs="Times New Roman"/>
          <w:sz w:val="28"/>
          <w:szCs w:val="28"/>
          <w:lang w:eastAsia="ko-KR"/>
        </w:rPr>
        <w:t>-</w:t>
      </w:r>
      <w:proofErr w:type="gramEnd"/>
      <w:r w:rsidRPr="005B0D7D">
        <w:rPr>
          <w:rFonts w:ascii="Times New Roman" w:eastAsia="Batang" w:hAnsi="Times New Roman" w:cs="Times New Roman"/>
          <w:sz w:val="28"/>
          <w:szCs w:val="28"/>
          <w:lang w:eastAsia="ko-KR"/>
        </w:rPr>
        <w:t xml:space="preserve"> и </w:t>
      </w:r>
      <w:proofErr w:type="spellStart"/>
      <w:r w:rsidRPr="005B0D7D">
        <w:rPr>
          <w:rFonts w:ascii="Times New Roman" w:eastAsia="Batang" w:hAnsi="Times New Roman" w:cs="Times New Roman"/>
          <w:sz w:val="28"/>
          <w:szCs w:val="28"/>
          <w:lang w:eastAsia="ko-KR"/>
        </w:rPr>
        <w:t>гидроимпульсных</w:t>
      </w:r>
      <w:proofErr w:type="spellEnd"/>
      <w:r w:rsidRPr="005B0D7D">
        <w:rPr>
          <w:rFonts w:ascii="Times New Roman" w:eastAsia="Batang" w:hAnsi="Times New Roman" w:cs="Times New Roman"/>
          <w:sz w:val="28"/>
          <w:szCs w:val="28"/>
          <w:lang w:eastAsia="ko-KR"/>
        </w:rPr>
        <w:t xml:space="preserve"> воздействий </w:t>
      </w:r>
      <w:proofErr w:type="spellStart"/>
      <w:r w:rsidRPr="005B0D7D">
        <w:rPr>
          <w:rFonts w:ascii="Times New Roman" w:eastAsia="Batang" w:hAnsi="Times New Roman" w:cs="Times New Roman"/>
          <w:sz w:val="28"/>
          <w:szCs w:val="28"/>
          <w:lang w:eastAsia="ko-KR"/>
        </w:rPr>
        <w:t>краткоимпульсной</w:t>
      </w:r>
      <w:proofErr w:type="spellEnd"/>
      <w:r w:rsidRPr="005B0D7D">
        <w:rPr>
          <w:rFonts w:ascii="Times New Roman" w:eastAsia="Batang" w:hAnsi="Times New Roman" w:cs="Times New Roman"/>
          <w:sz w:val="28"/>
          <w:szCs w:val="28"/>
          <w:lang w:eastAsia="ko-KR"/>
        </w:rPr>
        <w:t xml:space="preserve"> длительности для разрушения отложений, которые обеспечивает очистку даже труднодоступных участков инженерных систем.</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 xml:space="preserve">3. Комплекс </w:t>
      </w:r>
      <w:proofErr w:type="gramStart"/>
      <w:r w:rsidRPr="005B0D7D">
        <w:rPr>
          <w:rFonts w:ascii="Times New Roman" w:eastAsia="Batang" w:hAnsi="Times New Roman" w:cs="Times New Roman"/>
          <w:b/>
          <w:sz w:val="28"/>
          <w:szCs w:val="28"/>
          <w:lang w:eastAsia="ko-KR"/>
        </w:rPr>
        <w:t>вакуум-импульсной</w:t>
      </w:r>
      <w:proofErr w:type="gramEnd"/>
      <w:r w:rsidRPr="005B0D7D">
        <w:rPr>
          <w:rFonts w:ascii="Times New Roman" w:eastAsia="Batang" w:hAnsi="Times New Roman" w:cs="Times New Roman"/>
          <w:b/>
          <w:sz w:val="28"/>
          <w:szCs w:val="28"/>
          <w:lang w:eastAsia="ko-KR"/>
        </w:rPr>
        <w:t xml:space="preserve"> сушки кругляка и пиломатериалов (КВИС-ПМ)</w:t>
      </w:r>
      <w:bookmarkEnd w:id="333"/>
      <w:bookmarkEnd w:id="334"/>
      <w:bookmarkEnd w:id="335"/>
      <w:bookmarkEnd w:id="336"/>
      <w:bookmarkEnd w:id="33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Комплекс способен сушить любые породы и сортаменты пиломатериала, а при необходимости – круглый лес, пиловочник и топляк.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производстве используется инновационное оборудование для сушки пиломатериала до его конечной влажности 8-16%. В отличие от наиболее распространенных сушильных камер конвективного типа, в </w:t>
      </w:r>
      <w:proofErr w:type="gramStart"/>
      <w:r w:rsidRPr="005B0D7D">
        <w:rPr>
          <w:rFonts w:ascii="Times New Roman" w:eastAsia="Batang" w:hAnsi="Times New Roman" w:cs="Times New Roman"/>
          <w:sz w:val="28"/>
          <w:szCs w:val="28"/>
          <w:lang w:eastAsia="ko-KR"/>
        </w:rPr>
        <w:t>вакуум-импульсных</w:t>
      </w:r>
      <w:proofErr w:type="gramEnd"/>
      <w:r w:rsidRPr="005B0D7D">
        <w:rPr>
          <w:rFonts w:ascii="Times New Roman" w:eastAsia="Batang" w:hAnsi="Times New Roman" w:cs="Times New Roman"/>
          <w:sz w:val="28"/>
          <w:szCs w:val="28"/>
          <w:lang w:eastAsia="ko-KR"/>
        </w:rPr>
        <w:t xml:space="preserve"> комплексах КВИС-ПМ (производитель ООО «</w:t>
      </w:r>
      <w:proofErr w:type="spellStart"/>
      <w:r w:rsidRPr="005B0D7D">
        <w:rPr>
          <w:rFonts w:ascii="Times New Roman" w:eastAsia="Batang" w:hAnsi="Times New Roman" w:cs="Times New Roman"/>
          <w:sz w:val="28"/>
          <w:szCs w:val="28"/>
          <w:lang w:eastAsia="ko-KR"/>
        </w:rPr>
        <w:t>Витекс</w:t>
      </w:r>
      <w:proofErr w:type="spellEnd"/>
      <w:r w:rsidRPr="005B0D7D">
        <w:rPr>
          <w:rFonts w:ascii="Times New Roman" w:eastAsia="Batang" w:hAnsi="Times New Roman" w:cs="Times New Roman"/>
          <w:sz w:val="28"/>
          <w:szCs w:val="28"/>
          <w:lang w:eastAsia="ko-KR"/>
        </w:rPr>
        <w:t xml:space="preserve">», город Барнаул) сушка пиломатериала происходит в 10-15 раз быстрее и поэтому в 2-3 раза более </w:t>
      </w:r>
      <w:proofErr w:type="spellStart"/>
      <w:r w:rsidRPr="005B0D7D">
        <w:rPr>
          <w:rFonts w:ascii="Times New Roman" w:eastAsia="Batang" w:hAnsi="Times New Roman" w:cs="Times New Roman"/>
          <w:sz w:val="28"/>
          <w:szCs w:val="28"/>
          <w:lang w:eastAsia="ko-KR"/>
        </w:rPr>
        <w:t>энергоэффективнее</w:t>
      </w:r>
      <w:proofErr w:type="spellEnd"/>
      <w:r w:rsidRPr="005B0D7D">
        <w:rPr>
          <w:rFonts w:ascii="Times New Roman" w:eastAsia="Batang" w:hAnsi="Times New Roman" w:cs="Times New Roman"/>
          <w:sz w:val="28"/>
          <w:szCs w:val="28"/>
          <w:lang w:eastAsia="ko-KR"/>
        </w:rPr>
        <w:t>. Деревоперерабатывающее предприятие может оперативно сушить и реализовывать пиломатериал небольшими партиями, не создавая на складе огромные запасы сырья и готовой продукции. Этот же фактор способствует быстрой окупаемости оборудования и минимизации требуемых оборотных средств.</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bookmarkStart w:id="338" w:name="_Toc406359155"/>
      <w:bookmarkStart w:id="339" w:name="_Toc406884141"/>
      <w:bookmarkStart w:id="340" w:name="_Toc406915523"/>
      <w:bookmarkStart w:id="341" w:name="_Toc406967913"/>
      <w:bookmarkStart w:id="342" w:name="_Toc407031476"/>
      <w:r w:rsidRPr="005B0D7D">
        <w:rPr>
          <w:rFonts w:ascii="Times New Roman" w:eastAsia="Batang" w:hAnsi="Times New Roman" w:cs="Times New Roman"/>
          <w:b/>
          <w:sz w:val="28"/>
          <w:szCs w:val="28"/>
          <w:lang w:eastAsia="ko-KR"/>
        </w:rPr>
        <w:t xml:space="preserve">4. Внедрение технологии </w:t>
      </w:r>
      <w:proofErr w:type="spellStart"/>
      <w:r w:rsidRPr="005B0D7D">
        <w:rPr>
          <w:rFonts w:ascii="Times New Roman" w:eastAsia="Batang" w:hAnsi="Times New Roman" w:cs="Times New Roman"/>
          <w:b/>
          <w:sz w:val="28"/>
          <w:szCs w:val="28"/>
          <w:lang w:eastAsia="ko-KR"/>
        </w:rPr>
        <w:t>кавитационной</w:t>
      </w:r>
      <w:proofErr w:type="spellEnd"/>
      <w:r w:rsidRPr="005B0D7D">
        <w:rPr>
          <w:rFonts w:ascii="Times New Roman" w:eastAsia="Batang" w:hAnsi="Times New Roman" w:cs="Times New Roman"/>
          <w:b/>
          <w:sz w:val="28"/>
          <w:szCs w:val="28"/>
          <w:lang w:eastAsia="ko-KR"/>
        </w:rPr>
        <w:t xml:space="preserve"> обработки флотского мазута в топливных системах низкого давления судов</w:t>
      </w:r>
      <w:bookmarkEnd w:id="338"/>
      <w:bookmarkEnd w:id="339"/>
      <w:bookmarkEnd w:id="340"/>
      <w:bookmarkEnd w:id="341"/>
      <w:bookmarkEnd w:id="342"/>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Технологии, позволяющие воздействовать на физико-химические свойства мазутов, являются альтернативой усовершенствованию двигателей, топливной аппаратуры и методов нейтрализации продуктов их сгорания.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Существующую топливную систему низкого давления судов, работающих на флотских мазутах, предполагается </w:t>
      </w:r>
      <w:proofErr w:type="spellStart"/>
      <w:r w:rsidRPr="005B0D7D">
        <w:rPr>
          <w:rFonts w:ascii="Times New Roman" w:eastAsia="Batang" w:hAnsi="Times New Roman" w:cs="Times New Roman"/>
          <w:sz w:val="28"/>
          <w:szCs w:val="28"/>
          <w:lang w:eastAsia="ko-KR"/>
        </w:rPr>
        <w:t>дооснащать</w:t>
      </w:r>
      <w:proofErr w:type="spellEnd"/>
      <w:r w:rsidRPr="005B0D7D">
        <w:rPr>
          <w:rFonts w:ascii="Times New Roman" w:eastAsia="Batang" w:hAnsi="Times New Roman" w:cs="Times New Roman"/>
          <w:sz w:val="28"/>
          <w:szCs w:val="28"/>
          <w:lang w:eastAsia="ko-KR"/>
        </w:rPr>
        <w:t xml:space="preserve"> устройством гидродинамической </w:t>
      </w:r>
      <w:proofErr w:type="spellStart"/>
      <w:r w:rsidRPr="005B0D7D">
        <w:rPr>
          <w:rFonts w:ascii="Times New Roman" w:eastAsia="Batang" w:hAnsi="Times New Roman" w:cs="Times New Roman"/>
          <w:sz w:val="28"/>
          <w:szCs w:val="28"/>
          <w:lang w:eastAsia="ko-KR"/>
        </w:rPr>
        <w:t>кавитационной</w:t>
      </w:r>
      <w:proofErr w:type="spellEnd"/>
      <w:r w:rsidRPr="005B0D7D">
        <w:rPr>
          <w:rFonts w:ascii="Times New Roman" w:eastAsia="Batang" w:hAnsi="Times New Roman" w:cs="Times New Roman"/>
          <w:sz w:val="28"/>
          <w:szCs w:val="28"/>
          <w:lang w:eastAsia="ko-KR"/>
        </w:rPr>
        <w:t xml:space="preserve"> обработки топлива (</w:t>
      </w:r>
      <w:proofErr w:type="spellStart"/>
      <w:r w:rsidRPr="005B0D7D">
        <w:rPr>
          <w:rFonts w:ascii="Times New Roman" w:eastAsia="Batang" w:hAnsi="Times New Roman" w:cs="Times New Roman"/>
          <w:sz w:val="28"/>
          <w:szCs w:val="28"/>
          <w:lang w:eastAsia="ko-KR"/>
        </w:rPr>
        <w:t>диспергатором</w:t>
      </w:r>
      <w:proofErr w:type="spellEnd"/>
      <w:r w:rsidRPr="005B0D7D">
        <w:rPr>
          <w:rFonts w:ascii="Times New Roman" w:eastAsia="Batang" w:hAnsi="Times New Roman" w:cs="Times New Roman"/>
          <w:sz w:val="28"/>
          <w:szCs w:val="28"/>
          <w:lang w:eastAsia="ko-KR"/>
        </w:rPr>
        <w:t>) разработки АНО «СИП РИА» (город Королев Московской области). В результате использования данной технологии повышается эффективность сжигания топлива (экономия до 10%) и сокращается эмиссия экологически вредных продуктов сгорания в окружающую среду.</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bookmarkStart w:id="343" w:name="_Toc406359156"/>
      <w:bookmarkStart w:id="344" w:name="_Toc406884142"/>
      <w:bookmarkStart w:id="345" w:name="_Toc406915524"/>
      <w:bookmarkStart w:id="346" w:name="_Toc406967914"/>
      <w:bookmarkStart w:id="347" w:name="_Toc407031477"/>
      <w:r w:rsidRPr="005B0D7D">
        <w:rPr>
          <w:rFonts w:ascii="Times New Roman" w:eastAsia="Batang" w:hAnsi="Times New Roman" w:cs="Times New Roman"/>
          <w:b/>
          <w:sz w:val="28"/>
          <w:szCs w:val="28"/>
          <w:lang w:eastAsia="ko-KR"/>
        </w:rPr>
        <w:t>5. Производство газобетона</w:t>
      </w:r>
      <w:bookmarkEnd w:id="343"/>
      <w:bookmarkEnd w:id="344"/>
      <w:bookmarkEnd w:id="345"/>
      <w:bookmarkEnd w:id="346"/>
      <w:bookmarkEnd w:id="34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Проект направлен на производство газобетона (преимущественно автоклавного, или ячеистого бетона автоклавного твердения, </w:t>
      </w:r>
      <w:proofErr w:type="spellStart"/>
      <w:r w:rsidRPr="005B0D7D">
        <w:rPr>
          <w:rFonts w:ascii="Times New Roman" w:eastAsia="Batang" w:hAnsi="Times New Roman" w:cs="Times New Roman"/>
          <w:sz w:val="28"/>
          <w:szCs w:val="28"/>
          <w:lang w:eastAsia="ko-KR"/>
        </w:rPr>
        <w:t>газосиликата</w:t>
      </w:r>
      <w:proofErr w:type="spellEnd"/>
      <w:r w:rsidRPr="005B0D7D">
        <w:rPr>
          <w:rFonts w:ascii="Times New Roman" w:eastAsia="Batang" w:hAnsi="Times New Roman" w:cs="Times New Roman"/>
          <w:sz w:val="28"/>
          <w:szCs w:val="28"/>
          <w:lang w:eastAsia="ko-KR"/>
        </w:rPr>
        <w:t xml:space="preserve">). </w:t>
      </w:r>
      <w:proofErr w:type="gramStart"/>
      <w:r w:rsidRPr="005B0D7D">
        <w:rPr>
          <w:rFonts w:ascii="Times New Roman" w:eastAsia="Batang" w:hAnsi="Times New Roman" w:cs="Times New Roman"/>
          <w:sz w:val="28"/>
          <w:szCs w:val="28"/>
          <w:lang w:eastAsia="ko-KR"/>
        </w:rPr>
        <w:t>Блоки из ячеистого бетона предназначены для кладки наружных, внутренних стен и перегородок зданий с относительной влажностью воздуха помещений не более 75%. Стеновые блоки и перегородки из ячеистого бетона могут быть использованы в разных климатических зонах при строительстве несущих конструкций жилых домов и общественных зданий до 9 этажей, а также для утепления конструкций зданий, несущие стены которых выполнены из более холодных</w:t>
      </w:r>
      <w:proofErr w:type="gramEnd"/>
      <w:r w:rsidRPr="005B0D7D">
        <w:rPr>
          <w:rFonts w:ascii="Times New Roman" w:eastAsia="Batang" w:hAnsi="Times New Roman" w:cs="Times New Roman"/>
          <w:sz w:val="28"/>
          <w:szCs w:val="28"/>
          <w:lang w:eastAsia="ko-KR"/>
        </w:rPr>
        <w:t xml:space="preserve"> стеновых материалов (тяжелого бетона, кирпича).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Создание производства автоклавного газобетона предлагается на основе технологий компании HESS AAC </w:t>
      </w:r>
      <w:proofErr w:type="spellStart"/>
      <w:r w:rsidRPr="005B0D7D">
        <w:rPr>
          <w:rFonts w:ascii="Times New Roman" w:eastAsia="Batang" w:hAnsi="Times New Roman" w:cs="Times New Roman"/>
          <w:sz w:val="28"/>
          <w:szCs w:val="28"/>
          <w:lang w:eastAsia="ko-KR"/>
        </w:rPr>
        <w:t>Systems</w:t>
      </w:r>
      <w:proofErr w:type="spellEnd"/>
      <w:r w:rsidRPr="005B0D7D">
        <w:rPr>
          <w:rFonts w:ascii="Times New Roman" w:eastAsia="Batang" w:hAnsi="Times New Roman" w:cs="Times New Roman"/>
          <w:sz w:val="28"/>
          <w:szCs w:val="28"/>
          <w:lang w:eastAsia="ko-KR"/>
        </w:rPr>
        <w:t xml:space="preserve">, которая является крупнейшим поставщиком и производителем заводов автоклавного газобетона в Европе. Заводы, поставляемые компанией HESS AAC </w:t>
      </w:r>
      <w:proofErr w:type="spellStart"/>
      <w:r w:rsidRPr="005B0D7D">
        <w:rPr>
          <w:rFonts w:ascii="Times New Roman" w:eastAsia="Batang" w:hAnsi="Times New Roman" w:cs="Times New Roman"/>
          <w:sz w:val="28"/>
          <w:szCs w:val="28"/>
          <w:lang w:eastAsia="ko-KR"/>
        </w:rPr>
        <w:t>Systems</w:t>
      </w:r>
      <w:proofErr w:type="spellEnd"/>
      <w:r w:rsidRPr="005B0D7D">
        <w:rPr>
          <w:rFonts w:ascii="Times New Roman" w:eastAsia="Batang" w:hAnsi="Times New Roman" w:cs="Times New Roman"/>
          <w:sz w:val="28"/>
          <w:szCs w:val="28"/>
          <w:lang w:eastAsia="ko-KR"/>
        </w:rPr>
        <w:t xml:space="preserve">, позволяют выпускать, в </w:t>
      </w:r>
      <w:r w:rsidRPr="005B0D7D">
        <w:rPr>
          <w:rFonts w:ascii="Times New Roman" w:eastAsia="Batang" w:hAnsi="Times New Roman" w:cs="Times New Roman"/>
          <w:sz w:val="28"/>
          <w:szCs w:val="28"/>
          <w:lang w:eastAsia="ko-KR"/>
        </w:rPr>
        <w:lastRenderedPageBreak/>
        <w:t xml:space="preserve">частности, газобетонные блоки (классические, </w:t>
      </w:r>
      <w:proofErr w:type="spellStart"/>
      <w:r w:rsidRPr="005B0D7D">
        <w:rPr>
          <w:rFonts w:ascii="Times New Roman" w:eastAsia="Batang" w:hAnsi="Times New Roman" w:cs="Times New Roman"/>
          <w:sz w:val="28"/>
          <w:szCs w:val="28"/>
          <w:lang w:eastAsia="ko-KR"/>
        </w:rPr>
        <w:t>пазогребневые</w:t>
      </w:r>
      <w:proofErr w:type="spellEnd"/>
      <w:r w:rsidRPr="005B0D7D">
        <w:rPr>
          <w:rFonts w:ascii="Times New Roman" w:eastAsia="Batang" w:hAnsi="Times New Roman" w:cs="Times New Roman"/>
          <w:sz w:val="28"/>
          <w:szCs w:val="28"/>
          <w:lang w:eastAsia="ko-KR"/>
        </w:rPr>
        <w:t>) и армированные панели из автоклавного газобетона.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Компания выпускает линии по производству газобетона разной производительности от 200 до </w:t>
      </w:r>
      <w:smartTag w:uri="urn:schemas-microsoft-com:office:smarttags" w:element="metricconverter">
        <w:smartTagPr>
          <w:attr w:name="ProductID" w:val="2000 куб. м"/>
        </w:smartTagPr>
        <w:r w:rsidRPr="005B0D7D">
          <w:rPr>
            <w:rFonts w:ascii="Times New Roman" w:eastAsia="Batang" w:hAnsi="Times New Roman" w:cs="Times New Roman"/>
            <w:sz w:val="28"/>
            <w:szCs w:val="28"/>
            <w:lang w:eastAsia="ko-KR"/>
          </w:rPr>
          <w:t>2000 куб. м</w:t>
        </w:r>
      </w:smartTag>
      <w:r w:rsidRPr="005B0D7D">
        <w:rPr>
          <w:rFonts w:ascii="Times New Roman" w:eastAsia="Batang" w:hAnsi="Times New Roman" w:cs="Times New Roman"/>
          <w:sz w:val="28"/>
          <w:szCs w:val="28"/>
          <w:lang w:eastAsia="ko-KR"/>
        </w:rPr>
        <w:t xml:space="preserve"> газобетонных изделий в сутки. Основные принципы всех линий – это резка вертикально стоящих массивов с последующим обратным кантованием на решетку и автоклавная обработка в горизонтальном положении.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Для изготовления ячеистого бетона применяются распространенные материалы, в том числе местное сырье: песок и вода. В смесь в небольшом количестве добавляется также алюминиевый порошок, способствующий образованию в массе воздушных ячеек и делающий материал пористым. Современная технология позволяет производить газобетон без отходов, загрязняющих окружающую среду.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Открытие новых произво</w:t>
      </w:r>
      <w:proofErr w:type="gramStart"/>
      <w:r w:rsidRPr="005B0D7D">
        <w:rPr>
          <w:rFonts w:ascii="Times New Roman" w:eastAsia="Batang" w:hAnsi="Times New Roman" w:cs="Times New Roman"/>
          <w:sz w:val="28"/>
          <w:szCs w:val="28"/>
          <w:lang w:eastAsia="ko-KR"/>
        </w:rPr>
        <w:t>дств стр</w:t>
      </w:r>
      <w:proofErr w:type="gramEnd"/>
      <w:r w:rsidRPr="005B0D7D">
        <w:rPr>
          <w:rFonts w:ascii="Times New Roman" w:eastAsia="Batang" w:hAnsi="Times New Roman" w:cs="Times New Roman"/>
          <w:sz w:val="28"/>
          <w:szCs w:val="28"/>
          <w:lang w:eastAsia="ko-KR"/>
        </w:rPr>
        <w:t xml:space="preserve">оительных материалов позволят повысить доступность и качество возводимого жилья. </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bookmarkStart w:id="348" w:name="_Toc406359157"/>
      <w:bookmarkStart w:id="349" w:name="_Toc406884143"/>
      <w:bookmarkStart w:id="350" w:name="_Toc406915525"/>
      <w:bookmarkStart w:id="351" w:name="_Toc406967915"/>
      <w:bookmarkStart w:id="352" w:name="_Toc407031478"/>
      <w:r w:rsidRPr="005B0D7D">
        <w:rPr>
          <w:rFonts w:ascii="Times New Roman" w:eastAsia="Batang" w:hAnsi="Times New Roman" w:cs="Times New Roman"/>
          <w:b/>
          <w:sz w:val="28"/>
          <w:szCs w:val="28"/>
          <w:lang w:eastAsia="ko-KR"/>
        </w:rPr>
        <w:t>6. Предприятие по внедрению инновационных технологий в градостроительстве</w:t>
      </w:r>
      <w:bookmarkEnd w:id="348"/>
      <w:bookmarkEnd w:id="349"/>
      <w:bookmarkEnd w:id="350"/>
      <w:bookmarkEnd w:id="351"/>
      <w:bookmarkEnd w:id="352"/>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bookmarkStart w:id="353" w:name="_Toc406359158"/>
      <w:bookmarkStart w:id="354" w:name="_Toc406884144"/>
      <w:bookmarkStart w:id="355" w:name="_Toc406915526"/>
      <w:bookmarkStart w:id="356" w:name="_Toc406967916"/>
      <w:bookmarkStart w:id="357" w:name="_Toc407031479"/>
      <w:r w:rsidRPr="005B0D7D">
        <w:rPr>
          <w:rFonts w:ascii="Times New Roman" w:eastAsia="Batang" w:hAnsi="Times New Roman" w:cs="Times New Roman"/>
          <w:sz w:val="28"/>
          <w:szCs w:val="28"/>
          <w:lang w:eastAsia="ko-KR"/>
        </w:rPr>
        <w:t>Планируется создание предприятия для укрепления дорожного полотна, укрепления насыпных дамб и намывных пойменных площадей для инфраструктурного строительства с использованием стабилизаторов грунтов на основе полимерных эмульсий.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Инновационные материалы и технологии могут быть применены при строительстве и ремонте дорог различных категорий, устройстве промышленных площадок и паркингов, создании спортивных площадок и лесопарковых дорожек в градостроительстве.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Качество дорожного покрытия с использованием полимерных эмульсий сохраняется в течение долгого времени после начала эксплуатации дороги (от пяти до десяти лет). Технология оправдана как при строительстве сельских дорог, так и для обустройства нефтегазовых месторождений.</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7. Мусороперерабатывающий завод</w:t>
      </w:r>
      <w:bookmarkEnd w:id="353"/>
      <w:bookmarkEnd w:id="354"/>
      <w:bookmarkEnd w:id="355"/>
      <w:bookmarkEnd w:id="356"/>
      <w:bookmarkEnd w:id="35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Предлагается строительство мусороперерабатывающего завода межмуниципального значения. Рекомендуется рассмотреть целесообразность закупки и использования оборудования, работающего по технологии «</w:t>
      </w:r>
      <w:proofErr w:type="spellStart"/>
      <w:r w:rsidRPr="005B0D7D">
        <w:rPr>
          <w:rFonts w:ascii="Times New Roman" w:eastAsia="Batang" w:hAnsi="Times New Roman" w:cs="Times New Roman"/>
          <w:sz w:val="28"/>
          <w:szCs w:val="28"/>
          <w:lang w:eastAsia="ko-KR"/>
        </w:rPr>
        <w:t>Arrow</w:t>
      </w:r>
      <w:proofErr w:type="spellEnd"/>
      <w:r w:rsidRPr="005B0D7D">
        <w:rPr>
          <w:rFonts w:ascii="Times New Roman" w:eastAsia="Batang" w:hAnsi="Times New Roman" w:cs="Times New Roman"/>
          <w:sz w:val="28"/>
          <w:szCs w:val="28"/>
          <w:lang w:eastAsia="ko-KR"/>
        </w:rPr>
        <w:t xml:space="preserve"> </w:t>
      </w:r>
      <w:proofErr w:type="spellStart"/>
      <w:r w:rsidRPr="005B0D7D">
        <w:rPr>
          <w:rFonts w:ascii="Times New Roman" w:eastAsia="Batang" w:hAnsi="Times New Roman" w:cs="Times New Roman"/>
          <w:sz w:val="28"/>
          <w:szCs w:val="28"/>
          <w:lang w:eastAsia="ko-KR"/>
        </w:rPr>
        <w:t>Bio</w:t>
      </w:r>
      <w:proofErr w:type="spellEnd"/>
      <w:r w:rsidRPr="005B0D7D">
        <w:rPr>
          <w:rFonts w:ascii="Times New Roman" w:eastAsia="Batang" w:hAnsi="Times New Roman" w:cs="Times New Roman"/>
          <w:sz w:val="28"/>
          <w:szCs w:val="28"/>
          <w:lang w:eastAsia="ko-KR"/>
        </w:rPr>
        <w:t xml:space="preserve">». В основу данной технологии положена гидромеханическая сортировка твердых бытовых отходов с последующей анаэробной переработкой органических отходов. Автором технологии является компания ARROW ECOLOGY &amp; ENGINEERING OVERSEAS (1999) LTD (Израиль), которая совместно с компанией ALECON </w:t>
      </w:r>
      <w:proofErr w:type="spellStart"/>
      <w:r w:rsidRPr="005B0D7D">
        <w:rPr>
          <w:rFonts w:ascii="Times New Roman" w:eastAsia="Batang" w:hAnsi="Times New Roman" w:cs="Times New Roman"/>
          <w:sz w:val="28"/>
          <w:szCs w:val="28"/>
          <w:lang w:eastAsia="ko-KR"/>
        </w:rPr>
        <w:t>Technology</w:t>
      </w:r>
      <w:proofErr w:type="spellEnd"/>
      <w:r w:rsidRPr="005B0D7D">
        <w:rPr>
          <w:rFonts w:ascii="Times New Roman" w:eastAsia="Batang" w:hAnsi="Times New Roman" w:cs="Times New Roman"/>
          <w:sz w:val="28"/>
          <w:szCs w:val="28"/>
          <w:lang w:eastAsia="ko-KR"/>
        </w:rPr>
        <w:t xml:space="preserve"> &amp; </w:t>
      </w:r>
      <w:proofErr w:type="spellStart"/>
      <w:r w:rsidRPr="005B0D7D">
        <w:rPr>
          <w:rFonts w:ascii="Times New Roman" w:eastAsia="Batang" w:hAnsi="Times New Roman" w:cs="Times New Roman"/>
          <w:sz w:val="28"/>
          <w:szCs w:val="28"/>
          <w:lang w:eastAsia="ko-KR"/>
        </w:rPr>
        <w:t>Consulting</w:t>
      </w:r>
      <w:proofErr w:type="spellEnd"/>
      <w:r w:rsidRPr="005B0D7D">
        <w:rPr>
          <w:rFonts w:ascii="Times New Roman" w:eastAsia="Batang" w:hAnsi="Times New Roman" w:cs="Times New Roman"/>
          <w:sz w:val="28"/>
          <w:szCs w:val="28"/>
          <w:lang w:eastAsia="ko-KR"/>
        </w:rPr>
        <w:t xml:space="preserve"> LTD (Израиль) занимается ее продвижением на территории стран Содружества независимых государств.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Для сортировки твердых бытовых отходов используется вода, которая является природным нейтрализатором запахов. Изначально не сортированный мусор поступает в приемное отделение, отходы сортируются по размеру. Затем мусор прогоняют через водный поток, где органические и неорганические массы разделяются методом гравитационного регулирования. Тяжелые предметы тонут </w:t>
      </w:r>
      <w:r w:rsidRPr="005B0D7D">
        <w:rPr>
          <w:rFonts w:ascii="Times New Roman" w:eastAsia="Batang" w:hAnsi="Times New Roman" w:cs="Times New Roman"/>
          <w:sz w:val="28"/>
          <w:szCs w:val="28"/>
          <w:lang w:eastAsia="ko-KR"/>
        </w:rPr>
        <w:lastRenderedPageBreak/>
        <w:t>(металл, стекло), далее металл отделяется от стекла мощным магнитом, а более легкие вещества, такие как пластик, всплывают на поверхность. Легкий пластик сдувают вытяжными вентиляторами. Пройдя первую стадию, на выходе получается чистый продукт: металл, стекло, пластмасса. Металл идет на переплавку, стекло – для повторного изготовления стеклотары или использования в дорожном строительстве. Пластик прессуется в брикеты и отправляется для дальнейшей переработки. Чистая органическая масса проходит подготовку к следующей стадии – биологической. Органика преобразуется в компост. Полученное на основе биогаза электричество используется для внутренних технологических потребностей предприятия и может поставляться для продажи другим потребителям. Горячую воду можно использовать для обогрева или других хозяйственных нужд.</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bookmarkStart w:id="358" w:name="_Toc406359159"/>
      <w:bookmarkStart w:id="359" w:name="_Toc406884145"/>
      <w:bookmarkStart w:id="360" w:name="_Toc406915527"/>
      <w:bookmarkStart w:id="361" w:name="_Toc406967917"/>
      <w:bookmarkStart w:id="362" w:name="_Toc407031480"/>
      <w:r w:rsidRPr="005B0D7D">
        <w:rPr>
          <w:rFonts w:ascii="Times New Roman" w:eastAsia="Batang" w:hAnsi="Times New Roman" w:cs="Times New Roman"/>
          <w:b/>
          <w:sz w:val="28"/>
          <w:szCs w:val="28"/>
          <w:lang w:eastAsia="ko-KR"/>
        </w:rPr>
        <w:t xml:space="preserve">8. Тепличное хозяйство, включая производство </w:t>
      </w:r>
      <w:proofErr w:type="spellStart"/>
      <w:r w:rsidRPr="005B0D7D">
        <w:rPr>
          <w:rFonts w:ascii="Times New Roman" w:eastAsia="Batang" w:hAnsi="Times New Roman" w:cs="Times New Roman"/>
          <w:b/>
          <w:sz w:val="28"/>
          <w:szCs w:val="28"/>
          <w:lang w:eastAsia="ko-KR"/>
        </w:rPr>
        <w:t>экочерноземов</w:t>
      </w:r>
      <w:bookmarkEnd w:id="358"/>
      <w:bookmarkEnd w:id="359"/>
      <w:bookmarkEnd w:id="360"/>
      <w:bookmarkEnd w:id="361"/>
      <w:bookmarkEnd w:id="362"/>
      <w:proofErr w:type="spellEnd"/>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Развитие агропромышленного комплекса в пределах территории города Ханты-Мансийска способствует росту социального потенциала населения и вносит вклад в обеспечение продовольственной безопасности.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Местное сельскохозяйственное производство является единственным источником малотранспортабельной и скоропортящейся продукции, а также важным стабилизирующим фактором в сдерживании цен на поступающую сельскохозяйственную продукцию из других регионов.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Строительство тепличного комплекса включает: 1) блок теплиц со стеклянным или поликарбонатным покрытием; 2) помещение для хранения, подработки и реализации выращенной продукции.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теплицах предусматривается выращивание рассады для собственных нужд на полу с подтоплением и </w:t>
      </w:r>
      <w:proofErr w:type="spellStart"/>
      <w:r w:rsidRPr="005B0D7D">
        <w:rPr>
          <w:rFonts w:ascii="Times New Roman" w:eastAsia="Batang" w:hAnsi="Times New Roman" w:cs="Times New Roman"/>
          <w:sz w:val="28"/>
          <w:szCs w:val="28"/>
          <w:lang w:eastAsia="ko-KR"/>
        </w:rPr>
        <w:t>электродосвечиванием</w:t>
      </w:r>
      <w:proofErr w:type="spellEnd"/>
      <w:r w:rsidRPr="005B0D7D">
        <w:rPr>
          <w:rFonts w:ascii="Times New Roman" w:eastAsia="Batang" w:hAnsi="Times New Roman" w:cs="Times New Roman"/>
          <w:sz w:val="28"/>
          <w:szCs w:val="28"/>
          <w:lang w:eastAsia="ko-KR"/>
        </w:rPr>
        <w:t xml:space="preserve"> с уровнем освещенности 12000 </w:t>
      </w:r>
      <w:proofErr w:type="spellStart"/>
      <w:r w:rsidRPr="005B0D7D">
        <w:rPr>
          <w:rFonts w:ascii="Times New Roman" w:eastAsia="Batang" w:hAnsi="Times New Roman" w:cs="Times New Roman"/>
          <w:sz w:val="28"/>
          <w:szCs w:val="28"/>
          <w:lang w:eastAsia="ko-KR"/>
        </w:rPr>
        <w:t>лк</w:t>
      </w:r>
      <w:proofErr w:type="spellEnd"/>
      <w:r w:rsidRPr="005B0D7D">
        <w:rPr>
          <w:rFonts w:ascii="Times New Roman" w:eastAsia="Batang" w:hAnsi="Times New Roman" w:cs="Times New Roman"/>
          <w:sz w:val="28"/>
          <w:szCs w:val="28"/>
          <w:lang w:eastAsia="ko-KR"/>
        </w:rPr>
        <w:t>. После высадки рассады предусматривается выращивание основных культур.</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Выращивание овощей как товарной продукции предусматривается способом </w:t>
      </w:r>
      <w:proofErr w:type="spellStart"/>
      <w:r w:rsidRPr="005B0D7D">
        <w:rPr>
          <w:rFonts w:ascii="Times New Roman" w:eastAsia="Batang" w:hAnsi="Times New Roman" w:cs="Times New Roman"/>
          <w:sz w:val="28"/>
          <w:szCs w:val="28"/>
          <w:lang w:eastAsia="ko-KR"/>
        </w:rPr>
        <w:t>малообьемной</w:t>
      </w:r>
      <w:proofErr w:type="spellEnd"/>
      <w:r w:rsidRPr="005B0D7D">
        <w:rPr>
          <w:rFonts w:ascii="Times New Roman" w:eastAsia="Batang" w:hAnsi="Times New Roman" w:cs="Times New Roman"/>
          <w:sz w:val="28"/>
          <w:szCs w:val="28"/>
          <w:lang w:eastAsia="ko-KR"/>
        </w:rPr>
        <w:t xml:space="preserve"> гидропоники с капельным поливом и питанием культур растворами минеральных удобрений. Растения размещаются в субстрате, уложенном в подвесных оцинкованных стальных лотках с полимерным покрытием.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качестве тепличного грунта предлагается использовать </w:t>
      </w:r>
      <w:proofErr w:type="spellStart"/>
      <w:r w:rsidRPr="005B0D7D">
        <w:rPr>
          <w:rFonts w:ascii="Times New Roman" w:eastAsia="Batang" w:hAnsi="Times New Roman" w:cs="Times New Roman"/>
          <w:sz w:val="28"/>
          <w:szCs w:val="28"/>
          <w:lang w:eastAsia="ko-KR"/>
        </w:rPr>
        <w:t>экочерноземы</w:t>
      </w:r>
      <w:proofErr w:type="spellEnd"/>
      <w:r w:rsidRPr="005B0D7D">
        <w:rPr>
          <w:rFonts w:ascii="Times New Roman" w:eastAsia="Batang" w:hAnsi="Times New Roman" w:cs="Times New Roman"/>
          <w:sz w:val="28"/>
          <w:szCs w:val="28"/>
          <w:lang w:eastAsia="ko-KR"/>
        </w:rPr>
        <w:t>, которые образуются в результате переработки отходов почвенными организмами. Источниками сырья являются навоз, помет, растительные отходы, торф, малоплодородная земля, иловые осадки очистных сооружений. Использование вакуумно-импульсных технологий позволяет измельчить и перемешать сырье и тем самым многократно увеличить поверхность (и скорость) переработки субстратов микроорганизмами.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roofErr w:type="spellStart"/>
      <w:r w:rsidRPr="005B0D7D">
        <w:rPr>
          <w:rFonts w:ascii="Times New Roman" w:eastAsia="Batang" w:hAnsi="Times New Roman" w:cs="Times New Roman"/>
          <w:sz w:val="28"/>
          <w:szCs w:val="28"/>
          <w:lang w:eastAsia="ko-KR"/>
        </w:rPr>
        <w:t>Биокомплексы</w:t>
      </w:r>
      <w:proofErr w:type="spellEnd"/>
      <w:r w:rsidRPr="005B0D7D">
        <w:rPr>
          <w:rFonts w:ascii="Times New Roman" w:eastAsia="Batang" w:hAnsi="Times New Roman" w:cs="Times New Roman"/>
          <w:sz w:val="28"/>
          <w:szCs w:val="28"/>
          <w:lang w:eastAsia="ko-KR"/>
        </w:rPr>
        <w:t xml:space="preserve"> организованы таким образом, что так называемые отходы жизнедеятельности одних живых организмов обеспечивают жизнедеятельность других живых организмов. Отсутствие отходов снижает объемы непроизводственных затрат.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 xml:space="preserve">Цех по производству </w:t>
      </w:r>
      <w:proofErr w:type="spellStart"/>
      <w:r w:rsidRPr="005B0D7D">
        <w:rPr>
          <w:rFonts w:ascii="Times New Roman" w:eastAsia="Batang" w:hAnsi="Times New Roman" w:cs="Times New Roman"/>
          <w:sz w:val="28"/>
          <w:szCs w:val="28"/>
          <w:lang w:eastAsia="ko-KR"/>
        </w:rPr>
        <w:t>экочерноземов</w:t>
      </w:r>
      <w:proofErr w:type="spellEnd"/>
      <w:r w:rsidRPr="005B0D7D">
        <w:rPr>
          <w:rFonts w:ascii="Times New Roman" w:eastAsia="Batang" w:hAnsi="Times New Roman" w:cs="Times New Roman"/>
          <w:sz w:val="28"/>
          <w:szCs w:val="28"/>
          <w:lang w:eastAsia="ko-KR"/>
        </w:rPr>
        <w:t xml:space="preserve"> позволяет получать следующие виды продукции: </w:t>
      </w:r>
      <w:proofErr w:type="spellStart"/>
      <w:r w:rsidRPr="005B0D7D">
        <w:rPr>
          <w:rFonts w:ascii="Times New Roman" w:eastAsia="Batang" w:hAnsi="Times New Roman" w:cs="Times New Roman"/>
          <w:sz w:val="28"/>
          <w:szCs w:val="28"/>
          <w:lang w:eastAsia="ko-KR"/>
        </w:rPr>
        <w:t>черноземообразующие</w:t>
      </w:r>
      <w:proofErr w:type="spellEnd"/>
      <w:r w:rsidRPr="005B0D7D">
        <w:rPr>
          <w:rFonts w:ascii="Times New Roman" w:eastAsia="Batang" w:hAnsi="Times New Roman" w:cs="Times New Roman"/>
          <w:sz w:val="28"/>
          <w:szCs w:val="28"/>
          <w:lang w:eastAsia="ko-KR"/>
        </w:rPr>
        <w:t xml:space="preserve"> организмы, </w:t>
      </w:r>
      <w:proofErr w:type="spellStart"/>
      <w:r w:rsidRPr="005B0D7D">
        <w:rPr>
          <w:rFonts w:ascii="Times New Roman" w:eastAsia="Batang" w:hAnsi="Times New Roman" w:cs="Times New Roman"/>
          <w:sz w:val="28"/>
          <w:szCs w:val="28"/>
          <w:lang w:eastAsia="ko-KR"/>
        </w:rPr>
        <w:t>экочернозем</w:t>
      </w:r>
      <w:proofErr w:type="spellEnd"/>
      <w:r w:rsidRPr="005B0D7D">
        <w:rPr>
          <w:rFonts w:ascii="Times New Roman" w:eastAsia="Batang" w:hAnsi="Times New Roman" w:cs="Times New Roman"/>
          <w:sz w:val="28"/>
          <w:szCs w:val="28"/>
          <w:lang w:eastAsia="ko-KR"/>
        </w:rPr>
        <w:t xml:space="preserve">, </w:t>
      </w:r>
      <w:proofErr w:type="spellStart"/>
      <w:r w:rsidRPr="005B0D7D">
        <w:rPr>
          <w:rFonts w:ascii="Times New Roman" w:eastAsia="Batang" w:hAnsi="Times New Roman" w:cs="Times New Roman"/>
          <w:sz w:val="28"/>
          <w:szCs w:val="28"/>
          <w:lang w:eastAsia="ko-KR"/>
        </w:rPr>
        <w:t>биогрунт</w:t>
      </w:r>
      <w:proofErr w:type="spellEnd"/>
      <w:r w:rsidRPr="005B0D7D">
        <w:rPr>
          <w:rFonts w:ascii="Times New Roman" w:eastAsia="Batang" w:hAnsi="Times New Roman" w:cs="Times New Roman"/>
          <w:sz w:val="28"/>
          <w:szCs w:val="28"/>
          <w:lang w:eastAsia="ko-KR"/>
        </w:rPr>
        <w:t>, концентрированный почвенный раствор, кормовой червь, зеленый корм – зелень (проростки) зерновых, бобовых и технических культур.</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bookmarkStart w:id="363" w:name="_Toc406359160"/>
      <w:bookmarkStart w:id="364" w:name="_Toc406884146"/>
      <w:bookmarkStart w:id="365" w:name="_Toc406915528"/>
      <w:bookmarkStart w:id="366" w:name="_Toc406967918"/>
      <w:bookmarkStart w:id="367" w:name="_Toc407031481"/>
      <w:r w:rsidRPr="005B0D7D">
        <w:rPr>
          <w:rFonts w:ascii="Times New Roman" w:eastAsia="Batang" w:hAnsi="Times New Roman" w:cs="Times New Roman"/>
          <w:b/>
          <w:sz w:val="28"/>
          <w:szCs w:val="28"/>
          <w:lang w:eastAsia="ko-KR"/>
        </w:rPr>
        <w:t xml:space="preserve">9. Сушка и </w:t>
      </w:r>
      <w:proofErr w:type="spellStart"/>
      <w:r w:rsidRPr="005B0D7D">
        <w:rPr>
          <w:rFonts w:ascii="Times New Roman" w:eastAsia="Batang" w:hAnsi="Times New Roman" w:cs="Times New Roman"/>
          <w:b/>
          <w:sz w:val="28"/>
          <w:szCs w:val="28"/>
          <w:lang w:eastAsia="ko-KR"/>
        </w:rPr>
        <w:t>сокодоработка</w:t>
      </w:r>
      <w:proofErr w:type="spellEnd"/>
      <w:r w:rsidRPr="005B0D7D">
        <w:rPr>
          <w:rFonts w:ascii="Times New Roman" w:eastAsia="Batang" w:hAnsi="Times New Roman" w:cs="Times New Roman"/>
          <w:b/>
          <w:sz w:val="28"/>
          <w:szCs w:val="28"/>
          <w:lang w:eastAsia="ko-KR"/>
        </w:rPr>
        <w:t xml:space="preserve"> дикоросов</w:t>
      </w:r>
      <w:bookmarkEnd w:id="363"/>
      <w:bookmarkEnd w:id="364"/>
      <w:bookmarkEnd w:id="365"/>
      <w:bookmarkEnd w:id="366"/>
      <w:bookmarkEnd w:id="36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Предполагается использование инновационных видов оборудования, работающих при температурах при температурах до +40</w:t>
      </w:r>
      <w:proofErr w:type="gramStart"/>
      <w:r w:rsidRPr="005B0D7D">
        <w:rPr>
          <w:rFonts w:ascii="Times New Roman" w:eastAsia="Batang" w:hAnsi="Times New Roman" w:cs="Times New Roman"/>
          <w:sz w:val="28"/>
          <w:szCs w:val="28"/>
          <w:lang w:eastAsia="ko-KR"/>
        </w:rPr>
        <w:t>˚С</w:t>
      </w:r>
      <w:proofErr w:type="gramEnd"/>
      <w:r w:rsidRPr="005B0D7D">
        <w:rPr>
          <w:rFonts w:ascii="Times New Roman" w:eastAsia="Batang" w:hAnsi="Times New Roman" w:cs="Times New Roman"/>
          <w:sz w:val="28"/>
          <w:szCs w:val="28"/>
          <w:lang w:eastAsia="ko-KR"/>
        </w:rPr>
        <w:t>: вакуумно-</w:t>
      </w:r>
      <w:proofErr w:type="spellStart"/>
      <w:r w:rsidRPr="005B0D7D">
        <w:rPr>
          <w:rFonts w:ascii="Times New Roman" w:eastAsia="Batang" w:hAnsi="Times New Roman" w:cs="Times New Roman"/>
          <w:sz w:val="28"/>
          <w:szCs w:val="28"/>
          <w:lang w:eastAsia="ko-KR"/>
        </w:rPr>
        <w:t>вальцевый</w:t>
      </w:r>
      <w:proofErr w:type="spellEnd"/>
      <w:r w:rsidRPr="005B0D7D">
        <w:rPr>
          <w:rFonts w:ascii="Times New Roman" w:eastAsia="Batang" w:hAnsi="Times New Roman" w:cs="Times New Roman"/>
          <w:sz w:val="28"/>
          <w:szCs w:val="28"/>
          <w:lang w:eastAsia="ko-KR"/>
        </w:rPr>
        <w:t xml:space="preserve"> смеситель-</w:t>
      </w:r>
      <w:proofErr w:type="spellStart"/>
      <w:r w:rsidRPr="005B0D7D">
        <w:rPr>
          <w:rFonts w:ascii="Times New Roman" w:eastAsia="Batang" w:hAnsi="Times New Roman" w:cs="Times New Roman"/>
          <w:sz w:val="28"/>
          <w:szCs w:val="28"/>
          <w:lang w:eastAsia="ko-KR"/>
        </w:rPr>
        <w:t>гранулятор</w:t>
      </w:r>
      <w:proofErr w:type="spellEnd"/>
      <w:r w:rsidRPr="005B0D7D">
        <w:rPr>
          <w:rFonts w:ascii="Times New Roman" w:eastAsia="Batang" w:hAnsi="Times New Roman" w:cs="Times New Roman"/>
          <w:sz w:val="28"/>
          <w:szCs w:val="28"/>
          <w:lang w:eastAsia="ko-KR"/>
        </w:rPr>
        <w:t xml:space="preserve"> и вакуумно-вихревой пастеризатор-гомогенизатор. Данное оборудование позволяет в 2-3 раза снизить </w:t>
      </w:r>
      <w:proofErr w:type="spellStart"/>
      <w:r w:rsidRPr="005B0D7D">
        <w:rPr>
          <w:rFonts w:ascii="Times New Roman" w:eastAsia="Batang" w:hAnsi="Times New Roman" w:cs="Times New Roman"/>
          <w:sz w:val="28"/>
          <w:szCs w:val="28"/>
          <w:lang w:eastAsia="ko-KR"/>
        </w:rPr>
        <w:t>энергозатраты</w:t>
      </w:r>
      <w:proofErr w:type="spellEnd"/>
      <w:r w:rsidRPr="005B0D7D">
        <w:rPr>
          <w:rFonts w:ascii="Times New Roman" w:eastAsia="Batang" w:hAnsi="Times New Roman" w:cs="Times New Roman"/>
          <w:sz w:val="28"/>
          <w:szCs w:val="28"/>
          <w:lang w:eastAsia="ko-KR"/>
        </w:rPr>
        <w:t xml:space="preserve"> и, соответственно, уменьшить себестоимость получаемой продукции по сравнению с аналогами. Обрабатываемый продукт за счет минимального нагрева, отсутствия контакта с кислородом и отсутствия </w:t>
      </w:r>
      <w:proofErr w:type="spellStart"/>
      <w:r w:rsidRPr="005B0D7D">
        <w:rPr>
          <w:rFonts w:ascii="Times New Roman" w:eastAsia="Batang" w:hAnsi="Times New Roman" w:cs="Times New Roman"/>
          <w:sz w:val="28"/>
          <w:szCs w:val="28"/>
          <w:lang w:eastAsia="ko-KR"/>
        </w:rPr>
        <w:t>бакобсеменения</w:t>
      </w:r>
      <w:proofErr w:type="spellEnd"/>
      <w:r w:rsidRPr="005B0D7D">
        <w:rPr>
          <w:rFonts w:ascii="Times New Roman" w:eastAsia="Batang" w:hAnsi="Times New Roman" w:cs="Times New Roman"/>
          <w:sz w:val="28"/>
          <w:szCs w:val="28"/>
          <w:lang w:eastAsia="ko-KR"/>
        </w:rPr>
        <w:t xml:space="preserve"> в процессе переработки отличается высоким качеством и биологической активностью.</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bookmarkStart w:id="368" w:name="_Toc406359161"/>
      <w:bookmarkStart w:id="369" w:name="_Toc406884147"/>
      <w:bookmarkStart w:id="370" w:name="_Toc406915529"/>
      <w:bookmarkStart w:id="371" w:name="_Toc406967919"/>
      <w:bookmarkStart w:id="372" w:name="_Toc407031482"/>
      <w:r w:rsidRPr="005B0D7D">
        <w:rPr>
          <w:rFonts w:ascii="Times New Roman" w:eastAsia="Batang" w:hAnsi="Times New Roman" w:cs="Times New Roman"/>
          <w:b/>
          <w:sz w:val="28"/>
          <w:szCs w:val="28"/>
          <w:lang w:eastAsia="ko-KR"/>
        </w:rPr>
        <w:t>10. Птицефабрика</w:t>
      </w:r>
      <w:bookmarkEnd w:id="368"/>
      <w:bookmarkEnd w:id="369"/>
      <w:bookmarkEnd w:id="370"/>
      <w:bookmarkEnd w:id="371"/>
      <w:bookmarkEnd w:id="372"/>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Строительство птицефабрики обеспечит население города высококачественным мясом птицы, в первую очередь охлажденными продуктами, срок годности которых составляет до пяти суток.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рамках проекта предлагается создать производство, включающее цеха для </w:t>
      </w:r>
      <w:proofErr w:type="spellStart"/>
      <w:r w:rsidRPr="005B0D7D">
        <w:rPr>
          <w:rFonts w:ascii="Times New Roman" w:eastAsia="Batang" w:hAnsi="Times New Roman" w:cs="Times New Roman"/>
          <w:sz w:val="28"/>
          <w:szCs w:val="28"/>
          <w:lang w:eastAsia="ko-KR"/>
        </w:rPr>
        <w:t>инкубирования</w:t>
      </w:r>
      <w:proofErr w:type="spellEnd"/>
      <w:r w:rsidRPr="005B0D7D">
        <w:rPr>
          <w:rFonts w:ascii="Times New Roman" w:eastAsia="Batang" w:hAnsi="Times New Roman" w:cs="Times New Roman"/>
          <w:sz w:val="28"/>
          <w:szCs w:val="28"/>
          <w:lang w:eastAsia="ko-KR"/>
        </w:rPr>
        <w:t xml:space="preserve"> и выращивания бройлеров, в состав </w:t>
      </w:r>
      <w:proofErr w:type="spellStart"/>
      <w:r w:rsidRPr="005B0D7D">
        <w:rPr>
          <w:rFonts w:ascii="Times New Roman" w:eastAsia="Batang" w:hAnsi="Times New Roman" w:cs="Times New Roman"/>
          <w:sz w:val="28"/>
          <w:szCs w:val="28"/>
          <w:lang w:eastAsia="ko-KR"/>
        </w:rPr>
        <w:t>птицекомплекса</w:t>
      </w:r>
      <w:proofErr w:type="spellEnd"/>
      <w:r w:rsidRPr="005B0D7D">
        <w:rPr>
          <w:rFonts w:ascii="Times New Roman" w:eastAsia="Batang" w:hAnsi="Times New Roman" w:cs="Times New Roman"/>
          <w:sz w:val="28"/>
          <w:szCs w:val="28"/>
          <w:lang w:eastAsia="ko-KR"/>
        </w:rPr>
        <w:t xml:space="preserve"> также будут входить убойный цех, цех утилизации и комбикормовый цех.</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Проект предполагает поэтапный ввод двух технологических очередей, каждая из которых характеризуется созданием 270 тысяч </w:t>
      </w:r>
      <w:proofErr w:type="spellStart"/>
      <w:r w:rsidRPr="005B0D7D">
        <w:rPr>
          <w:rFonts w:ascii="Times New Roman" w:eastAsia="Batang" w:hAnsi="Times New Roman" w:cs="Times New Roman"/>
          <w:sz w:val="28"/>
          <w:szCs w:val="28"/>
          <w:lang w:eastAsia="ko-KR"/>
        </w:rPr>
        <w:t>птицемест</w:t>
      </w:r>
      <w:proofErr w:type="spellEnd"/>
      <w:r w:rsidRPr="005B0D7D">
        <w:rPr>
          <w:rFonts w:ascii="Times New Roman" w:eastAsia="Batang" w:hAnsi="Times New Roman" w:cs="Times New Roman"/>
          <w:sz w:val="28"/>
          <w:szCs w:val="28"/>
          <w:lang w:eastAsia="ko-KR"/>
        </w:rPr>
        <w:t xml:space="preserve"> для откорма бройлера. Технологические производства будут размещены на одной площадке с необходимыми санитарно-ветеринарными разрывами. </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bookmarkStart w:id="373" w:name="_Toc406359162"/>
      <w:bookmarkStart w:id="374" w:name="_Toc406884148"/>
      <w:bookmarkStart w:id="375" w:name="_Toc406915530"/>
      <w:bookmarkStart w:id="376" w:name="_Toc406967920"/>
      <w:bookmarkStart w:id="377" w:name="_Toc407031483"/>
      <w:r w:rsidRPr="005B0D7D">
        <w:rPr>
          <w:rFonts w:ascii="Times New Roman" w:eastAsia="Batang" w:hAnsi="Times New Roman" w:cs="Times New Roman"/>
          <w:b/>
          <w:sz w:val="28"/>
          <w:szCs w:val="28"/>
          <w:lang w:eastAsia="ko-KR"/>
        </w:rPr>
        <w:t>11. Рекультивация торфяников</w:t>
      </w:r>
      <w:bookmarkEnd w:id="373"/>
      <w:bookmarkEnd w:id="374"/>
      <w:bookmarkEnd w:id="375"/>
      <w:bookmarkEnd w:id="376"/>
      <w:bookmarkEnd w:id="377"/>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торфяниках радионуклиды связываются гуминовыми веществами и собираются в верхнем слое. Этот слой легко снимается и затем путем пиролиза тяжелые металлы концентрируются, к примеру, в золе. Из золы их вытаскивают </w:t>
      </w:r>
      <w:proofErr w:type="spellStart"/>
      <w:r w:rsidRPr="005B0D7D">
        <w:rPr>
          <w:rFonts w:ascii="Times New Roman" w:eastAsia="Batang" w:hAnsi="Times New Roman" w:cs="Times New Roman"/>
          <w:sz w:val="28"/>
          <w:szCs w:val="28"/>
          <w:lang w:eastAsia="ko-KR"/>
        </w:rPr>
        <w:t>гальваникой</w:t>
      </w:r>
      <w:proofErr w:type="spellEnd"/>
      <w:r w:rsidRPr="005B0D7D">
        <w:rPr>
          <w:rFonts w:ascii="Times New Roman" w:eastAsia="Batang" w:hAnsi="Times New Roman" w:cs="Times New Roman"/>
          <w:sz w:val="28"/>
          <w:szCs w:val="28"/>
          <w:lang w:eastAsia="ko-KR"/>
        </w:rPr>
        <w:t xml:space="preserve"> или другими способами. Тепло и углекислый газ от пиролиза используется по технологиям </w:t>
      </w:r>
      <w:proofErr w:type="spellStart"/>
      <w:r w:rsidRPr="005B0D7D">
        <w:rPr>
          <w:rFonts w:ascii="Times New Roman" w:eastAsia="Batang" w:hAnsi="Times New Roman" w:cs="Times New Roman"/>
          <w:sz w:val="28"/>
          <w:szCs w:val="28"/>
          <w:lang w:eastAsia="ko-KR"/>
        </w:rPr>
        <w:t>хомобиотического</w:t>
      </w:r>
      <w:proofErr w:type="spellEnd"/>
      <w:r w:rsidRPr="005B0D7D">
        <w:rPr>
          <w:rFonts w:ascii="Times New Roman" w:eastAsia="Batang" w:hAnsi="Times New Roman" w:cs="Times New Roman"/>
          <w:sz w:val="28"/>
          <w:szCs w:val="28"/>
          <w:lang w:eastAsia="ko-KR"/>
        </w:rPr>
        <w:t xml:space="preserve"> оборота.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Торф по технологиям </w:t>
      </w:r>
      <w:proofErr w:type="spellStart"/>
      <w:r w:rsidRPr="005B0D7D">
        <w:rPr>
          <w:rFonts w:ascii="Times New Roman" w:eastAsia="Batang" w:hAnsi="Times New Roman" w:cs="Times New Roman"/>
          <w:sz w:val="28"/>
          <w:szCs w:val="28"/>
          <w:lang w:eastAsia="ko-KR"/>
        </w:rPr>
        <w:t>хомобиотического</w:t>
      </w:r>
      <w:proofErr w:type="spellEnd"/>
      <w:r w:rsidRPr="005B0D7D">
        <w:rPr>
          <w:rFonts w:ascii="Times New Roman" w:eastAsia="Batang" w:hAnsi="Times New Roman" w:cs="Times New Roman"/>
          <w:sz w:val="28"/>
          <w:szCs w:val="28"/>
          <w:lang w:eastAsia="ko-KR"/>
        </w:rPr>
        <w:t xml:space="preserve"> оборота – ценнейший товарный продукт, при этом отсутствует необходимость в осушении болот. Торф, обогащенный </w:t>
      </w:r>
      <w:proofErr w:type="spellStart"/>
      <w:r w:rsidRPr="005B0D7D">
        <w:rPr>
          <w:rFonts w:ascii="Times New Roman" w:eastAsia="Batang" w:hAnsi="Times New Roman" w:cs="Times New Roman"/>
          <w:sz w:val="28"/>
          <w:szCs w:val="28"/>
          <w:lang w:eastAsia="ko-KR"/>
        </w:rPr>
        <w:t>черноземообразующими</w:t>
      </w:r>
      <w:proofErr w:type="spellEnd"/>
      <w:r w:rsidRPr="005B0D7D">
        <w:rPr>
          <w:rFonts w:ascii="Times New Roman" w:eastAsia="Batang" w:hAnsi="Times New Roman" w:cs="Times New Roman"/>
          <w:sz w:val="28"/>
          <w:szCs w:val="28"/>
          <w:lang w:eastAsia="ko-KR"/>
        </w:rPr>
        <w:t xml:space="preserve"> организмами, позволяет получать </w:t>
      </w:r>
      <w:proofErr w:type="spellStart"/>
      <w:r w:rsidRPr="005B0D7D">
        <w:rPr>
          <w:rFonts w:ascii="Times New Roman" w:eastAsia="Batang" w:hAnsi="Times New Roman" w:cs="Times New Roman"/>
          <w:sz w:val="28"/>
          <w:szCs w:val="28"/>
          <w:lang w:eastAsia="ko-KR"/>
        </w:rPr>
        <w:t>экочернозем</w:t>
      </w:r>
      <w:proofErr w:type="spellEnd"/>
      <w:r w:rsidRPr="005B0D7D">
        <w:rPr>
          <w:rFonts w:ascii="Times New Roman" w:eastAsia="Batang" w:hAnsi="Times New Roman" w:cs="Times New Roman"/>
          <w:sz w:val="28"/>
          <w:szCs w:val="28"/>
          <w:lang w:eastAsia="ko-KR"/>
        </w:rPr>
        <w:t>. Эффектом от гумификации земель является уменьшение содержания радионуклидов в растениях.</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bookmarkStart w:id="378" w:name="_Toc406359163"/>
      <w:bookmarkStart w:id="379" w:name="_Toc406884149"/>
      <w:bookmarkStart w:id="380" w:name="_Toc406915531"/>
      <w:bookmarkStart w:id="381" w:name="_Toc406967921"/>
      <w:bookmarkStart w:id="382" w:name="_Toc407031484"/>
      <w:r w:rsidRPr="005B0D7D">
        <w:rPr>
          <w:rFonts w:ascii="Times New Roman" w:eastAsia="Batang" w:hAnsi="Times New Roman" w:cs="Times New Roman"/>
          <w:b/>
          <w:sz w:val="28"/>
          <w:szCs w:val="28"/>
          <w:lang w:eastAsia="ko-KR"/>
        </w:rPr>
        <w:t xml:space="preserve">12. Цех по выпечке </w:t>
      </w:r>
      <w:proofErr w:type="spellStart"/>
      <w:r w:rsidRPr="005B0D7D">
        <w:rPr>
          <w:rFonts w:ascii="Times New Roman" w:eastAsia="Batang" w:hAnsi="Times New Roman" w:cs="Times New Roman"/>
          <w:b/>
          <w:sz w:val="28"/>
          <w:szCs w:val="28"/>
          <w:lang w:eastAsia="ko-KR"/>
        </w:rPr>
        <w:t>бездрожжевого</w:t>
      </w:r>
      <w:proofErr w:type="spellEnd"/>
      <w:r w:rsidRPr="005B0D7D">
        <w:rPr>
          <w:rFonts w:ascii="Times New Roman" w:eastAsia="Batang" w:hAnsi="Times New Roman" w:cs="Times New Roman"/>
          <w:b/>
          <w:sz w:val="28"/>
          <w:szCs w:val="28"/>
          <w:lang w:eastAsia="ko-KR"/>
        </w:rPr>
        <w:t xml:space="preserve"> зернового хлеба</w:t>
      </w:r>
      <w:bookmarkEnd w:id="378"/>
      <w:bookmarkEnd w:id="379"/>
      <w:bookmarkEnd w:id="380"/>
      <w:bookmarkEnd w:id="381"/>
      <w:bookmarkEnd w:id="382"/>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Целесообразным представляется использование уникальной технологии выпечки или сушки </w:t>
      </w:r>
      <w:proofErr w:type="spellStart"/>
      <w:r w:rsidRPr="005B0D7D">
        <w:rPr>
          <w:rFonts w:ascii="Times New Roman" w:eastAsia="Batang" w:hAnsi="Times New Roman" w:cs="Times New Roman"/>
          <w:sz w:val="28"/>
          <w:szCs w:val="28"/>
          <w:lang w:eastAsia="ko-KR"/>
        </w:rPr>
        <w:t>бездрожжевого</w:t>
      </w:r>
      <w:proofErr w:type="spellEnd"/>
      <w:r w:rsidRPr="005B0D7D">
        <w:rPr>
          <w:rFonts w:ascii="Times New Roman" w:eastAsia="Batang" w:hAnsi="Times New Roman" w:cs="Times New Roman"/>
          <w:sz w:val="28"/>
          <w:szCs w:val="28"/>
          <w:lang w:eastAsia="ko-KR"/>
        </w:rPr>
        <w:t xml:space="preserve"> хлеба и хлебобулочных изделий (с возможностью применять натуральные закваски) из пророщенного и замоченного зерна, минуя фазу переработки зерна в муку.</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Выпечка основывается на вакуумно-импульсной и вакуумно-вихревой технологиях. Хлеб выпекается без разрыхлителей и других химических добавок из измельчённого и ферментированного в жидкой среде цельного зерна, в </w:t>
      </w:r>
      <w:r w:rsidRPr="005B0D7D">
        <w:rPr>
          <w:rFonts w:ascii="Times New Roman" w:eastAsia="Batang" w:hAnsi="Times New Roman" w:cs="Times New Roman"/>
          <w:sz w:val="28"/>
          <w:szCs w:val="28"/>
          <w:lang w:eastAsia="ko-KR"/>
        </w:rPr>
        <w:lastRenderedPageBreak/>
        <w:t>котором имеется клетчатка, микроэлементы, витамины и биологически активные вещества.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Приготовление тестовой массы для хлебопечения осуществляется посредством </w:t>
      </w:r>
      <w:proofErr w:type="gramStart"/>
      <w:r w:rsidRPr="005B0D7D">
        <w:rPr>
          <w:rFonts w:ascii="Times New Roman" w:eastAsia="Batang" w:hAnsi="Times New Roman" w:cs="Times New Roman"/>
          <w:sz w:val="28"/>
          <w:szCs w:val="28"/>
          <w:lang w:eastAsia="ko-KR"/>
        </w:rPr>
        <w:t>вакуум-вихревого</w:t>
      </w:r>
      <w:proofErr w:type="gramEnd"/>
      <w:r w:rsidRPr="005B0D7D">
        <w:rPr>
          <w:rFonts w:ascii="Times New Roman" w:eastAsia="Batang" w:hAnsi="Times New Roman" w:cs="Times New Roman"/>
          <w:sz w:val="28"/>
          <w:szCs w:val="28"/>
          <w:lang w:eastAsia="ko-KR"/>
        </w:rPr>
        <w:t xml:space="preserve"> пастеризатора-гомогенизатора. Тестовая масса готовится на данном аппарате из зерна и воды или других жидких компонентов (молочная сыворотка, пюре, соки и т.д.) без добавления муки.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Приготовленный таким образом хлеб сохраняет полезные свойства, его употребление в пищу способствует укреплению здоровья и увеличению продолжительности жизни человека.</w:t>
      </w:r>
    </w:p>
    <w:p w:rsidR="005B0D7D" w:rsidRPr="005B0D7D" w:rsidRDefault="005B0D7D" w:rsidP="005B0D7D">
      <w:pPr>
        <w:spacing w:before="120" w:after="0" w:line="240" w:lineRule="auto"/>
        <w:ind w:firstLine="720"/>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13. Комплексная модернизация внешнего и внутреннего освещения</w:t>
      </w:r>
    </w:p>
    <w:p w:rsidR="005B0D7D" w:rsidRPr="005B0D7D" w:rsidRDefault="005B0D7D" w:rsidP="005B0D7D">
      <w:pPr>
        <w:spacing w:after="0" w:line="240" w:lineRule="auto"/>
        <w:ind w:firstLine="709"/>
        <w:jc w:val="both"/>
        <w:rPr>
          <w:rFonts w:ascii="Times New Roman" w:eastAsia="Batang" w:hAnsi="Times New Roman" w:cs="Times New Roman"/>
          <w:bCs/>
          <w:kern w:val="32"/>
          <w:sz w:val="28"/>
          <w:szCs w:val="28"/>
          <w:lang w:eastAsia="ko-KR"/>
        </w:rPr>
      </w:pPr>
      <w:r w:rsidRPr="005B0D7D">
        <w:rPr>
          <w:rFonts w:ascii="Times New Roman" w:eastAsia="Batang" w:hAnsi="Times New Roman" w:cs="Times New Roman"/>
          <w:bCs/>
          <w:kern w:val="32"/>
          <w:sz w:val="28"/>
          <w:szCs w:val="28"/>
          <w:lang w:eastAsia="ko-KR"/>
        </w:rPr>
        <w:t xml:space="preserve">Компания </w:t>
      </w:r>
      <w:r w:rsidRPr="005B0D7D">
        <w:rPr>
          <w:rFonts w:ascii="Times New Roman" w:eastAsia="Batang" w:hAnsi="Times New Roman" w:cs="Times New Roman"/>
          <w:bCs/>
          <w:kern w:val="32"/>
          <w:sz w:val="28"/>
          <w:szCs w:val="28"/>
          <w:lang w:val="en-US" w:eastAsia="ko-KR"/>
        </w:rPr>
        <w:t>ENERCOM</w:t>
      </w:r>
      <w:r w:rsidRPr="005B0D7D">
        <w:rPr>
          <w:rFonts w:ascii="Times New Roman" w:eastAsia="Batang" w:hAnsi="Times New Roman" w:cs="Times New Roman"/>
          <w:bCs/>
          <w:kern w:val="32"/>
          <w:sz w:val="28"/>
          <w:szCs w:val="28"/>
          <w:lang w:eastAsia="ko-KR"/>
        </w:rPr>
        <w:t xml:space="preserve"> представляет инновационную технологию </w:t>
      </w:r>
      <w:r w:rsidRPr="005B0D7D">
        <w:rPr>
          <w:rFonts w:ascii="Times New Roman" w:eastAsia="Batang" w:hAnsi="Times New Roman" w:cs="Times New Roman"/>
          <w:bCs/>
          <w:kern w:val="32"/>
          <w:sz w:val="28"/>
          <w:szCs w:val="28"/>
          <w:lang w:val="en-US" w:eastAsia="ko-KR"/>
        </w:rPr>
        <w:t>COMFORTABLE</w:t>
      </w:r>
      <w:r w:rsidRPr="005B0D7D">
        <w:rPr>
          <w:rFonts w:ascii="Times New Roman" w:eastAsia="Batang" w:hAnsi="Times New Roman" w:cs="Times New Roman"/>
          <w:bCs/>
          <w:kern w:val="32"/>
          <w:sz w:val="28"/>
          <w:szCs w:val="28"/>
          <w:lang w:eastAsia="ko-KR"/>
        </w:rPr>
        <w:t xml:space="preserve"> </w:t>
      </w:r>
      <w:r w:rsidRPr="005B0D7D">
        <w:rPr>
          <w:rFonts w:ascii="Times New Roman" w:eastAsia="Batang" w:hAnsi="Times New Roman" w:cs="Times New Roman"/>
          <w:bCs/>
          <w:kern w:val="32"/>
          <w:sz w:val="28"/>
          <w:szCs w:val="28"/>
          <w:lang w:val="en-US" w:eastAsia="ko-KR"/>
        </w:rPr>
        <w:t>LIGHTING</w:t>
      </w:r>
      <w:r w:rsidRPr="005B0D7D">
        <w:rPr>
          <w:rFonts w:ascii="Times New Roman" w:eastAsia="Batang" w:hAnsi="Times New Roman" w:cs="Times New Roman"/>
          <w:bCs/>
          <w:kern w:val="32"/>
          <w:sz w:val="28"/>
          <w:szCs w:val="28"/>
          <w:lang w:eastAsia="ko-KR"/>
        </w:rPr>
        <w:t xml:space="preserve"> </w:t>
      </w:r>
      <w:r w:rsidRPr="005B0D7D">
        <w:rPr>
          <w:rFonts w:ascii="Times New Roman" w:eastAsia="Batang" w:hAnsi="Times New Roman" w:cs="Times New Roman"/>
          <w:bCs/>
          <w:kern w:val="32"/>
          <w:sz w:val="28"/>
          <w:szCs w:val="28"/>
          <w:lang w:val="en-US" w:eastAsia="ko-KR"/>
        </w:rPr>
        <w:t>SISTEM</w:t>
      </w:r>
      <w:r w:rsidRPr="005B0D7D">
        <w:rPr>
          <w:rFonts w:ascii="Times New Roman" w:eastAsia="Batang" w:hAnsi="Times New Roman" w:cs="Times New Roman"/>
          <w:bCs/>
          <w:kern w:val="32"/>
          <w:sz w:val="28"/>
          <w:szCs w:val="28"/>
          <w:lang w:eastAsia="ko-KR"/>
        </w:rPr>
        <w:t xml:space="preserve"> (</w:t>
      </w:r>
      <w:r w:rsidRPr="005B0D7D">
        <w:rPr>
          <w:rFonts w:ascii="Times New Roman" w:eastAsia="Batang" w:hAnsi="Times New Roman" w:cs="Times New Roman"/>
          <w:bCs/>
          <w:kern w:val="32"/>
          <w:sz w:val="28"/>
          <w:szCs w:val="28"/>
          <w:lang w:val="en-US" w:eastAsia="ko-KR"/>
        </w:rPr>
        <w:t>CLS</w:t>
      </w:r>
      <w:r w:rsidRPr="005B0D7D">
        <w:rPr>
          <w:rFonts w:ascii="Times New Roman" w:eastAsia="Batang" w:hAnsi="Times New Roman" w:cs="Times New Roman"/>
          <w:bCs/>
          <w:kern w:val="32"/>
          <w:sz w:val="28"/>
          <w:szCs w:val="28"/>
          <w:lang w:eastAsia="ko-KR"/>
        </w:rPr>
        <w:t xml:space="preserve">) на основе светодиодных светильников с эффектом «удаленного люминофора». По результатам испытаний ВНИСИ было доказано отсутствие пульсации и мерцания, бесшумность и экологическая безопасность, что позволяет использовать данные светильники для внутреннего освещения не только </w:t>
      </w:r>
      <w:proofErr w:type="spellStart"/>
      <w:r w:rsidRPr="005B0D7D">
        <w:rPr>
          <w:rFonts w:ascii="Times New Roman" w:eastAsia="Batang" w:hAnsi="Times New Roman" w:cs="Times New Roman"/>
          <w:bCs/>
          <w:kern w:val="32"/>
          <w:sz w:val="28"/>
          <w:szCs w:val="28"/>
          <w:lang w:eastAsia="ko-KR"/>
        </w:rPr>
        <w:t>офисно</w:t>
      </w:r>
      <w:proofErr w:type="spellEnd"/>
      <w:r w:rsidRPr="005B0D7D">
        <w:rPr>
          <w:rFonts w:ascii="Times New Roman" w:eastAsia="Batang" w:hAnsi="Times New Roman" w:cs="Times New Roman"/>
          <w:bCs/>
          <w:kern w:val="32"/>
          <w:sz w:val="28"/>
          <w:szCs w:val="28"/>
          <w:lang w:eastAsia="ko-KR"/>
        </w:rPr>
        <w:t>-торговых площадей, но и в дошкольных, медицинских, спортивных, культурных и образовательных учреждениях.</w:t>
      </w:r>
    </w:p>
    <w:p w:rsidR="005B0D7D" w:rsidRPr="005B0D7D" w:rsidRDefault="005B0D7D" w:rsidP="005B0D7D">
      <w:pPr>
        <w:spacing w:after="0" w:line="240" w:lineRule="auto"/>
        <w:ind w:firstLine="709"/>
        <w:jc w:val="both"/>
        <w:rPr>
          <w:rFonts w:ascii="Times New Roman" w:eastAsia="Batang" w:hAnsi="Times New Roman" w:cs="Times New Roman"/>
          <w:bCs/>
          <w:kern w:val="32"/>
          <w:sz w:val="28"/>
          <w:szCs w:val="28"/>
          <w:lang w:eastAsia="ko-KR"/>
        </w:rPr>
      </w:pPr>
      <w:r w:rsidRPr="005B0D7D">
        <w:rPr>
          <w:rFonts w:ascii="Times New Roman" w:eastAsia="Batang" w:hAnsi="Times New Roman" w:cs="Times New Roman"/>
          <w:bCs/>
          <w:kern w:val="32"/>
          <w:sz w:val="28"/>
          <w:szCs w:val="28"/>
          <w:lang w:eastAsia="ko-KR"/>
        </w:rPr>
        <w:t xml:space="preserve">Светодиодные источники освещения признаны самыми перспективными, в том числе для освещения дорог и включены в список энергосберегающих технологий </w:t>
      </w:r>
      <w:proofErr w:type="spellStart"/>
      <w:r w:rsidRPr="005B0D7D">
        <w:rPr>
          <w:rFonts w:ascii="Times New Roman" w:eastAsia="Batang" w:hAnsi="Times New Roman" w:cs="Times New Roman"/>
          <w:bCs/>
          <w:kern w:val="32"/>
          <w:sz w:val="28"/>
          <w:szCs w:val="28"/>
          <w:lang w:eastAsia="ko-KR"/>
        </w:rPr>
        <w:t>РОСАВТОДОРа</w:t>
      </w:r>
      <w:proofErr w:type="spellEnd"/>
      <w:r w:rsidRPr="005B0D7D">
        <w:rPr>
          <w:rFonts w:ascii="Times New Roman" w:eastAsia="Batang" w:hAnsi="Times New Roman" w:cs="Times New Roman"/>
          <w:bCs/>
          <w:kern w:val="32"/>
          <w:sz w:val="28"/>
          <w:szCs w:val="28"/>
          <w:lang w:eastAsia="ko-KR"/>
        </w:rPr>
        <w:t>.</w:t>
      </w:r>
    </w:p>
    <w:p w:rsidR="005B0D7D" w:rsidRPr="005B0D7D" w:rsidRDefault="005B0D7D" w:rsidP="005B0D7D">
      <w:pPr>
        <w:spacing w:after="0" w:line="240" w:lineRule="auto"/>
        <w:ind w:firstLine="709"/>
        <w:jc w:val="both"/>
        <w:rPr>
          <w:rFonts w:ascii="Times New Roman" w:eastAsia="Batang" w:hAnsi="Times New Roman" w:cs="Times New Roman"/>
          <w:bCs/>
          <w:kern w:val="32"/>
          <w:sz w:val="28"/>
          <w:szCs w:val="28"/>
          <w:lang w:eastAsia="ko-KR"/>
        </w:rPr>
      </w:pPr>
      <w:r w:rsidRPr="005B0D7D">
        <w:rPr>
          <w:rFonts w:ascii="Times New Roman" w:eastAsia="Batang" w:hAnsi="Times New Roman" w:cs="Times New Roman"/>
          <w:bCs/>
          <w:kern w:val="32"/>
          <w:sz w:val="28"/>
          <w:szCs w:val="28"/>
          <w:lang w:eastAsia="ko-KR"/>
        </w:rPr>
        <w:t xml:space="preserve">Компания имеет обширный опыт по модернизации систем освещения дорожных, уличных, домовых и </w:t>
      </w:r>
      <w:proofErr w:type="spellStart"/>
      <w:r w:rsidRPr="005B0D7D">
        <w:rPr>
          <w:rFonts w:ascii="Times New Roman" w:eastAsia="Batang" w:hAnsi="Times New Roman" w:cs="Times New Roman"/>
          <w:bCs/>
          <w:kern w:val="32"/>
          <w:sz w:val="28"/>
          <w:szCs w:val="28"/>
          <w:lang w:eastAsia="ko-KR"/>
        </w:rPr>
        <w:t>придворовых</w:t>
      </w:r>
      <w:proofErr w:type="spellEnd"/>
      <w:r w:rsidRPr="005B0D7D">
        <w:rPr>
          <w:rFonts w:ascii="Times New Roman" w:eastAsia="Batang" w:hAnsi="Times New Roman" w:cs="Times New Roman"/>
          <w:bCs/>
          <w:kern w:val="32"/>
          <w:sz w:val="28"/>
          <w:szCs w:val="28"/>
          <w:lang w:eastAsia="ko-KR"/>
        </w:rPr>
        <w:t xml:space="preserve"> территорий, спортивных сооружений и др. «под ключ», в том числе в формате </w:t>
      </w:r>
      <w:proofErr w:type="spellStart"/>
      <w:r w:rsidRPr="005B0D7D">
        <w:rPr>
          <w:rFonts w:ascii="Times New Roman" w:eastAsia="Batang" w:hAnsi="Times New Roman" w:cs="Times New Roman"/>
          <w:bCs/>
          <w:kern w:val="32"/>
          <w:sz w:val="28"/>
          <w:szCs w:val="28"/>
          <w:lang w:eastAsia="ko-KR"/>
        </w:rPr>
        <w:t>энергосервисных</w:t>
      </w:r>
      <w:proofErr w:type="spellEnd"/>
      <w:r w:rsidRPr="005B0D7D">
        <w:rPr>
          <w:rFonts w:ascii="Times New Roman" w:eastAsia="Batang" w:hAnsi="Times New Roman" w:cs="Times New Roman"/>
          <w:bCs/>
          <w:kern w:val="32"/>
          <w:sz w:val="28"/>
          <w:szCs w:val="28"/>
          <w:lang w:eastAsia="ko-KR"/>
        </w:rPr>
        <w:t xml:space="preserve"> контрактов. Экономия электроэнергии по практике составляет не менее 20-30%.</w:t>
      </w:r>
    </w:p>
    <w:p w:rsidR="005B0D7D" w:rsidRPr="005B0D7D" w:rsidRDefault="005B0D7D" w:rsidP="005B0D7D">
      <w:pPr>
        <w:spacing w:after="0" w:line="240" w:lineRule="auto"/>
        <w:rPr>
          <w:rFonts w:ascii="Times New Roman" w:eastAsia="Batang" w:hAnsi="Times New Roman" w:cs="Times New Roman"/>
          <w:b/>
          <w:bCs/>
          <w:kern w:val="32"/>
          <w:sz w:val="28"/>
          <w:szCs w:val="28"/>
          <w:lang w:eastAsia="ko-KR"/>
        </w:rPr>
      </w:pPr>
      <w:bookmarkStart w:id="383" w:name="_Toc406359145"/>
      <w:r w:rsidRPr="005B0D7D">
        <w:rPr>
          <w:rFonts w:ascii="Times New Roman" w:eastAsia="Batang" w:hAnsi="Times New Roman" w:cs="Times New Roman"/>
          <w:sz w:val="28"/>
          <w:szCs w:val="28"/>
          <w:lang w:eastAsia="ko-KR"/>
        </w:rPr>
        <w:br w:type="page"/>
      </w:r>
    </w:p>
    <w:p w:rsidR="005B0D7D" w:rsidRPr="005B0D7D" w:rsidRDefault="005B0D7D" w:rsidP="005B0D7D">
      <w:pPr>
        <w:keepNext/>
        <w:spacing w:before="240" w:after="120" w:line="240" w:lineRule="auto"/>
        <w:ind w:firstLine="720"/>
        <w:jc w:val="right"/>
        <w:outlineLvl w:val="0"/>
        <w:rPr>
          <w:rFonts w:ascii="Times New Roman" w:eastAsia="Batang" w:hAnsi="Times New Roman" w:cs="Times New Roman"/>
          <w:b/>
          <w:bCs/>
          <w:kern w:val="32"/>
          <w:sz w:val="28"/>
          <w:szCs w:val="28"/>
          <w:lang w:eastAsia="ko-KR"/>
        </w:rPr>
      </w:pPr>
      <w:bookmarkStart w:id="384" w:name="_Toc410639553"/>
      <w:r w:rsidRPr="005B0D7D">
        <w:rPr>
          <w:rFonts w:ascii="Times New Roman" w:eastAsia="Batang" w:hAnsi="Times New Roman" w:cs="Times New Roman"/>
          <w:b/>
          <w:bCs/>
          <w:kern w:val="32"/>
          <w:sz w:val="28"/>
          <w:szCs w:val="28"/>
          <w:lang w:eastAsia="ko-KR"/>
        </w:rPr>
        <w:lastRenderedPageBreak/>
        <w:t>Приложение 2.</w:t>
      </w:r>
      <w:bookmarkEnd w:id="383"/>
      <w:bookmarkEnd w:id="384"/>
    </w:p>
    <w:p w:rsidR="005B0D7D" w:rsidRPr="005B0D7D" w:rsidRDefault="005B0D7D" w:rsidP="005B0D7D">
      <w:pPr>
        <w:spacing w:after="0" w:line="240" w:lineRule="auto"/>
        <w:ind w:firstLine="709"/>
        <w:jc w:val="right"/>
        <w:rPr>
          <w:rFonts w:ascii="Times New Roman" w:eastAsia="Batang" w:hAnsi="Times New Roman" w:cs="Times New Roman"/>
          <w:sz w:val="24"/>
          <w:szCs w:val="24"/>
          <w:lang w:eastAsia="ko-KR"/>
        </w:rPr>
      </w:pPr>
      <w:bookmarkStart w:id="385" w:name="_Toc406359146"/>
      <w:r w:rsidRPr="005B0D7D">
        <w:rPr>
          <w:rFonts w:ascii="Times New Roman" w:eastAsia="Batang" w:hAnsi="Times New Roman" w:cs="Times New Roman"/>
          <w:sz w:val="24"/>
          <w:szCs w:val="24"/>
          <w:lang w:eastAsia="ko-KR"/>
        </w:rPr>
        <w:t xml:space="preserve">к разделу 8.2. Задача 3 «Обеспечение </w:t>
      </w:r>
    </w:p>
    <w:p w:rsidR="005B0D7D" w:rsidRPr="005B0D7D" w:rsidRDefault="005B0D7D" w:rsidP="005B0D7D">
      <w:pPr>
        <w:spacing w:after="0" w:line="240" w:lineRule="auto"/>
        <w:ind w:firstLine="709"/>
        <w:jc w:val="right"/>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благоприятного инвестиционного климата» </w:t>
      </w:r>
    </w:p>
    <w:p w:rsidR="005B0D7D" w:rsidRPr="005B0D7D" w:rsidRDefault="005B0D7D" w:rsidP="005B0D7D">
      <w:pPr>
        <w:keepNext/>
        <w:spacing w:before="240" w:after="120" w:line="240" w:lineRule="auto"/>
        <w:ind w:firstLine="720"/>
        <w:jc w:val="center"/>
        <w:outlineLvl w:val="0"/>
        <w:rPr>
          <w:rFonts w:ascii="Times New Roman" w:eastAsia="Batang" w:hAnsi="Times New Roman" w:cs="Times New Roman"/>
          <w:b/>
          <w:bCs/>
          <w:kern w:val="32"/>
          <w:sz w:val="28"/>
          <w:szCs w:val="28"/>
          <w:lang w:eastAsia="ko-KR"/>
        </w:rPr>
      </w:pPr>
      <w:bookmarkStart w:id="386" w:name="_Toc410639554"/>
      <w:bookmarkEnd w:id="385"/>
      <w:r w:rsidRPr="005B0D7D">
        <w:rPr>
          <w:rFonts w:ascii="Times New Roman" w:eastAsia="Batang" w:hAnsi="Times New Roman" w:cs="Times New Roman"/>
          <w:b/>
          <w:bCs/>
          <w:kern w:val="32"/>
          <w:sz w:val="28"/>
          <w:szCs w:val="28"/>
          <w:lang w:eastAsia="ko-KR"/>
        </w:rPr>
        <w:t>Концепция инвестиционного паспорта города Ханты-Мансийска</w:t>
      </w:r>
      <w:bookmarkEnd w:id="386"/>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Инвестиционный паспорт города рассматривается в качестве инструмента привлечения потенциальных инвесторов.</w:t>
      </w:r>
    </w:p>
    <w:p w:rsidR="005B0D7D" w:rsidRPr="005B0D7D" w:rsidRDefault="005B0D7D" w:rsidP="005B0D7D">
      <w:pPr>
        <w:spacing w:after="0" w:line="240" w:lineRule="auto"/>
        <w:ind w:firstLine="708"/>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Основанием для разработки инвестиционного паспорта города является необходимость решения органами местного самоуправления своих полномочий в соответствии со следующими нормативными актами:</w:t>
      </w:r>
    </w:p>
    <w:p w:rsidR="005B0D7D" w:rsidRPr="005B0D7D" w:rsidRDefault="005B0D7D" w:rsidP="005B0D7D">
      <w:pPr>
        <w:numPr>
          <w:ilvl w:val="0"/>
          <w:numId w:val="26"/>
        </w:num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Федеральный закон «Об общих принципах организации местного самоуправления в Российской Федерации» от 6 октября 2003 года №131-ФЗ. </w:t>
      </w:r>
    </w:p>
    <w:p w:rsidR="005B0D7D" w:rsidRPr="005B0D7D" w:rsidRDefault="005B0D7D" w:rsidP="005B0D7D">
      <w:pPr>
        <w:numPr>
          <w:ilvl w:val="0"/>
          <w:numId w:val="26"/>
        </w:num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Федеральный закон «Об инвестиционной деятельности в Российской Федерации, осуществляемой в форме капитальных вложений» от 25 февраля 1999 года №39-ФЗ.</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Кроме того, инвестиционный паспорт города Ханты-Мансийска (далее – Паспорт) разрабатывается с учетом требований законов и иных нормативных правовых актов города Ханты-Мансийска, в том числе:</w:t>
      </w:r>
    </w:p>
    <w:p w:rsidR="005B0D7D" w:rsidRPr="005B0D7D" w:rsidRDefault="005B0D7D" w:rsidP="005B0D7D">
      <w:pPr>
        <w:numPr>
          <w:ilvl w:val="0"/>
          <w:numId w:val="27"/>
        </w:num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Устав города Ханты-Мансийска (принят решением Думы города Ханты-Мансийска от 11 марта 2011 года №1169).</w:t>
      </w:r>
    </w:p>
    <w:p w:rsidR="005B0D7D" w:rsidRPr="005B0D7D" w:rsidRDefault="005B0D7D" w:rsidP="005B0D7D">
      <w:pPr>
        <w:numPr>
          <w:ilvl w:val="0"/>
          <w:numId w:val="27"/>
        </w:numPr>
        <w:tabs>
          <w:tab w:val="left" w:pos="1134"/>
        </w:tabs>
        <w:spacing w:after="0" w:line="240" w:lineRule="auto"/>
        <w:ind w:firstLine="709"/>
        <w:jc w:val="both"/>
        <w:rPr>
          <w:rFonts w:ascii="Times New Roman" w:eastAsia="Batang" w:hAnsi="Times New Roman" w:cs="Times New Roman"/>
          <w:spacing w:val="-20"/>
          <w:sz w:val="28"/>
          <w:szCs w:val="28"/>
          <w:lang w:eastAsia="ko-KR"/>
        </w:rPr>
      </w:pPr>
      <w:r w:rsidRPr="005B0D7D">
        <w:rPr>
          <w:rFonts w:ascii="Times New Roman" w:eastAsia="Batang" w:hAnsi="Times New Roman" w:cs="Times New Roman"/>
          <w:sz w:val="28"/>
          <w:szCs w:val="28"/>
          <w:lang w:eastAsia="ko-KR"/>
        </w:rPr>
        <w:t xml:space="preserve">Постановление Администрации города «О создании Совета по </w:t>
      </w:r>
      <w:r w:rsidRPr="005B0D7D">
        <w:rPr>
          <w:rFonts w:ascii="Times New Roman" w:eastAsia="Batang" w:hAnsi="Times New Roman" w:cs="Times New Roman"/>
          <w:spacing w:val="-20"/>
          <w:sz w:val="28"/>
          <w:szCs w:val="28"/>
          <w:lang w:eastAsia="ko-KR"/>
        </w:rPr>
        <w:t>инвестиционной политике города Ханты-Мансийска» от 1 июля 2011 года №813.</w:t>
      </w:r>
    </w:p>
    <w:p w:rsidR="005B0D7D" w:rsidRPr="005B0D7D" w:rsidRDefault="005B0D7D" w:rsidP="005B0D7D">
      <w:pPr>
        <w:numPr>
          <w:ilvl w:val="0"/>
          <w:numId w:val="27"/>
        </w:num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Постановление Администрации города «Развитие субъектов малого и среднего предпринимательства на территории города Ханты-Мансийска на 2011-2013 годы и на период до 2015 года» от 4 апреля 2011 года №412.</w:t>
      </w:r>
    </w:p>
    <w:p w:rsidR="005B0D7D" w:rsidRPr="005B0D7D" w:rsidRDefault="005B0D7D" w:rsidP="005B0D7D">
      <w:pPr>
        <w:numPr>
          <w:ilvl w:val="0"/>
          <w:numId w:val="27"/>
        </w:numPr>
        <w:tabs>
          <w:tab w:val="left" w:pos="1134"/>
        </w:tabs>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Решение Думы города Ханты-Мансийска «О генеральном плане города Ханты-Мансийска» от 19 января 1998 года № 3.</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Инвестиционный паспорт города Ханты-Мансийска должен разрабатываться в двух формах: 1) презентационный материал на бумажном носителе – буклет и 2) Интернет-портал на официальном сайте органов местного самоуправления.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Печатный вариант, будучи красочным иллюстрированным изданием, создает благоприятное первое впечатление, дает возможность привлечь внимание к городу единичных ключевых инвесторов. Инвестиционный паспорт в виде буклета должен стать неотъемлемым атрибутом делового этикета, предваряющим переговоры с инвесторами. Распространение Инвестиционного паспорта на заседаниях Совета по инвестиционной политике, инвестиционных форумах, выставках и других мероприятиях будет способствовать улучшению имиджа города </w:t>
      </w:r>
      <w:proofErr w:type="gramStart"/>
      <w:r w:rsidRPr="005B0D7D">
        <w:rPr>
          <w:rFonts w:ascii="Times New Roman" w:eastAsia="Batang" w:hAnsi="Times New Roman" w:cs="Times New Roman"/>
          <w:sz w:val="28"/>
          <w:szCs w:val="28"/>
          <w:lang w:eastAsia="ko-KR"/>
        </w:rPr>
        <w:t>Ханты-Мансийска</w:t>
      </w:r>
      <w:proofErr w:type="gramEnd"/>
      <w:r w:rsidRPr="005B0D7D">
        <w:rPr>
          <w:rFonts w:ascii="Times New Roman" w:eastAsia="Batang" w:hAnsi="Times New Roman" w:cs="Times New Roman"/>
          <w:sz w:val="28"/>
          <w:szCs w:val="28"/>
          <w:lang w:eastAsia="ko-KR"/>
        </w:rPr>
        <w:t xml:space="preserve"> и свидетельствовать о серьезности намерений Администрации в части поддержки и сопровождения инвестиционных проектов.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Печатный вариант Инвестиционного паспорта города Ханты-Мансийска будет включать следующие разделы:</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Природно-ресурсный потенциал территории.</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lastRenderedPageBreak/>
        <w:t>Транспортно-логистическая инфраструктура.</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Трудовой и социальный потенциал.</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Интеллектуальный и инновационный потенциал.</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Экономический и инвестиционный потенциал (объем инвестиций в основной капитал, структура инвестиций по видам деятельности).</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Конкурентные преимущества города Ханты-Мансийска.</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Приоритетные направления инвестирования.</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Окружная и муниципальная поддержка инвестиционной деятельности.</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Государственно-частное партнерство.</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Инвестиционный портфель города Ханты-Мансийска.</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Перечень наиболее значимых инвестиционных проектов.</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Механизм сопровождения инвестиционных проектов (включая схематическую информацию).</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Поддержка малого и среднего предпринимательства.</w:t>
      </w:r>
    </w:p>
    <w:p w:rsidR="005B0D7D" w:rsidRPr="005B0D7D" w:rsidRDefault="005B0D7D" w:rsidP="005B0D7D">
      <w:pPr>
        <w:numPr>
          <w:ilvl w:val="0"/>
          <w:numId w:val="29"/>
        </w:numPr>
        <w:tabs>
          <w:tab w:val="left" w:pos="1134"/>
        </w:tabs>
        <w:spacing w:after="0" w:line="240" w:lineRule="auto"/>
        <w:ind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Контактная информация для инвесторов.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Инвестиционный паспорт в виде буклета должен выпускаться с определенной периодичностью не реже одного раза в год, чтобы имелась возможность актуализации содержащихся в нем сведений.</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Электронный вариант инвестиционного паспорта – Интернет-портал «Инвестиционный паспорт города Ханты-Мансийска» (далее – Портал) – играет исключительно важную роль в деле повышения инвестиционной привлекательности. Портал можно позиционировать как продолжение печатного варианта для тех, кто хочет подробнее ознакомиться с экономикой города, либо как самостоятельный информационный ресурс, позволяющий размещать подробную структурированную информацию об инвестиционной сфере, адресованную неограниченному числу пользователей.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Интернет-ресурс позволит наглядно отображать инвестиционную ситуацию в городе, включая общие сведения, законодательство в инвестиционной сфере, данные об инвестиционных площадках, инфраструктуре, трудовом потенциале территории города, а также описания инвестиционных проектов и площадок города.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Посредством Портала будет обеспечена возможность коммуникации инвестора с представителями бизнеса и органами местного самоуправления.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Инвестиционный портал города Ханты-Мансийска позволит собрать в одном месте информацию обо всех инвестиционных объектах: инвестиционные проекты, инвестиционно-привлекательные земельные участки и промышленные площадки, в том числе технопарки, инвестиционная инфраструктура.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Ожидается, что целевой аудиторией портала будут отечественные и зарубежные инвесторы, инициаторы инвестиционных проектов, представители государственной власти Российской Федерации и Ханты-Мансийского автономного округа – Югры, города Ханты-Мансийска и другие заинтересованные лица.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 xml:space="preserve">Разработка </w:t>
      </w:r>
      <w:proofErr w:type="gramStart"/>
      <w:r w:rsidRPr="005B0D7D">
        <w:rPr>
          <w:rFonts w:ascii="Times New Roman" w:eastAsia="Batang" w:hAnsi="Times New Roman" w:cs="Times New Roman"/>
          <w:sz w:val="28"/>
          <w:szCs w:val="28"/>
          <w:lang w:eastAsia="ko-KR"/>
        </w:rPr>
        <w:t>Интернет-портала</w:t>
      </w:r>
      <w:proofErr w:type="gramEnd"/>
      <w:r w:rsidRPr="005B0D7D">
        <w:rPr>
          <w:rFonts w:ascii="Times New Roman" w:eastAsia="Batang" w:hAnsi="Times New Roman" w:cs="Times New Roman"/>
          <w:sz w:val="28"/>
          <w:szCs w:val="28"/>
          <w:lang w:eastAsia="ko-KR"/>
        </w:rPr>
        <w:t xml:space="preserve"> целесообразна в двуязычном варианте: на русском и английском языках, чтобы обеспечить возможность его посещения иностранными инвесторами.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Целью создания Портала является презентация инвестиционного потенциала города Ханты-Мансийска, повышение уровня информационной открытости и привлекательности города для отечественных и зарубежных субъектов инвестиционного рынка.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Интернет-портал будет включать следующие основные разделы:</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«О городе Ханты-Мансийске»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Раздел планируется наполнить следующими данными: характеристика физик</w:t>
      </w:r>
      <w:proofErr w:type="gramStart"/>
      <w:r w:rsidRPr="005B0D7D">
        <w:rPr>
          <w:rFonts w:ascii="Times New Roman" w:eastAsia="Batang" w:hAnsi="Times New Roman" w:cs="Times New Roman"/>
          <w:sz w:val="28"/>
          <w:szCs w:val="28"/>
          <w:lang w:eastAsia="ko-KR"/>
        </w:rPr>
        <w:t>о-</w:t>
      </w:r>
      <w:proofErr w:type="gramEnd"/>
      <w:r w:rsidRPr="005B0D7D">
        <w:rPr>
          <w:rFonts w:ascii="Times New Roman" w:eastAsia="Batang" w:hAnsi="Times New Roman" w:cs="Times New Roman"/>
          <w:sz w:val="28"/>
          <w:szCs w:val="28"/>
          <w:lang w:eastAsia="ko-KR"/>
        </w:rPr>
        <w:t xml:space="preserve"> и экономико-географического положения и социально-экономического потенциала города Ханты-Мансийска, площадь, наличие и расположение крупных магистралей (водных, воздушных, железнодорожных, автомобильных), наличие природных ресурсов, расположение относительно крупных промышленных узлов и рынков сбыта.  </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«Правительство Ханты-Мансийского автономного округа – Югры»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Раздел будет представлять собой ссылки на информационные ресурсы Российской Федерации и Ханты-Мансийского автономного округа – Югры, касающиеся инвестиционной политики. </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«Информация для инвестора»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Данный раздел будет содержать основную информацию об экономической ситуации в городе:</w:t>
      </w:r>
    </w:p>
    <w:p w:rsidR="005B0D7D" w:rsidRPr="005B0D7D" w:rsidRDefault="005B0D7D" w:rsidP="005B0D7D">
      <w:pPr>
        <w:tabs>
          <w:tab w:val="left" w:pos="993"/>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w:t>
      </w:r>
      <w:r w:rsidRPr="005B0D7D">
        <w:rPr>
          <w:rFonts w:ascii="Times New Roman" w:eastAsia="Batang" w:hAnsi="Times New Roman" w:cs="Times New Roman"/>
          <w:sz w:val="28"/>
          <w:szCs w:val="28"/>
          <w:lang w:eastAsia="ko-KR"/>
        </w:rPr>
        <w:tab/>
        <w:t xml:space="preserve">характеристика инвестиционного климата – динамика показателей социально-экономического развития города Ханты-Мансийска за последние три отчетных периода (среднегодовая численность населения, оборот, объем производства товаров, выполненных работ и услуг по основным видам экономической деятельности, объем инвестиций в основной капитал, объем товарооборота, объем платных услуг, </w:t>
      </w:r>
      <w:proofErr w:type="spellStart"/>
      <w:r w:rsidRPr="005B0D7D">
        <w:rPr>
          <w:rFonts w:ascii="Times New Roman" w:eastAsia="Batang" w:hAnsi="Times New Roman" w:cs="Times New Roman"/>
          <w:sz w:val="28"/>
          <w:szCs w:val="28"/>
          <w:lang w:eastAsia="ko-KR"/>
        </w:rPr>
        <w:t>бюджетообеспеченность</w:t>
      </w:r>
      <w:proofErr w:type="spellEnd"/>
      <w:r w:rsidRPr="005B0D7D">
        <w:rPr>
          <w:rFonts w:ascii="Times New Roman" w:eastAsia="Batang" w:hAnsi="Times New Roman" w:cs="Times New Roman"/>
          <w:sz w:val="28"/>
          <w:szCs w:val="28"/>
          <w:lang w:eastAsia="ko-KR"/>
        </w:rPr>
        <w:t>, финансы организаций и другие);</w:t>
      </w:r>
    </w:p>
    <w:p w:rsidR="005B0D7D" w:rsidRPr="005B0D7D" w:rsidRDefault="005B0D7D" w:rsidP="005B0D7D">
      <w:pPr>
        <w:tabs>
          <w:tab w:val="left" w:pos="993"/>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w:t>
      </w:r>
      <w:r w:rsidRPr="005B0D7D">
        <w:rPr>
          <w:rFonts w:ascii="Times New Roman" w:eastAsia="Batang" w:hAnsi="Times New Roman" w:cs="Times New Roman"/>
          <w:sz w:val="28"/>
          <w:szCs w:val="28"/>
          <w:lang w:eastAsia="ko-KR"/>
        </w:rPr>
        <w:tab/>
        <w:t>Стратегия социально-экономического развития города Ханты-Мансийска до 2030 года (ссылка);</w:t>
      </w:r>
    </w:p>
    <w:p w:rsidR="005B0D7D" w:rsidRPr="005B0D7D" w:rsidRDefault="005B0D7D" w:rsidP="005B0D7D">
      <w:pPr>
        <w:tabs>
          <w:tab w:val="left" w:pos="993"/>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w:t>
      </w:r>
      <w:r w:rsidRPr="005B0D7D">
        <w:rPr>
          <w:rFonts w:ascii="Times New Roman" w:eastAsia="Batang" w:hAnsi="Times New Roman" w:cs="Times New Roman"/>
          <w:sz w:val="28"/>
          <w:szCs w:val="28"/>
          <w:lang w:eastAsia="ko-KR"/>
        </w:rPr>
        <w:tab/>
        <w:t>«Путеводитель инвестора» (схема взаимодействия инвестора с Администрацией города Ханты-Мансийска по поводу подписания инвестиционного соглашения);</w:t>
      </w:r>
    </w:p>
    <w:p w:rsidR="005B0D7D" w:rsidRPr="005B0D7D" w:rsidRDefault="005B0D7D" w:rsidP="005B0D7D">
      <w:pPr>
        <w:tabs>
          <w:tab w:val="left" w:pos="993"/>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w:t>
      </w:r>
      <w:r w:rsidRPr="005B0D7D">
        <w:rPr>
          <w:rFonts w:ascii="Times New Roman" w:eastAsia="Batang" w:hAnsi="Times New Roman" w:cs="Times New Roman"/>
          <w:sz w:val="28"/>
          <w:szCs w:val="28"/>
          <w:lang w:eastAsia="ko-KR"/>
        </w:rPr>
        <w:tab/>
        <w:t>реализуемые инвестиционные проекты;</w:t>
      </w:r>
    </w:p>
    <w:p w:rsidR="005B0D7D" w:rsidRPr="005B0D7D" w:rsidRDefault="005B0D7D" w:rsidP="005B0D7D">
      <w:pPr>
        <w:tabs>
          <w:tab w:val="left" w:pos="993"/>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w:t>
      </w:r>
      <w:r w:rsidRPr="005B0D7D">
        <w:rPr>
          <w:rFonts w:ascii="Times New Roman" w:eastAsia="Batang" w:hAnsi="Times New Roman" w:cs="Times New Roman"/>
          <w:sz w:val="28"/>
          <w:szCs w:val="28"/>
          <w:lang w:eastAsia="ko-KR"/>
        </w:rPr>
        <w:tab/>
        <w:t>«Истории успеха»;</w:t>
      </w:r>
    </w:p>
    <w:p w:rsidR="005B0D7D" w:rsidRPr="005B0D7D" w:rsidRDefault="005B0D7D" w:rsidP="005B0D7D">
      <w:pPr>
        <w:tabs>
          <w:tab w:val="left" w:pos="993"/>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w:t>
      </w:r>
      <w:r w:rsidRPr="005B0D7D">
        <w:rPr>
          <w:rFonts w:ascii="Times New Roman" w:eastAsia="Batang" w:hAnsi="Times New Roman" w:cs="Times New Roman"/>
          <w:sz w:val="28"/>
          <w:szCs w:val="28"/>
          <w:lang w:eastAsia="ko-KR"/>
        </w:rPr>
        <w:tab/>
        <w:t>правовая регламентация инвестиционной деятельности в городе Ханты-Мансийске (ссылка);</w:t>
      </w:r>
    </w:p>
    <w:p w:rsidR="005B0D7D" w:rsidRPr="005B0D7D" w:rsidRDefault="005B0D7D" w:rsidP="005B0D7D">
      <w:pPr>
        <w:tabs>
          <w:tab w:val="left" w:pos="993"/>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 сводная информация по видам затрат, влияющих на издержки производства, в частности тарифы </w:t>
      </w:r>
      <w:proofErr w:type="spellStart"/>
      <w:r w:rsidRPr="005B0D7D">
        <w:rPr>
          <w:rFonts w:ascii="Times New Roman" w:eastAsia="Batang" w:hAnsi="Times New Roman" w:cs="Times New Roman"/>
          <w:sz w:val="28"/>
          <w:szCs w:val="28"/>
          <w:lang w:eastAsia="ko-KR"/>
        </w:rPr>
        <w:t>ресурсоснабжающих</w:t>
      </w:r>
      <w:proofErr w:type="spellEnd"/>
      <w:r w:rsidRPr="005B0D7D">
        <w:rPr>
          <w:rFonts w:ascii="Times New Roman" w:eastAsia="Batang" w:hAnsi="Times New Roman" w:cs="Times New Roman"/>
          <w:sz w:val="28"/>
          <w:szCs w:val="28"/>
          <w:lang w:eastAsia="ko-KR"/>
        </w:rPr>
        <w:t xml:space="preserve"> организаций, средняя стоимость транспортных услуг, аренды жилых и нежилых помещений.</w:t>
      </w:r>
    </w:p>
    <w:p w:rsidR="005B0D7D" w:rsidRPr="005B0D7D" w:rsidRDefault="005B0D7D" w:rsidP="005B0D7D">
      <w:pPr>
        <w:tabs>
          <w:tab w:val="left" w:pos="993"/>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«Инвестиционные площадки»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Раздел будет информировать потенциальных инвесторов о свободных инвестиционных площадках города Ханты-Мансийска с подробной характеристикой их инфраструктуры (при ее наличии).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Следует реализовать возможность перехода из данного раздела на инвестиционную карту с возможностью просмотра инвестиционных площадок в разрезе территориальной принадлежности.</w:t>
      </w:r>
    </w:p>
    <w:p w:rsidR="005B0D7D" w:rsidRPr="005B0D7D" w:rsidRDefault="005B0D7D" w:rsidP="005B0D7D">
      <w:pPr>
        <w:spacing w:before="6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 Межмуниципальное сотрудничество</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Раздел будет содержать сведения о заключенных соглашениях с городами России и зарубежных стран о межмуниципальном сотрудничестве.</w:t>
      </w:r>
    </w:p>
    <w:p w:rsidR="005B0D7D" w:rsidRPr="005B0D7D" w:rsidRDefault="005B0D7D" w:rsidP="005B0D7D">
      <w:pPr>
        <w:spacing w:before="6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6. Интерактивная инвестиционная карта города Ханты-Мансийска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Интерактивная инвестиционная карта-схема города Ханты-Мансийска (далее «Карта-схема») – это ресурс в сети Интернет, который наглядно отображает инвестиционную ситуацию в городе, включая общие сведения о городе, данные об инвестиционных площадках, инфраструктуре, трудовом потенциале региона, а также точки реализации инвестиционных проектов с выводом подробной информации по каждому проекту. </w:t>
      </w:r>
    </w:p>
    <w:p w:rsidR="005B0D7D" w:rsidRPr="005B0D7D" w:rsidRDefault="005B0D7D" w:rsidP="005B0D7D">
      <w:pPr>
        <w:spacing w:before="6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7. Государственно-частное партнерство</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раздел о государственно-частном партнерстве в городе Ханты-Мансийске войдут следующие подразделы: 1) правовая база государственно-частного партнерства; 2) концепция развития государственно-частного партнерства; 3) реестр проектов, реализуемых в рамках государственно-частного партнерства.</w:t>
      </w:r>
    </w:p>
    <w:p w:rsidR="005B0D7D" w:rsidRPr="005B0D7D" w:rsidRDefault="005B0D7D" w:rsidP="005B0D7D">
      <w:pPr>
        <w:spacing w:before="6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8. «Пресс-центр»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Раздел будет представлен в виде ленты новостей, структурированных по дате добавления. Лента будет включать три подраздела: «Новости», «Анонсы» и «Мероприятия».</w:t>
      </w:r>
    </w:p>
    <w:p w:rsidR="005B0D7D" w:rsidRPr="005B0D7D" w:rsidRDefault="005B0D7D" w:rsidP="005B0D7D">
      <w:pPr>
        <w:spacing w:before="6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9. «Требуется инвестор»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Структурированная доска объявлений позволит одновременно удовлетворять интересы инвесторов и тех, кто заинтересован в строительстве, реконструкции и развитии того или иного объекта. </w:t>
      </w:r>
    </w:p>
    <w:p w:rsidR="005B0D7D" w:rsidRPr="005B0D7D" w:rsidRDefault="005B0D7D" w:rsidP="005B0D7D">
      <w:pPr>
        <w:spacing w:before="6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10. «Контакты»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Раздел содержит контактные данные и форму обратной связи.</w:t>
      </w:r>
    </w:p>
    <w:p w:rsidR="005B0D7D" w:rsidRPr="005B0D7D" w:rsidRDefault="005B0D7D" w:rsidP="005B0D7D">
      <w:pPr>
        <w:spacing w:before="6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11. Графический блок</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Блок, размещенный на главной странице сайта, будет использоваться для анонсирования основной информации о преимуществах инвестиций в городе Ханты-Мансийске.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Таким образом, инвестиционный паспорт должен стать инструментом, позволяющим потенциальным инвесторам получать информацию о перспективах реализации своих инвестиционных проектов в городе Ханты-Мансийске, достаточную для принятия решения о приезде в город и начале консультаций на месте. </w:t>
      </w:r>
    </w:p>
    <w:p w:rsidR="005B0D7D" w:rsidRPr="005B0D7D" w:rsidRDefault="005B0D7D" w:rsidP="005B0D7D">
      <w:pPr>
        <w:keepNext/>
        <w:spacing w:before="120" w:after="120" w:line="240" w:lineRule="auto"/>
        <w:ind w:firstLine="720"/>
        <w:jc w:val="right"/>
        <w:outlineLvl w:val="0"/>
        <w:rPr>
          <w:rFonts w:ascii="Times New Roman" w:eastAsia="Batang" w:hAnsi="Times New Roman" w:cs="Times New Roman"/>
          <w:b/>
          <w:bCs/>
          <w:kern w:val="32"/>
          <w:sz w:val="28"/>
          <w:szCs w:val="28"/>
          <w:lang w:eastAsia="ko-KR"/>
        </w:rPr>
      </w:pPr>
      <w:r w:rsidRPr="005B0D7D">
        <w:rPr>
          <w:rFonts w:ascii="Arial" w:eastAsia="Batang" w:hAnsi="Arial" w:cs="Arial"/>
          <w:b/>
          <w:bCs/>
          <w:kern w:val="32"/>
          <w:sz w:val="32"/>
          <w:szCs w:val="32"/>
          <w:lang w:eastAsia="ko-KR"/>
        </w:rPr>
        <w:br w:type="page"/>
      </w:r>
      <w:bookmarkStart w:id="387" w:name="_Toc410639555"/>
      <w:r w:rsidRPr="005B0D7D">
        <w:rPr>
          <w:rFonts w:ascii="Times New Roman" w:eastAsia="Batang" w:hAnsi="Times New Roman" w:cs="Times New Roman"/>
          <w:b/>
          <w:bCs/>
          <w:kern w:val="32"/>
          <w:sz w:val="28"/>
          <w:szCs w:val="28"/>
          <w:lang w:eastAsia="ko-KR"/>
        </w:rPr>
        <w:lastRenderedPageBreak/>
        <w:t>Приложение 3.</w:t>
      </w:r>
      <w:bookmarkEnd w:id="387"/>
    </w:p>
    <w:p w:rsidR="005B0D7D" w:rsidRPr="005B0D7D" w:rsidRDefault="005B0D7D" w:rsidP="005B0D7D">
      <w:pPr>
        <w:spacing w:after="0" w:line="240" w:lineRule="auto"/>
        <w:ind w:firstLine="709"/>
        <w:jc w:val="right"/>
        <w:rPr>
          <w:rFonts w:ascii="Times New Roman" w:eastAsia="Batang" w:hAnsi="Times New Roman" w:cs="Times New Roman"/>
          <w:sz w:val="24"/>
          <w:szCs w:val="24"/>
          <w:lang w:eastAsia="ko-KR"/>
        </w:rPr>
      </w:pPr>
      <w:bookmarkStart w:id="388" w:name="_Toc406359148"/>
      <w:r w:rsidRPr="005B0D7D">
        <w:rPr>
          <w:rFonts w:ascii="Times New Roman" w:eastAsia="Batang" w:hAnsi="Times New Roman" w:cs="Times New Roman"/>
          <w:sz w:val="24"/>
          <w:szCs w:val="24"/>
          <w:lang w:eastAsia="ko-KR"/>
        </w:rPr>
        <w:t xml:space="preserve">к разделу 8.2. Задача 3 «Обеспечение </w:t>
      </w:r>
    </w:p>
    <w:p w:rsidR="005B0D7D" w:rsidRPr="005B0D7D" w:rsidRDefault="005B0D7D" w:rsidP="005B0D7D">
      <w:pPr>
        <w:spacing w:after="0" w:line="240" w:lineRule="auto"/>
        <w:ind w:firstLine="709"/>
        <w:jc w:val="right"/>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благоприятного инвестиционного климата» </w:t>
      </w:r>
    </w:p>
    <w:p w:rsidR="005B0D7D" w:rsidRPr="005B0D7D" w:rsidRDefault="005B0D7D" w:rsidP="005B0D7D">
      <w:pPr>
        <w:keepNext/>
        <w:spacing w:before="120" w:after="120" w:line="240" w:lineRule="auto"/>
        <w:ind w:firstLine="720"/>
        <w:jc w:val="center"/>
        <w:outlineLvl w:val="0"/>
        <w:rPr>
          <w:rFonts w:ascii="Times New Roman" w:eastAsia="Batang" w:hAnsi="Times New Roman" w:cs="Times New Roman"/>
          <w:b/>
          <w:bCs/>
          <w:kern w:val="32"/>
          <w:sz w:val="28"/>
          <w:szCs w:val="28"/>
          <w:lang w:eastAsia="ko-KR"/>
        </w:rPr>
      </w:pPr>
      <w:bookmarkStart w:id="389" w:name="_Toc410639556"/>
      <w:bookmarkEnd w:id="388"/>
      <w:r w:rsidRPr="005B0D7D">
        <w:rPr>
          <w:rFonts w:ascii="Times New Roman" w:eastAsia="Batang" w:hAnsi="Times New Roman" w:cs="Times New Roman"/>
          <w:b/>
          <w:bCs/>
          <w:kern w:val="32"/>
          <w:sz w:val="28"/>
          <w:szCs w:val="28"/>
          <w:lang w:eastAsia="ko-KR"/>
        </w:rPr>
        <w:t>Предложения по содержанию и структуре муниципальной программы повышения инвестиционной привлекательности города Ханты-Мансийска</w:t>
      </w:r>
      <w:bookmarkEnd w:id="389"/>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На сегодняшний день в номенклатуре муниципальных программ города Ханты-Мансийска отсутствует программа повышения инвестиционной привлекательности. Действующая муниципальная программа «Развитие субъектов малого и среднего предпринимательства на территории города Ханты-Мансийска на 2011-2013 годы и на период до 2015 года», хотя частично и затрагивает вопросы привлечения инвестиций, но недостаточна для того, чтобы выстроить целостную систему муниципальной поддержки инвестиционной деятельности.</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Предлагается разработать Муниципальную программу «Повышение инвестиционной привлекательности города Ханты-Мансийска» на 2015-2020 годы. Рекомендуется, чтобы Программа включала обозначенные ниже блоки со следующим содержимым.</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09"/>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Аналитический блок</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Оценка базовых условий развития города Ханты-Мансийска с целью определения потенциала инвестиционной привлекательности.</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основных тенденций социально-экономического развития города, структурированный в зависимости от степени их влияния на инвестиционный процесс.</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Анализ структуры инвестиционных предложений и действующих инвестиционных проектов.</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Анализ инвестиционной среды – инвестиционной ситуации в соседних муниципальных образованиях и </w:t>
      </w:r>
      <w:proofErr w:type="gramStart"/>
      <w:r w:rsidRPr="005B0D7D">
        <w:rPr>
          <w:rFonts w:ascii="Times New Roman" w:eastAsia="Batang" w:hAnsi="Times New Roman" w:cs="Times New Roman"/>
          <w:sz w:val="28"/>
          <w:szCs w:val="28"/>
          <w:lang w:eastAsia="ko-KR"/>
        </w:rPr>
        <w:t>в</w:t>
      </w:r>
      <w:proofErr w:type="gramEnd"/>
      <w:r w:rsidRPr="005B0D7D">
        <w:rPr>
          <w:rFonts w:ascii="Times New Roman" w:eastAsia="Batang" w:hAnsi="Times New Roman" w:cs="Times New Roman"/>
          <w:sz w:val="28"/>
          <w:szCs w:val="28"/>
          <w:lang w:eastAsia="ko-KR"/>
        </w:rPr>
        <w:t xml:space="preserve"> </w:t>
      </w:r>
      <w:proofErr w:type="gramStart"/>
      <w:r w:rsidRPr="005B0D7D">
        <w:rPr>
          <w:rFonts w:ascii="Times New Roman" w:eastAsia="Batang" w:hAnsi="Times New Roman" w:cs="Times New Roman"/>
          <w:sz w:val="28"/>
          <w:szCs w:val="28"/>
          <w:lang w:eastAsia="ko-KR"/>
        </w:rPr>
        <w:t>Ханты-Мансийском</w:t>
      </w:r>
      <w:proofErr w:type="gramEnd"/>
      <w:r w:rsidRPr="005B0D7D">
        <w:rPr>
          <w:rFonts w:ascii="Times New Roman" w:eastAsia="Batang" w:hAnsi="Times New Roman" w:cs="Times New Roman"/>
          <w:sz w:val="28"/>
          <w:szCs w:val="28"/>
          <w:lang w:eastAsia="ko-KR"/>
        </w:rPr>
        <w:t xml:space="preserve"> автономном округе – Югре в целом.</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proofErr w:type="gramStart"/>
      <w:r w:rsidRPr="005B0D7D">
        <w:rPr>
          <w:rFonts w:ascii="Times New Roman" w:eastAsia="Batang" w:hAnsi="Times New Roman" w:cs="Times New Roman"/>
          <w:sz w:val="28"/>
          <w:szCs w:val="28"/>
          <w:lang w:val="en-US" w:eastAsia="ko-KR"/>
        </w:rPr>
        <w:t>SWOT</w:t>
      </w:r>
      <w:r w:rsidRPr="005B0D7D">
        <w:rPr>
          <w:rFonts w:ascii="Times New Roman" w:eastAsia="Batang" w:hAnsi="Times New Roman" w:cs="Times New Roman"/>
          <w:sz w:val="28"/>
          <w:szCs w:val="28"/>
          <w:lang w:eastAsia="ko-KR"/>
        </w:rPr>
        <w:t>-анализ инвестиционных возможностей города.</w:t>
      </w:r>
      <w:proofErr w:type="gramEnd"/>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09"/>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Концепция программы</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Разработка программы направлена на организацию системной работы по привлечению инвестиций в экономику города Ханты-Мансийска, определение путей снижения инвестиционных рисков, повышение степени обеспеченности ресурсами и инфраструктурой процессов инвестиционной и инновационной деятельности, налаживание взаимодействия между органами местного самоуправления, представителями бизнеса и общественных организаций по вопросу повышения инвестиционной привлекательности.</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Концепция программы призвана сформировать общую картину поддержки инвестиционной деятельности на территории города Ханты-Мансийска, характеризуя ее структурные и процессуальные особенности.</w:t>
      </w:r>
    </w:p>
    <w:p w:rsidR="005B0D7D" w:rsidRPr="005B0D7D" w:rsidRDefault="005B0D7D" w:rsidP="0064061B">
      <w:pPr>
        <w:numPr>
          <w:ilvl w:val="0"/>
          <w:numId w:val="3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Понятийный блок. Концепция должна начинаться с определения ключевых понятий, таких как инвестор, (приоритетный) инвестиционный проект, </w:t>
      </w:r>
      <w:r w:rsidRPr="005B0D7D">
        <w:rPr>
          <w:rFonts w:ascii="Times New Roman" w:eastAsia="Batang" w:hAnsi="Times New Roman" w:cs="Times New Roman"/>
          <w:sz w:val="28"/>
          <w:szCs w:val="28"/>
          <w:lang w:eastAsia="ru-RU"/>
        </w:rPr>
        <w:lastRenderedPageBreak/>
        <w:t xml:space="preserve">система поддержки инвестиционной деятельности. В частности, под инвесторами могут подразумеваться </w:t>
      </w:r>
      <w:r w:rsidRPr="005B0D7D">
        <w:rPr>
          <w:rFonts w:ascii="Times New Roman" w:eastAsia="Batang" w:hAnsi="Times New Roman" w:cs="Times New Roman"/>
          <w:i/>
          <w:sz w:val="28"/>
          <w:szCs w:val="28"/>
          <w:lang w:eastAsia="ru-RU"/>
        </w:rPr>
        <w:t>субъекты предпринимательской деятельности, осуществляющие капитальные вложения на территории города с использованием собственных, заемных и привлеченных средств</w:t>
      </w:r>
      <w:r w:rsidRPr="005B0D7D">
        <w:rPr>
          <w:rFonts w:ascii="Times New Roman" w:eastAsia="Batang" w:hAnsi="Times New Roman" w:cs="Times New Roman"/>
          <w:sz w:val="28"/>
          <w:szCs w:val="28"/>
          <w:lang w:eastAsia="ru-RU"/>
        </w:rPr>
        <w:t xml:space="preserve">. Уже на этапе определения понятия инвестиционной деятельности можно сделать акцент на приоритетной поддержке инноваций, включив в него </w:t>
      </w:r>
      <w:r w:rsidRPr="005B0D7D">
        <w:rPr>
          <w:rFonts w:ascii="Times New Roman" w:eastAsia="Batang" w:hAnsi="Times New Roman" w:cs="Times New Roman"/>
          <w:i/>
          <w:sz w:val="28"/>
          <w:szCs w:val="28"/>
          <w:lang w:eastAsia="ru-RU"/>
        </w:rPr>
        <w:t>научные исследования, проектно-конструкторские работы</w:t>
      </w:r>
      <w:r w:rsidRPr="005B0D7D">
        <w:rPr>
          <w:rFonts w:ascii="Times New Roman" w:eastAsia="Batang" w:hAnsi="Times New Roman" w:cs="Times New Roman"/>
          <w:sz w:val="28"/>
          <w:szCs w:val="28"/>
          <w:lang w:eastAsia="ru-RU"/>
        </w:rPr>
        <w:t xml:space="preserve">. Под инновационными проектами могут пониматься проекты, направленные не как на производство инновационной продукции, так </w:t>
      </w:r>
      <w:r w:rsidRPr="005B0D7D">
        <w:rPr>
          <w:rFonts w:ascii="Times New Roman" w:eastAsia="Batang" w:hAnsi="Times New Roman" w:cs="Times New Roman"/>
          <w:sz w:val="28"/>
          <w:szCs w:val="28"/>
          <w:lang w:eastAsia="ru-RU"/>
        </w:rPr>
        <w:tab/>
        <w:t>и на использование инновационных производственных технологий.</w:t>
      </w:r>
    </w:p>
    <w:p w:rsidR="005B0D7D" w:rsidRPr="005B0D7D" w:rsidRDefault="005B0D7D" w:rsidP="0064061B">
      <w:pPr>
        <w:numPr>
          <w:ilvl w:val="0"/>
          <w:numId w:val="3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Субъекты инвестиционного процесса. Следует обозначить, что субъектами инвестиционного процесса могут быть не только юридические и физические лица – представители коммерческого сектора, но и объединения юридических лиц, а также государство.</w:t>
      </w:r>
    </w:p>
    <w:p w:rsidR="005B0D7D" w:rsidRPr="005B0D7D" w:rsidRDefault="005B0D7D" w:rsidP="0064061B">
      <w:pPr>
        <w:numPr>
          <w:ilvl w:val="0"/>
          <w:numId w:val="3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Объекты инвестирования. Уточняя возможные объекты инвестирования, в концепции программы следует учесть интересы территории, чтобы инвестиционный процесс не превратился в чисто коммерческое предприятие в целях извлечения прибыли. Среди объектов инвестирования необходимо упомянуть </w:t>
      </w:r>
      <w:r w:rsidRPr="005B0D7D">
        <w:rPr>
          <w:rFonts w:ascii="Times New Roman" w:eastAsia="Batang" w:hAnsi="Times New Roman" w:cs="Times New Roman"/>
          <w:i/>
          <w:sz w:val="28"/>
          <w:szCs w:val="28"/>
          <w:lang w:eastAsia="ru-RU"/>
        </w:rPr>
        <w:t>объекты муниципальной и иных форм собственности – различные виды вновь создаваемого и (или) модернизируемого имущества, в том числе оборотные средства; права на интеллектуальную собственность</w:t>
      </w:r>
      <w:r w:rsidRPr="005B0D7D">
        <w:rPr>
          <w:rFonts w:ascii="Times New Roman" w:eastAsia="Batang" w:hAnsi="Times New Roman" w:cs="Times New Roman"/>
          <w:sz w:val="28"/>
          <w:szCs w:val="28"/>
          <w:lang w:eastAsia="ru-RU"/>
        </w:rPr>
        <w:t>.</w:t>
      </w:r>
    </w:p>
    <w:p w:rsidR="005B0D7D" w:rsidRPr="005B0D7D" w:rsidRDefault="005B0D7D" w:rsidP="0064061B">
      <w:pPr>
        <w:numPr>
          <w:ilvl w:val="0"/>
          <w:numId w:val="3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Источники инвестирования. Возможно, следует дифференцировать поддержку инвестиционных проектов, реализуемых за счет собственных, заемных и привлеченных средств.</w:t>
      </w:r>
    </w:p>
    <w:p w:rsidR="005B0D7D" w:rsidRPr="005B0D7D" w:rsidRDefault="005B0D7D" w:rsidP="0064061B">
      <w:pPr>
        <w:numPr>
          <w:ilvl w:val="0"/>
          <w:numId w:val="3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Инвестиционный потенциал территории. Инвестиционный потенциал территории в рамках настоящей программы будет рассматриваться как результирующая частных потенциалов: ресурсно-сырьевого, производственного, потребительского, инфраструктурного, трудового, институционального и финансового.</w:t>
      </w:r>
    </w:p>
    <w:p w:rsidR="005B0D7D" w:rsidRPr="005B0D7D" w:rsidRDefault="005B0D7D" w:rsidP="0064061B">
      <w:pPr>
        <w:numPr>
          <w:ilvl w:val="0"/>
          <w:numId w:val="3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Механизмы поддержки инвестиционных проектов. Целесообразно обозначить необходимость заключения инвестиционного договора (соглашения), который бы устанавливал значения показателей эффективности инвестиционного проекта: объемы и сроки инвестиций, минимальные ожидаемые суммы налоговых платежей, число создаваемых рабочих мест.</w:t>
      </w:r>
    </w:p>
    <w:p w:rsidR="005B0D7D" w:rsidRPr="005B0D7D" w:rsidRDefault="005B0D7D" w:rsidP="0064061B">
      <w:pPr>
        <w:numPr>
          <w:ilvl w:val="0"/>
          <w:numId w:val="31"/>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lang w:eastAsia="ru-RU"/>
        </w:rPr>
        <w:t xml:space="preserve">Фильтрация инвестиционных проектов. Следует определить статусы инвестиционных проектов («социально-значимый проект», «проект, относящийся к приоритетным видам деятельности», «инновационный проект» и т.д.) и предусмотреть дифференцированные формы поддержки проектов в зависимости от присваиваемого им статуса. Наряду со статусами, можно обозначить и </w:t>
      </w:r>
      <w:proofErr w:type="spellStart"/>
      <w:r w:rsidRPr="005B0D7D">
        <w:rPr>
          <w:rFonts w:ascii="Times New Roman" w:eastAsia="Batang" w:hAnsi="Times New Roman" w:cs="Times New Roman"/>
          <w:sz w:val="28"/>
          <w:szCs w:val="28"/>
          <w:lang w:eastAsia="ru-RU"/>
        </w:rPr>
        <w:t>антистатусы</w:t>
      </w:r>
      <w:proofErr w:type="spellEnd"/>
      <w:r w:rsidRPr="005B0D7D">
        <w:rPr>
          <w:rFonts w:ascii="Times New Roman" w:eastAsia="Batang" w:hAnsi="Times New Roman" w:cs="Times New Roman"/>
          <w:sz w:val="28"/>
          <w:szCs w:val="28"/>
          <w:lang w:eastAsia="ru-RU"/>
        </w:rPr>
        <w:t>, четко указав характеристики проектов, которые не должны поддерживаться. Например, это может быть торговля табачной и алкогольной продукцией, организация азартных игр.</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b/>
          <w:sz w:val="28"/>
          <w:szCs w:val="28"/>
          <w:lang w:eastAsia="ko-KR"/>
        </w:rPr>
        <w:t>Цель Программы</w:t>
      </w:r>
      <w:r w:rsidRPr="005B0D7D">
        <w:rPr>
          <w:rFonts w:ascii="Times New Roman" w:eastAsia="Batang" w:hAnsi="Times New Roman" w:cs="Times New Roman"/>
          <w:sz w:val="28"/>
          <w:szCs w:val="28"/>
          <w:lang w:eastAsia="ko-KR"/>
        </w:rPr>
        <w:t xml:space="preserve"> – обеспечение на территории города Ханты-Мансийска благоприятного инвестиционного климата путем создания системы </w:t>
      </w:r>
      <w:r w:rsidRPr="005B0D7D">
        <w:rPr>
          <w:rFonts w:ascii="Times New Roman" w:eastAsia="Batang" w:hAnsi="Times New Roman" w:cs="Times New Roman"/>
          <w:sz w:val="28"/>
          <w:szCs w:val="28"/>
          <w:lang w:eastAsia="ko-KR"/>
        </w:rPr>
        <w:lastRenderedPageBreak/>
        <w:t xml:space="preserve">сопровождения и инфраструктурного </w:t>
      </w:r>
      <w:proofErr w:type="gramStart"/>
      <w:r w:rsidRPr="005B0D7D">
        <w:rPr>
          <w:rFonts w:ascii="Times New Roman" w:eastAsia="Batang" w:hAnsi="Times New Roman" w:cs="Times New Roman"/>
          <w:sz w:val="28"/>
          <w:szCs w:val="28"/>
          <w:lang w:eastAsia="ko-KR"/>
        </w:rPr>
        <w:t>обеспечения</w:t>
      </w:r>
      <w:proofErr w:type="gramEnd"/>
      <w:r w:rsidRPr="005B0D7D">
        <w:rPr>
          <w:rFonts w:ascii="Times New Roman" w:eastAsia="Batang" w:hAnsi="Times New Roman" w:cs="Times New Roman"/>
          <w:sz w:val="28"/>
          <w:szCs w:val="28"/>
          <w:lang w:eastAsia="ko-KR"/>
        </w:rPr>
        <w:t xml:space="preserve"> значимых для города инвестиционных проектов, поддержки реального сектора экономики и инновационной 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Направления реализации Программы (задачи и основные мероприятия)</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Создание и обновление Инвестиционного паспорта города Ханты-Мансийка</w:t>
      </w:r>
      <w:r w:rsidRPr="005B0D7D">
        <w:rPr>
          <w:rFonts w:ascii="Times New Roman" w:eastAsia="Batang" w:hAnsi="Times New Roman" w:cs="Times New Roman"/>
          <w:sz w:val="28"/>
          <w:szCs w:val="28"/>
          <w:lang w:eastAsia="ru-RU"/>
        </w:rPr>
        <w:t xml:space="preserve"> в </w:t>
      </w:r>
      <w:proofErr w:type="gramStart"/>
      <w:r w:rsidRPr="005B0D7D">
        <w:rPr>
          <w:rFonts w:ascii="Times New Roman" w:eastAsia="Batang" w:hAnsi="Times New Roman" w:cs="Times New Roman"/>
          <w:sz w:val="28"/>
          <w:szCs w:val="28"/>
          <w:lang w:eastAsia="ru-RU"/>
        </w:rPr>
        <w:t>печатном</w:t>
      </w:r>
      <w:proofErr w:type="gramEnd"/>
      <w:r w:rsidRPr="005B0D7D">
        <w:rPr>
          <w:rFonts w:ascii="Times New Roman" w:eastAsia="Batang" w:hAnsi="Times New Roman" w:cs="Times New Roman"/>
          <w:sz w:val="28"/>
          <w:szCs w:val="28"/>
          <w:lang w:eastAsia="ru-RU"/>
        </w:rPr>
        <w:t xml:space="preserve"> (буклет) и электронном (Интернет-портал) вариантах. Обеспечение работы электронных сервисов. Налаживание взаимодействия между инвесторами и Администрацией города через Интернет-портал.</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Укрепление сотрудничества с организациями окружной инвестиционной инфраструктуры</w:t>
      </w:r>
      <w:r w:rsidRPr="005B0D7D">
        <w:rPr>
          <w:rFonts w:ascii="Times New Roman" w:eastAsia="Batang" w:hAnsi="Times New Roman" w:cs="Times New Roman"/>
          <w:sz w:val="28"/>
          <w:szCs w:val="28"/>
          <w:lang w:eastAsia="ru-RU"/>
        </w:rPr>
        <w:t>.</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Стимулирование инвестиционной активности хозяйствующих субъектов</w:t>
      </w:r>
      <w:r w:rsidRPr="005B0D7D">
        <w:rPr>
          <w:rFonts w:ascii="Times New Roman" w:eastAsia="Batang" w:hAnsi="Times New Roman" w:cs="Times New Roman"/>
          <w:sz w:val="28"/>
          <w:szCs w:val="28"/>
          <w:lang w:eastAsia="ru-RU"/>
        </w:rPr>
        <w:t>.</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Совершенствование системы отбора и сопровождения значимых инвестиционных проектов</w:t>
      </w:r>
      <w:r w:rsidRPr="005B0D7D">
        <w:rPr>
          <w:rFonts w:ascii="Times New Roman" w:eastAsia="Batang" w:hAnsi="Times New Roman" w:cs="Times New Roman"/>
          <w:sz w:val="28"/>
          <w:szCs w:val="28"/>
          <w:lang w:eastAsia="ru-RU"/>
        </w:rPr>
        <w:t>. Определение статусов инвестиционных проектов и проработка дифференцированных форм их поддержки в зависимости от присвоенного статуса. Проведение экспертизы инвестиционных проектов. Привязка налогового стимулирования инвестиционных проектов к системе статусов. Вовлечение субъектов малого и среднего предпринимательства в инвестиционную деятельность. Организация работы с целевыми инвесторами.</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Снижение административных барьеров</w:t>
      </w:r>
      <w:r w:rsidRPr="005B0D7D">
        <w:rPr>
          <w:rFonts w:ascii="Times New Roman" w:eastAsia="Batang" w:hAnsi="Times New Roman" w:cs="Times New Roman"/>
          <w:sz w:val="28"/>
          <w:szCs w:val="28"/>
          <w:lang w:eastAsia="ru-RU"/>
        </w:rPr>
        <w:t xml:space="preserve">. Разработка Карты операций по заключению инвестиционного соглашения. Организация взаимодействия с </w:t>
      </w:r>
      <w:proofErr w:type="spellStart"/>
      <w:r w:rsidRPr="005B0D7D">
        <w:rPr>
          <w:rFonts w:ascii="Times New Roman" w:eastAsia="Batang" w:hAnsi="Times New Roman" w:cs="Times New Roman"/>
          <w:sz w:val="28"/>
          <w:szCs w:val="28"/>
          <w:lang w:eastAsia="ru-RU"/>
        </w:rPr>
        <w:t>ресурсоснабжающими</w:t>
      </w:r>
      <w:proofErr w:type="spellEnd"/>
      <w:r w:rsidRPr="005B0D7D">
        <w:rPr>
          <w:rFonts w:ascii="Times New Roman" w:eastAsia="Batang" w:hAnsi="Times New Roman" w:cs="Times New Roman"/>
          <w:sz w:val="28"/>
          <w:szCs w:val="28"/>
          <w:lang w:eastAsia="ru-RU"/>
        </w:rPr>
        <w:t xml:space="preserve"> организациями в части упрощения процедуры технологического присоединения к инженерным сетям. Уменьшение количества согласований (разрешений) в сфере строительства и сокращение сроков формирования и предоставления земельных участков, предназначенных для строительства.</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Содействие модернизации существующих и созданию новых производств</w:t>
      </w:r>
      <w:r w:rsidRPr="005B0D7D">
        <w:rPr>
          <w:rFonts w:ascii="Times New Roman" w:eastAsia="Batang" w:hAnsi="Times New Roman" w:cs="Times New Roman"/>
          <w:sz w:val="28"/>
          <w:szCs w:val="28"/>
          <w:lang w:eastAsia="ru-RU"/>
        </w:rPr>
        <w:t xml:space="preserve">. Внедрение энергосберегающих технологий в сфере жилищно-коммунального хозяйства. Содействие включению инвестиционных проектов, направленных на создание перспективных производств, в Адресную инвестиционную программу Ханты-Мансийского автономного округа – Югры с целью их </w:t>
      </w:r>
      <w:proofErr w:type="spellStart"/>
      <w:r w:rsidRPr="005B0D7D">
        <w:rPr>
          <w:rFonts w:ascii="Times New Roman" w:eastAsia="Batang" w:hAnsi="Times New Roman" w:cs="Times New Roman"/>
          <w:sz w:val="28"/>
          <w:szCs w:val="28"/>
          <w:lang w:eastAsia="ru-RU"/>
        </w:rPr>
        <w:t>софинансирования</w:t>
      </w:r>
      <w:proofErr w:type="spellEnd"/>
      <w:r w:rsidRPr="005B0D7D">
        <w:rPr>
          <w:rFonts w:ascii="Times New Roman" w:eastAsia="Batang" w:hAnsi="Times New Roman" w:cs="Times New Roman"/>
          <w:sz w:val="28"/>
          <w:szCs w:val="28"/>
          <w:lang w:eastAsia="ru-RU"/>
        </w:rPr>
        <w:t xml:space="preserve"> из окружного бюджета. Создание и размещение на </w:t>
      </w:r>
      <w:proofErr w:type="gramStart"/>
      <w:r w:rsidRPr="005B0D7D">
        <w:rPr>
          <w:rFonts w:ascii="Times New Roman" w:eastAsia="Batang" w:hAnsi="Times New Roman" w:cs="Times New Roman"/>
          <w:sz w:val="28"/>
          <w:szCs w:val="28"/>
          <w:lang w:eastAsia="ru-RU"/>
        </w:rPr>
        <w:t>Интернет-портале</w:t>
      </w:r>
      <w:proofErr w:type="gramEnd"/>
      <w:r w:rsidRPr="005B0D7D">
        <w:rPr>
          <w:rFonts w:ascii="Times New Roman" w:eastAsia="Batang" w:hAnsi="Times New Roman" w:cs="Times New Roman"/>
          <w:sz w:val="28"/>
          <w:szCs w:val="28"/>
          <w:lang w:eastAsia="ru-RU"/>
        </w:rPr>
        <w:t xml:space="preserve"> «листка желаний» – перечня производств, размещение которых наиболее желательно для развития города.</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Обеспечение приживаемости перспективных производств</w:t>
      </w:r>
      <w:r w:rsidRPr="005B0D7D">
        <w:rPr>
          <w:rFonts w:ascii="Times New Roman" w:eastAsia="Batang" w:hAnsi="Times New Roman" w:cs="Times New Roman"/>
          <w:sz w:val="28"/>
          <w:szCs w:val="28"/>
          <w:lang w:eastAsia="ru-RU"/>
        </w:rPr>
        <w:t xml:space="preserve">. Стимулирование спроса на продукцию местных товаропроизводителей, содействие в налаживании контактов с поставщиками. </w:t>
      </w:r>
      <w:proofErr w:type="spellStart"/>
      <w:r w:rsidRPr="005B0D7D">
        <w:rPr>
          <w:rFonts w:ascii="Times New Roman" w:eastAsia="Batang" w:hAnsi="Times New Roman" w:cs="Times New Roman"/>
          <w:sz w:val="28"/>
          <w:szCs w:val="28"/>
          <w:lang w:eastAsia="ru-RU"/>
        </w:rPr>
        <w:t>Выставочно</w:t>
      </w:r>
      <w:proofErr w:type="spellEnd"/>
      <w:r w:rsidRPr="005B0D7D">
        <w:rPr>
          <w:rFonts w:ascii="Times New Roman" w:eastAsia="Batang" w:hAnsi="Times New Roman" w:cs="Times New Roman"/>
          <w:sz w:val="28"/>
          <w:szCs w:val="28"/>
          <w:lang w:eastAsia="ru-RU"/>
        </w:rPr>
        <w:t>-ярмарочная деятельность.</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Расширение практики использования механизмов государственно-частного партнерства и иных форм оказания инвесторам финансовой поддержки</w:t>
      </w:r>
      <w:r w:rsidRPr="005B0D7D">
        <w:rPr>
          <w:rFonts w:ascii="Times New Roman" w:eastAsia="Batang" w:hAnsi="Times New Roman" w:cs="Times New Roman"/>
          <w:sz w:val="28"/>
          <w:szCs w:val="28"/>
          <w:lang w:eastAsia="ru-RU"/>
        </w:rPr>
        <w:t>. Методическая проработка типового алгоритма реализации инвестиционных проектов на основе государственно-частного партнерства. Обеспечение взаимодействия инвесторов с окружными и российскими институтами развития.</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lastRenderedPageBreak/>
        <w:t>Развитие инвестиционной инфраструктуры</w:t>
      </w:r>
      <w:r w:rsidRPr="005B0D7D">
        <w:rPr>
          <w:rFonts w:ascii="Times New Roman" w:eastAsia="Batang" w:hAnsi="Times New Roman" w:cs="Times New Roman"/>
          <w:sz w:val="28"/>
          <w:szCs w:val="28"/>
          <w:lang w:eastAsia="ru-RU"/>
        </w:rPr>
        <w:t xml:space="preserve">. Выявление инфраструктурных возможностей для реализации инвестиционных проектов. Модернизация коммунальных сетей, в особенности тепло- и электроснабжения. Проведение сетей на территорию северо-западной производственной и коммунально-складской зоны города Ханты-Мансийска. Упрощение процедур технологического присоединения к сетям </w:t>
      </w:r>
      <w:proofErr w:type="spellStart"/>
      <w:r w:rsidRPr="005B0D7D">
        <w:rPr>
          <w:rFonts w:ascii="Times New Roman" w:eastAsia="Batang" w:hAnsi="Times New Roman" w:cs="Times New Roman"/>
          <w:sz w:val="28"/>
          <w:szCs w:val="28"/>
          <w:lang w:eastAsia="ru-RU"/>
        </w:rPr>
        <w:t>ресурсоснабжающих</w:t>
      </w:r>
      <w:proofErr w:type="spellEnd"/>
      <w:r w:rsidRPr="005B0D7D">
        <w:rPr>
          <w:rFonts w:ascii="Times New Roman" w:eastAsia="Batang" w:hAnsi="Times New Roman" w:cs="Times New Roman"/>
          <w:sz w:val="28"/>
          <w:szCs w:val="28"/>
          <w:lang w:eastAsia="ru-RU"/>
        </w:rPr>
        <w:t xml:space="preserve"> организаций и коммунальных хозяйств.</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Создание Индустриального парка</w:t>
      </w:r>
      <w:r w:rsidRPr="005B0D7D">
        <w:rPr>
          <w:rFonts w:ascii="Times New Roman" w:eastAsia="Batang" w:hAnsi="Times New Roman" w:cs="Times New Roman"/>
          <w:sz w:val="28"/>
          <w:szCs w:val="28"/>
          <w:lang w:eastAsia="ru-RU"/>
        </w:rPr>
        <w:t xml:space="preserve">. Детальная разработка концепции Индустриального парка, создание нормативно-правовой базы. Разработка схемы формирования перспективных кластеров и их встраивания в окружные и межрегиональные производственные цепочки. Обеспечение землеустроительных работ. Строительство объектов Индустриального парка. Организация деятельности по привлечению и конкурсному отбору резидентов. </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Содействие созданию альтернативной энергетики</w:t>
      </w:r>
      <w:r w:rsidRPr="005B0D7D">
        <w:rPr>
          <w:rFonts w:ascii="Times New Roman" w:eastAsia="Batang" w:hAnsi="Times New Roman" w:cs="Times New Roman"/>
          <w:sz w:val="28"/>
          <w:szCs w:val="28"/>
          <w:lang w:eastAsia="ru-RU"/>
        </w:rPr>
        <w:t xml:space="preserve">, реализация мероприятий по снижению </w:t>
      </w:r>
      <w:proofErr w:type="spellStart"/>
      <w:r w:rsidRPr="005B0D7D">
        <w:rPr>
          <w:rFonts w:ascii="Times New Roman" w:eastAsia="Batang" w:hAnsi="Times New Roman" w:cs="Times New Roman"/>
          <w:sz w:val="28"/>
          <w:szCs w:val="28"/>
          <w:lang w:eastAsia="ru-RU"/>
        </w:rPr>
        <w:t>ресурсопотребления</w:t>
      </w:r>
      <w:proofErr w:type="spellEnd"/>
      <w:r w:rsidRPr="005B0D7D">
        <w:rPr>
          <w:rFonts w:ascii="Times New Roman" w:eastAsia="Batang" w:hAnsi="Times New Roman" w:cs="Times New Roman"/>
          <w:sz w:val="28"/>
          <w:szCs w:val="28"/>
          <w:lang w:eastAsia="ru-RU"/>
        </w:rPr>
        <w:t xml:space="preserve"> в пересчете на единицу условного топлива.</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Ориентация системы образования на потребности производственной и инновационной сферы</w:t>
      </w:r>
      <w:r w:rsidRPr="005B0D7D">
        <w:rPr>
          <w:rFonts w:ascii="Times New Roman" w:eastAsia="Batang" w:hAnsi="Times New Roman" w:cs="Times New Roman"/>
          <w:sz w:val="28"/>
          <w:szCs w:val="28"/>
          <w:lang w:eastAsia="ru-RU"/>
        </w:rPr>
        <w:t xml:space="preserve">. Проведение </w:t>
      </w:r>
      <w:proofErr w:type="spellStart"/>
      <w:r w:rsidRPr="005B0D7D">
        <w:rPr>
          <w:rFonts w:ascii="Times New Roman" w:eastAsia="Batang" w:hAnsi="Times New Roman" w:cs="Times New Roman"/>
          <w:sz w:val="28"/>
          <w:szCs w:val="28"/>
          <w:lang w:eastAsia="ru-RU"/>
        </w:rPr>
        <w:t>профориентационных</w:t>
      </w:r>
      <w:proofErr w:type="spellEnd"/>
      <w:r w:rsidRPr="005B0D7D">
        <w:rPr>
          <w:rFonts w:ascii="Times New Roman" w:eastAsia="Batang" w:hAnsi="Times New Roman" w:cs="Times New Roman"/>
          <w:sz w:val="28"/>
          <w:szCs w:val="28"/>
          <w:lang w:eastAsia="ru-RU"/>
        </w:rPr>
        <w:t xml:space="preserve"> мероприятий со школьниками с учетом созданной окружной инвестиционной инфраструктуры и реализуемых инвестиционных проектов. Поддержка программ дополнительного образования, ориентированных на проектную и изобретательскую деятельность, техническое творчество. Развитие кадрового потенциала для обеспечения инвестиционного процесса.</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Сокращение административных барьеров</w:t>
      </w:r>
      <w:r w:rsidRPr="005B0D7D">
        <w:rPr>
          <w:rFonts w:ascii="Times New Roman" w:eastAsia="Batang" w:hAnsi="Times New Roman" w:cs="Times New Roman"/>
          <w:sz w:val="28"/>
          <w:szCs w:val="28"/>
          <w:lang w:eastAsia="ru-RU"/>
        </w:rPr>
        <w:t xml:space="preserve">. Исследование практик взаимодействия инвесторов с Администрацией города на предмет </w:t>
      </w:r>
      <w:proofErr w:type="spellStart"/>
      <w:r w:rsidRPr="005B0D7D">
        <w:rPr>
          <w:rFonts w:ascii="Times New Roman" w:eastAsia="Batang" w:hAnsi="Times New Roman" w:cs="Times New Roman"/>
          <w:sz w:val="28"/>
          <w:szCs w:val="28"/>
          <w:lang w:eastAsia="ru-RU"/>
        </w:rPr>
        <w:t>технологизации</w:t>
      </w:r>
      <w:proofErr w:type="spellEnd"/>
      <w:r w:rsidRPr="005B0D7D">
        <w:rPr>
          <w:rFonts w:ascii="Times New Roman" w:eastAsia="Batang" w:hAnsi="Times New Roman" w:cs="Times New Roman"/>
          <w:sz w:val="28"/>
          <w:szCs w:val="28"/>
          <w:lang w:eastAsia="ru-RU"/>
        </w:rPr>
        <w:t xml:space="preserve"> и оптимизации данного процесса. Расширение спектра муниципальных услуг, получаемых в электронном виде. Помощь инвесторам в заполнении форм и справок. Антикоррупционные мероприятия.</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Профессиональное обучение</w:t>
      </w:r>
      <w:r w:rsidRPr="005B0D7D">
        <w:rPr>
          <w:rFonts w:ascii="Times New Roman" w:eastAsia="Batang" w:hAnsi="Times New Roman" w:cs="Times New Roman"/>
          <w:sz w:val="28"/>
          <w:szCs w:val="28"/>
          <w:lang w:eastAsia="ru-RU"/>
        </w:rPr>
        <w:t xml:space="preserve"> муниципальных служащих и иных должностных лиц, участвующих в инвестиционном процессе. Использование активных методов обучения, в том числе организационно-</w:t>
      </w:r>
      <w:proofErr w:type="spellStart"/>
      <w:r w:rsidRPr="005B0D7D">
        <w:rPr>
          <w:rFonts w:ascii="Times New Roman" w:eastAsia="Batang" w:hAnsi="Times New Roman" w:cs="Times New Roman"/>
          <w:sz w:val="28"/>
          <w:szCs w:val="28"/>
          <w:lang w:eastAsia="ru-RU"/>
        </w:rPr>
        <w:t>деятельностных</w:t>
      </w:r>
      <w:proofErr w:type="spellEnd"/>
      <w:r w:rsidRPr="005B0D7D">
        <w:rPr>
          <w:rFonts w:ascii="Times New Roman" w:eastAsia="Batang" w:hAnsi="Times New Roman" w:cs="Times New Roman"/>
          <w:sz w:val="28"/>
          <w:szCs w:val="28"/>
          <w:lang w:eastAsia="ru-RU"/>
        </w:rPr>
        <w:t xml:space="preserve"> игр.</w:t>
      </w:r>
    </w:p>
    <w:p w:rsidR="005B0D7D" w:rsidRPr="005B0D7D" w:rsidRDefault="005B0D7D" w:rsidP="0064061B">
      <w:pPr>
        <w:numPr>
          <w:ilvl w:val="0"/>
          <w:numId w:val="34"/>
        </w:numPr>
        <w:tabs>
          <w:tab w:val="left" w:pos="1134"/>
        </w:tabs>
        <w:spacing w:after="0" w:line="240" w:lineRule="auto"/>
        <w:ind w:left="0" w:firstLine="709"/>
        <w:contextualSpacing/>
        <w:jc w:val="both"/>
        <w:rPr>
          <w:rFonts w:ascii="Times New Roman" w:eastAsia="Batang" w:hAnsi="Times New Roman" w:cs="Times New Roman"/>
          <w:sz w:val="28"/>
          <w:szCs w:val="28"/>
          <w:lang w:eastAsia="ru-RU"/>
        </w:rPr>
      </w:pPr>
      <w:r w:rsidRPr="005B0D7D">
        <w:rPr>
          <w:rFonts w:ascii="Times New Roman" w:eastAsia="Batang" w:hAnsi="Times New Roman" w:cs="Times New Roman"/>
          <w:sz w:val="28"/>
          <w:szCs w:val="28"/>
          <w:u w:val="single"/>
          <w:lang w:eastAsia="ru-RU"/>
        </w:rPr>
        <w:t>Информационная поддержка инвестиционного процесса</w:t>
      </w:r>
      <w:r w:rsidRPr="005B0D7D">
        <w:rPr>
          <w:rFonts w:ascii="Times New Roman" w:eastAsia="Batang" w:hAnsi="Times New Roman" w:cs="Times New Roman"/>
          <w:sz w:val="28"/>
          <w:szCs w:val="28"/>
          <w:lang w:eastAsia="ru-RU"/>
        </w:rPr>
        <w:t xml:space="preserve">. </w:t>
      </w:r>
      <w:proofErr w:type="spellStart"/>
      <w:r w:rsidRPr="005B0D7D">
        <w:rPr>
          <w:rFonts w:ascii="Times New Roman" w:eastAsia="Batang" w:hAnsi="Times New Roman" w:cs="Times New Roman"/>
          <w:sz w:val="28"/>
          <w:szCs w:val="28"/>
          <w:lang w:eastAsia="ru-RU"/>
        </w:rPr>
        <w:t>Медиапланирование</w:t>
      </w:r>
      <w:proofErr w:type="spellEnd"/>
      <w:r w:rsidRPr="005B0D7D">
        <w:rPr>
          <w:rFonts w:ascii="Times New Roman" w:eastAsia="Batang" w:hAnsi="Times New Roman" w:cs="Times New Roman"/>
          <w:sz w:val="28"/>
          <w:szCs w:val="28"/>
          <w:lang w:eastAsia="ru-RU"/>
        </w:rPr>
        <w:t xml:space="preserve"> информации об инвестиционной сфере (распределение информации в определенных объемах по определенным источникам в соответствии с заданной концепцией). Обеспечение разнообразия информационного контента. Адаптация информации под возможные потребности целевых групп – от крупных инвесторов до молодых </w:t>
      </w:r>
      <w:proofErr w:type="spellStart"/>
      <w:r w:rsidRPr="005B0D7D">
        <w:rPr>
          <w:rFonts w:ascii="Times New Roman" w:eastAsia="Batang" w:hAnsi="Times New Roman" w:cs="Times New Roman"/>
          <w:sz w:val="28"/>
          <w:szCs w:val="28"/>
          <w:lang w:eastAsia="ru-RU"/>
        </w:rPr>
        <w:t>инноваторов</w:t>
      </w:r>
      <w:proofErr w:type="spellEnd"/>
      <w:r w:rsidRPr="005B0D7D">
        <w:rPr>
          <w:rFonts w:ascii="Times New Roman" w:eastAsia="Batang" w:hAnsi="Times New Roman" w:cs="Times New Roman"/>
          <w:sz w:val="28"/>
          <w:szCs w:val="28"/>
          <w:lang w:eastAsia="ru-RU"/>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p>
    <w:p w:rsidR="005B0D7D" w:rsidRPr="005B0D7D" w:rsidRDefault="005B0D7D" w:rsidP="005B0D7D">
      <w:pPr>
        <w:spacing w:after="0" w:line="240" w:lineRule="auto"/>
        <w:ind w:firstLine="720"/>
        <w:jc w:val="both"/>
        <w:rPr>
          <w:rFonts w:ascii="Times New Roman" w:eastAsia="Batang" w:hAnsi="Times New Roman" w:cs="Times New Roman"/>
          <w:b/>
          <w:sz w:val="28"/>
          <w:szCs w:val="28"/>
          <w:lang w:eastAsia="ko-KR"/>
        </w:rPr>
      </w:pPr>
      <w:r w:rsidRPr="005B0D7D">
        <w:rPr>
          <w:rFonts w:ascii="Times New Roman" w:eastAsia="Batang" w:hAnsi="Times New Roman" w:cs="Times New Roman"/>
          <w:b/>
          <w:sz w:val="28"/>
          <w:szCs w:val="28"/>
          <w:lang w:eastAsia="ko-KR"/>
        </w:rPr>
        <w:t>Целевые показатели Программы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Раздел «Целевые показатели Программы» должен содержать набор показателей Программы, позволяющих провести оценку ее эффективности. Примерный перечень показателей включает:</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производства промышленной продукции.</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производства сельскохозяйственной продукции.</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инвестиций в основной капитал.</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Объем инвестиций в основной капитал на душу населения.</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Число вновь созданных рабочих мест.</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собственных доходов местного бюджета.</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Число действующих резидентов Индустриального парка.</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Доля безубыточных предприятий – резидентов Индустриального парка.</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Доля производственных площадей Индустриального парка, фактически занятых под производство.</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сопутствующих услуг, оказанных резидентам Индустриального парка.</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средств, привлеченных из бюджетов вышестоящих уровней и внебюджетных источников, в расчете на 1 рубль средств, выделенных из местного бюджета, в рамках реализации совместных программ с институтами развития.</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Объем инвестиций в развитие инновационных производств.</w:t>
      </w:r>
    </w:p>
    <w:p w:rsidR="005B0D7D" w:rsidRPr="005B0D7D" w:rsidRDefault="005B0D7D" w:rsidP="005B0D7D">
      <w:pPr>
        <w:numPr>
          <w:ilvl w:val="0"/>
          <w:numId w:val="32"/>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Удельный вес инновационной продукции в общем объеме продаж промышленной продукции. </w:t>
      </w:r>
    </w:p>
    <w:p w:rsidR="005B0D7D" w:rsidRPr="005B0D7D" w:rsidRDefault="005B0D7D" w:rsidP="005B0D7D">
      <w:pPr>
        <w:spacing w:after="0" w:line="240" w:lineRule="auto"/>
        <w:ind w:firstLine="709"/>
        <w:jc w:val="both"/>
        <w:rPr>
          <w:rFonts w:ascii="Times New Roman" w:eastAsia="Batang" w:hAnsi="Times New Roman" w:cs="Times New Roman"/>
          <w:sz w:val="24"/>
          <w:szCs w:val="24"/>
          <w:lang w:eastAsia="ko-KR"/>
        </w:rPr>
      </w:pP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целом реализация Программы должна давать возможность</w:t>
      </w:r>
    </w:p>
    <w:p w:rsidR="005B0D7D" w:rsidRPr="005B0D7D" w:rsidRDefault="005B0D7D" w:rsidP="005B0D7D">
      <w:pPr>
        <w:numPr>
          <w:ilvl w:val="0"/>
          <w:numId w:val="33"/>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улучшить инвестиционный климат;</w:t>
      </w:r>
    </w:p>
    <w:p w:rsidR="005B0D7D" w:rsidRPr="005B0D7D" w:rsidRDefault="005B0D7D" w:rsidP="005B0D7D">
      <w:pPr>
        <w:numPr>
          <w:ilvl w:val="0"/>
          <w:numId w:val="33"/>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провести селекцию имеющихся инвестиционных проектов и инициировать новые проекты с высоким уровнем коммерческой эффективности;</w:t>
      </w:r>
    </w:p>
    <w:p w:rsidR="005B0D7D" w:rsidRPr="005B0D7D" w:rsidRDefault="005B0D7D" w:rsidP="005B0D7D">
      <w:pPr>
        <w:numPr>
          <w:ilvl w:val="0"/>
          <w:numId w:val="33"/>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привлечь необходимые инвестиционные ресурсы в перспективные секторы экономики;</w:t>
      </w:r>
    </w:p>
    <w:p w:rsidR="005B0D7D" w:rsidRPr="005B0D7D" w:rsidRDefault="005B0D7D" w:rsidP="005B0D7D">
      <w:pPr>
        <w:numPr>
          <w:ilvl w:val="0"/>
          <w:numId w:val="33"/>
        </w:numPr>
        <w:spacing w:after="0" w:line="240" w:lineRule="auto"/>
        <w:ind w:left="1080"/>
        <w:jc w:val="both"/>
        <w:rPr>
          <w:rFonts w:ascii="Times New Roman" w:eastAsia="Batang" w:hAnsi="Times New Roman" w:cs="Times New Roman"/>
          <w:sz w:val="28"/>
          <w:szCs w:val="28"/>
          <w:lang w:eastAsia="ko-KR"/>
        </w:rPr>
      </w:pPr>
      <w:r w:rsidRPr="005B0D7D">
        <w:rPr>
          <w:rFonts w:ascii="Times New Roman" w:eastAsia="Times New Roman" w:hAnsi="Times New Roman" w:cs="Times New Roman"/>
          <w:sz w:val="28"/>
          <w:szCs w:val="28"/>
          <w:lang w:eastAsia="ru-RU"/>
        </w:rPr>
        <w:t>обеспечить соответствующую подготовку перехода к социально-экономическому развитию города по Сценарию 3 (Инновационному)</w:t>
      </w:r>
      <w:r w:rsidRPr="005B0D7D">
        <w:rPr>
          <w:rFonts w:ascii="Times New Roman" w:eastAsia="Batang" w:hAnsi="Times New Roman" w:cs="Times New Roman"/>
          <w:sz w:val="28"/>
          <w:szCs w:val="28"/>
          <w:lang w:eastAsia="ko-KR"/>
        </w:rPr>
        <w:t>.</w:t>
      </w:r>
    </w:p>
    <w:p w:rsidR="005B0D7D" w:rsidRPr="005B0D7D" w:rsidRDefault="005B0D7D" w:rsidP="005B0D7D">
      <w:pPr>
        <w:keepNext/>
        <w:spacing w:before="240" w:after="120" w:line="240" w:lineRule="auto"/>
        <w:ind w:firstLine="720"/>
        <w:jc w:val="right"/>
        <w:outlineLvl w:val="0"/>
        <w:rPr>
          <w:rFonts w:ascii="Times New Roman" w:eastAsia="Batang" w:hAnsi="Times New Roman" w:cs="Times New Roman"/>
          <w:b/>
          <w:bCs/>
          <w:kern w:val="32"/>
          <w:sz w:val="28"/>
          <w:szCs w:val="28"/>
          <w:lang w:eastAsia="ko-KR"/>
        </w:rPr>
      </w:pPr>
      <w:r w:rsidRPr="005B0D7D">
        <w:rPr>
          <w:rFonts w:ascii="Times New Roman" w:eastAsia="Batang" w:hAnsi="Times New Roman" w:cs="Times New Roman"/>
          <w:b/>
          <w:bCs/>
          <w:kern w:val="32"/>
          <w:sz w:val="28"/>
          <w:szCs w:val="28"/>
          <w:lang w:eastAsia="ko-KR"/>
        </w:rPr>
        <w:br w:type="page"/>
      </w:r>
      <w:bookmarkStart w:id="390" w:name="_Toc410639557"/>
      <w:r w:rsidRPr="005B0D7D">
        <w:rPr>
          <w:rFonts w:ascii="Times New Roman" w:eastAsia="Batang" w:hAnsi="Times New Roman" w:cs="Times New Roman"/>
          <w:b/>
          <w:bCs/>
          <w:kern w:val="32"/>
          <w:sz w:val="28"/>
          <w:szCs w:val="28"/>
          <w:lang w:eastAsia="ko-KR"/>
        </w:rPr>
        <w:lastRenderedPageBreak/>
        <w:t>Приложение 4.</w:t>
      </w:r>
      <w:bookmarkEnd w:id="390"/>
    </w:p>
    <w:p w:rsidR="005B0D7D" w:rsidRPr="005B0D7D" w:rsidRDefault="005B0D7D" w:rsidP="005B0D7D">
      <w:pPr>
        <w:spacing w:after="0" w:line="240" w:lineRule="auto"/>
        <w:ind w:firstLine="720"/>
        <w:jc w:val="right"/>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К разделу 11.3 «Финансовые механизмы </w:t>
      </w:r>
    </w:p>
    <w:p w:rsidR="005B0D7D" w:rsidRPr="005B0D7D" w:rsidRDefault="005B0D7D" w:rsidP="005B0D7D">
      <w:pPr>
        <w:spacing w:after="0" w:line="240" w:lineRule="auto"/>
        <w:ind w:firstLine="720"/>
        <w:jc w:val="right"/>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реализации Стратегии» </w:t>
      </w:r>
    </w:p>
    <w:p w:rsidR="005B0D7D" w:rsidRPr="005B0D7D" w:rsidRDefault="005B0D7D" w:rsidP="005B0D7D">
      <w:pPr>
        <w:keepNext/>
        <w:spacing w:before="240" w:after="120" w:line="240" w:lineRule="auto"/>
        <w:jc w:val="center"/>
        <w:outlineLvl w:val="0"/>
        <w:rPr>
          <w:rFonts w:ascii="Times New Roman" w:eastAsia="Batang" w:hAnsi="Times New Roman" w:cs="Times New Roman"/>
          <w:b/>
          <w:bCs/>
          <w:kern w:val="32"/>
          <w:sz w:val="28"/>
          <w:szCs w:val="28"/>
          <w:lang w:eastAsia="ko-KR"/>
        </w:rPr>
      </w:pPr>
      <w:bookmarkStart w:id="391" w:name="_Toc410639558"/>
      <w:r w:rsidRPr="005B0D7D">
        <w:rPr>
          <w:rFonts w:ascii="Times New Roman" w:eastAsia="Batang" w:hAnsi="Times New Roman" w:cs="Times New Roman"/>
          <w:b/>
          <w:bCs/>
          <w:kern w:val="32"/>
          <w:sz w:val="28"/>
          <w:szCs w:val="28"/>
          <w:lang w:eastAsia="ko-KR"/>
        </w:rPr>
        <w:t>Анализ муниципальных программ, действующих на территории города Ханты-Мансийска по состоянию на декабрь 2014 года</w:t>
      </w:r>
      <w:bookmarkEnd w:id="391"/>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Муниципальные программы увязывают цели и задачи развития данных сфер с конкретными объемами бюджетного финансирования. В отличие от целевых программ, разрабатывавшихся в соответствии с предыдущей редакцией Бюджетного кодекса Российской Федерации, муниципальные программы направлены на комплексное решение вопросов в рамках той или иной сферы жизнедеятельности. Благодаря переходу на муниципальные программы удалось разрешить противоречие между долгосрочными и ведомственными программами. </w:t>
      </w:r>
      <w:proofErr w:type="gramStart"/>
      <w:r w:rsidRPr="005B0D7D">
        <w:rPr>
          <w:rFonts w:ascii="Times New Roman" w:eastAsia="Batang" w:hAnsi="Times New Roman" w:cs="Times New Roman"/>
          <w:sz w:val="28"/>
          <w:szCs w:val="28"/>
          <w:lang w:eastAsia="ko-KR"/>
        </w:rPr>
        <w:t>Фактура муниципальных программ позволяет встраиваться в сходные по целям программы вышестоящего уровня и таким образом получать дополнительное финансирование из окружного и федерального бюджетов.</w:t>
      </w:r>
      <w:proofErr w:type="gramEnd"/>
      <w:r w:rsidRPr="005B0D7D">
        <w:rPr>
          <w:rFonts w:ascii="Times New Roman" w:eastAsia="Batang" w:hAnsi="Times New Roman" w:cs="Times New Roman"/>
          <w:sz w:val="28"/>
          <w:szCs w:val="28"/>
          <w:lang w:eastAsia="ko-KR"/>
        </w:rPr>
        <w:t xml:space="preserve"> Появилась возможность интегрировать в программы результаты деятельности подведомственных учреждений, обеспечена прямая взаимосвязь между программно-целевым и нормативным регулированием.</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то же время документы федерального уровня о муниципальных программах не содержат решения многих насущных вопросов программного регулирования. Прежде всего, поскольку муниципальные программы предполагают включение всех финансируемых мероприятий, теряется их проектный и новаторский смысл. Зачастую программы не содержат уникальных организационно-технологических механизмов решения муниципальных проблем и задач, ограничиваясь финансированием текущей деятельности. Кроме того, по-прежнему факт неудовлетворительного выполнения программы влечет за собой лишь уменьшение ее финансирования либо полное прекращение действия, в результате чего страдает не столько орган администрации, сколько конечный потребитель благ.</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По-прежнему в федеральном законодательстве не говорится о необходимости увязки муниципальных программ со стратегией социально-экономического развития муниципального образования. Вместе с тем представляется, что этот вопрос имеет первоочередное значение и должен быть отражен в Порядке разработки, реализации и оценки эффективности программ, принятом на местном уровне.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идеале программ должно быть столько, сколько задач определено в блоке «Долгосрочные приоритетные направления и цели в рамках выбранного сценария». Фактически программ может быть больше в случае передачи на муниципальный уровень отдельных государственных полномочий, а также за счет программного регулирования обеспечивающих видов деятельности.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настоящей Стратегии в данном блоке определены одна задача в рамках первого направления и 24 задачи – в рамках второго направления. Анализ </w:t>
      </w:r>
      <w:r w:rsidRPr="005B0D7D">
        <w:rPr>
          <w:rFonts w:ascii="Times New Roman" w:eastAsia="Batang" w:hAnsi="Times New Roman" w:cs="Times New Roman"/>
          <w:sz w:val="28"/>
          <w:szCs w:val="28"/>
          <w:lang w:eastAsia="ko-KR"/>
        </w:rPr>
        <w:lastRenderedPageBreak/>
        <w:t>соответствия между номенклатурой программ и перечнем стратегических задач обнаруживает следующее.</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Приоритетному направлению «Укрепление и развитие позиций города как центра региона» соответствует Муниципальная программа «Осуществление городом Ханты-Мансийском функций административного центра Ханты-Мансийского автономного округа – Югры» на 2014-2016 годы. По содержанию эта программа сводится к отдельным направлениям деятельности в сфере благоустройства и не предполагает комплексного подхода к решаемой задаче. </w:t>
      </w:r>
      <w:proofErr w:type="gramStart"/>
      <w:r w:rsidRPr="005B0D7D">
        <w:rPr>
          <w:rFonts w:ascii="Times New Roman" w:eastAsia="Batang" w:hAnsi="Times New Roman" w:cs="Times New Roman"/>
          <w:sz w:val="28"/>
          <w:szCs w:val="28"/>
          <w:lang w:eastAsia="ko-KR"/>
        </w:rPr>
        <w:t>Рекомендуется переработать программу в соответствии с концепций развития данного направления, изложенной в Стратегии (п.8.1).</w:t>
      </w:r>
      <w:proofErr w:type="gramEnd"/>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Большинству обозначенных стратегических направлений соответствует по одной муниципальной программе, что в целом обеспечивает стройный механизм реализации Стратегии.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Муниципальная программа «Обеспечение градостроительной деятельности на территории города Ханты-Мансийска» на 2013-2015 годы не подходит под одно определенное направление деятельности, и это целесообразно, поскольку градостроительное развитие – это основа развития производственной, социальной и коммунальной сфер жизнедеятельности.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то же время ряд стратегических задач в настоящее время не подкреплен отдельными муниципальными программами.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1. Развитие реального сектора экономики (определение перечня перспективных для города производств, подготовка инвестиционных площадок, предварительные расчеты эффективности капиталовложений).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3. Обеспечение благоприятного инвестиционного климата (выстраивание механизма поддержки инвестора на различных стадиях реализации инвестиционного проекта, устранение административных барьеров).</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5. Инновационное развитие (выстраивание системы содействия инновационной деятельности, обеспечение участия талантливой молодежи в образовательных программах, во всероссийских конкурсах изобретателей, формирование муниципального заказа на продукцию инновационных предприятий).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6. Развитие сектора услуг, потребительского рынка (обеспечение населения качественной и безопасной продукцией, обеспечение доступности продукции местных товаропроизводителей, расширение сферы услуг).</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7. Развитие сферы социально-трудовых отношений</w:t>
      </w:r>
      <w:r w:rsidRPr="005B0D7D">
        <w:rPr>
          <w:rFonts w:ascii="Times New Roman" w:eastAsia="Batang" w:hAnsi="Times New Roman" w:cs="Times New Roman"/>
          <w:sz w:val="28"/>
          <w:szCs w:val="28"/>
          <w:lang w:eastAsia="ko-KR"/>
        </w:rPr>
        <w:tab/>
        <w:t>(формирование приоритета законных трудовых отношений, обеспечение условий для появления высокотехнологичных рабочих мест).</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Задача 23. Развитие межмуниципального сотрудничества (обеспечение хозяйственных, научных, культурных и иных связей между муниципальными образованиями, с которыми заключены договоры о сотрудничестве; проведение всероссийских и международных форумов и конференций при поддержке организаций межмуниципального сотрудничества).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первую очередь рекомендуется разработать Муниципальную программу «Повышение инвестиционной привлекательности города Ханты-Мансийска на 2016-2020 годы», концепция которой представлена в Приложении 3.</w:t>
      </w:r>
    </w:p>
    <w:p w:rsidR="005B0D7D" w:rsidRPr="005B0D7D" w:rsidRDefault="005B0D7D" w:rsidP="005B0D7D">
      <w:pPr>
        <w:spacing w:after="0" w:line="240" w:lineRule="auto"/>
        <w:ind w:firstLine="709"/>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В ходе очередного пересмотра перечня программ рекомендуется приостановить действие Муниципальной программы «Развитие жилищного и дорожного хозяйства, благоустройство города Ханты-Мансийска на 2014-2020 годы», перераспределив ее мероприятия между программами «Развитие транспортной системы города Ханты-Мансийска» на 2014-2020 годы и «Развитие жилищно-коммунального комплекса и повышение энергетической эффективности в городе Ханты-Мансийске на 2014-2020 годы».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Две программы «Развитие агропромышленного комплекса на территории города Ханты-Мансийска» на 2013-2015 годы и «Содействие развитию садоводческих, огороднических и дачных некоммерческих объединений граждан города Ханты-Мансийска» на 2010-2014 годы имеет смысл объединить в одну с более четкой целевой установкой «Обеспечение продовольственной безопасности города Ханты-Мансийска».</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Выделим сильные стороны муниципальных программ, разработанных органами Администрации города Ханты-Мансийска: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1) тонко подмеченная проблема (</w:t>
      </w:r>
      <w:r w:rsidRPr="005B0D7D">
        <w:rPr>
          <w:rFonts w:ascii="Times New Roman" w:eastAsia="Batang" w:hAnsi="Times New Roman" w:cs="Times New Roman"/>
          <w:i/>
          <w:sz w:val="28"/>
          <w:szCs w:val="28"/>
          <w:lang w:eastAsia="ko-KR"/>
        </w:rPr>
        <w:t>высокий уровень цифрового неравенства в использовании информационных и телекоммуникационных технологий в учреждениях города</w:t>
      </w:r>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качественная проработка отдельных формулировок целей (</w:t>
      </w:r>
      <w:r w:rsidRPr="005B0D7D">
        <w:rPr>
          <w:rFonts w:ascii="Times New Roman" w:eastAsia="Batang" w:hAnsi="Times New Roman" w:cs="Times New Roman"/>
          <w:i/>
          <w:sz w:val="28"/>
          <w:szCs w:val="28"/>
          <w:lang w:eastAsia="ko-KR"/>
        </w:rPr>
        <w:t>создание профессиональной, конкурентоспособной, ориентированной на интересы населения, открытой муниципальной службы</w:t>
      </w:r>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обеспечение соответствия задач социальным потребностям (</w:t>
      </w:r>
      <w:r w:rsidRPr="005B0D7D">
        <w:rPr>
          <w:rFonts w:ascii="Times New Roman" w:eastAsia="Batang" w:hAnsi="Times New Roman" w:cs="Times New Roman"/>
          <w:i/>
          <w:sz w:val="28"/>
          <w:szCs w:val="28"/>
          <w:lang w:eastAsia="ko-KR"/>
        </w:rPr>
        <w:t>создание системы выявления и продвижения инициативной и талантливой молодежи; создание системных механизмов сохранения и укрепления здоровья детей в учреждениях образования; выявление способов приобщения к наркотикам</w:t>
      </w:r>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наличие мероприятий, проведение которых необходимо для развития потенциала местного сообщества (</w:t>
      </w:r>
      <w:r w:rsidRPr="005B0D7D">
        <w:rPr>
          <w:rFonts w:ascii="Times New Roman" w:eastAsia="Batang" w:hAnsi="Times New Roman" w:cs="Times New Roman"/>
          <w:i/>
          <w:sz w:val="28"/>
          <w:szCs w:val="28"/>
          <w:lang w:eastAsia="ko-KR"/>
        </w:rPr>
        <w:t>проведение просветительских мероприятий, призванных поддерживать престиж читающего человека, активизировать интерес к чтению</w:t>
      </w:r>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 наличие мероприятий, содержащих в себе ценные организационные технологии (</w:t>
      </w:r>
      <w:r w:rsidRPr="005B0D7D">
        <w:rPr>
          <w:rFonts w:ascii="Times New Roman" w:eastAsia="Batang" w:hAnsi="Times New Roman" w:cs="Times New Roman"/>
          <w:i/>
          <w:sz w:val="28"/>
          <w:szCs w:val="28"/>
          <w:lang w:eastAsia="ko-KR"/>
        </w:rPr>
        <w:t>разработка и реализация индивидуальных планов профессионального развития муниципальных служащих, Дни открытых дверей в органах местного самоуправления</w:t>
      </w:r>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6) адекватно подобранные показатели, особенно в условиях, когда официальная статистика не дает необходимых данных (</w:t>
      </w:r>
      <w:r w:rsidRPr="005B0D7D">
        <w:rPr>
          <w:rFonts w:ascii="Times New Roman" w:eastAsia="Batang" w:hAnsi="Times New Roman" w:cs="Times New Roman"/>
          <w:i/>
          <w:sz w:val="28"/>
          <w:szCs w:val="28"/>
          <w:lang w:eastAsia="ko-KR"/>
        </w:rPr>
        <w:t>доля молодых людей в возрасте от 14 до 30 лет, вовлеченных в проекты в сфере молодежной политики; количество социально значимых молодежных проектов, заявленных на городские и окружные конкурсы</w:t>
      </w:r>
      <w:r w:rsidRPr="005B0D7D">
        <w:rPr>
          <w:rFonts w:ascii="Times New Roman" w:eastAsia="Batang" w:hAnsi="Times New Roman" w:cs="Times New Roman"/>
          <w:sz w:val="28"/>
          <w:szCs w:val="28"/>
          <w:lang w:eastAsia="ko-KR"/>
        </w:rPr>
        <w:t>).</w:t>
      </w:r>
    </w:p>
    <w:p w:rsidR="005B0D7D" w:rsidRPr="005B0D7D" w:rsidRDefault="005B0D7D" w:rsidP="005B0D7D">
      <w:pPr>
        <w:spacing w:before="120"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В то же время слабыми сторонами муниципальных программ города Ханты-Мансийска являются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1)  нечеткость отдельных формулировок, отсутствие четкого понимания вкладываемого в них смысла (особенно когда говорится о </w:t>
      </w:r>
      <w:r w:rsidRPr="005B0D7D">
        <w:rPr>
          <w:rFonts w:ascii="Times New Roman" w:eastAsia="Batang" w:hAnsi="Times New Roman" w:cs="Times New Roman"/>
          <w:i/>
          <w:sz w:val="28"/>
          <w:szCs w:val="28"/>
          <w:lang w:eastAsia="ko-KR"/>
        </w:rPr>
        <w:t>качестве</w:t>
      </w:r>
      <w:r w:rsidRPr="005B0D7D">
        <w:rPr>
          <w:rFonts w:ascii="Times New Roman" w:eastAsia="Batang" w:hAnsi="Times New Roman" w:cs="Times New Roman"/>
          <w:sz w:val="28"/>
          <w:szCs w:val="28"/>
          <w:lang w:eastAsia="ko-KR"/>
        </w:rPr>
        <w:t xml:space="preserve"> и </w:t>
      </w:r>
      <w:r w:rsidRPr="005B0D7D">
        <w:rPr>
          <w:rFonts w:ascii="Times New Roman" w:eastAsia="Batang" w:hAnsi="Times New Roman" w:cs="Times New Roman"/>
          <w:i/>
          <w:sz w:val="28"/>
          <w:szCs w:val="28"/>
          <w:lang w:eastAsia="ko-KR"/>
        </w:rPr>
        <w:t>доступности</w:t>
      </w:r>
      <w:r w:rsidRPr="005B0D7D">
        <w:rPr>
          <w:rFonts w:ascii="Times New Roman" w:eastAsia="Batang" w:hAnsi="Times New Roman" w:cs="Times New Roman"/>
          <w:sz w:val="28"/>
          <w:szCs w:val="28"/>
          <w:lang w:eastAsia="ko-KR"/>
        </w:rPr>
        <w:t xml:space="preserve"> сфер жизнедеятельности);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lastRenderedPageBreak/>
        <w:t>2) недостаточно точно подмеченные проблемы (</w:t>
      </w:r>
      <w:r w:rsidRPr="005B0D7D">
        <w:rPr>
          <w:rFonts w:ascii="Times New Roman" w:eastAsia="Batang" w:hAnsi="Times New Roman" w:cs="Times New Roman"/>
          <w:i/>
          <w:sz w:val="28"/>
          <w:szCs w:val="28"/>
          <w:lang w:eastAsia="ko-KR"/>
        </w:rPr>
        <w:t>в отношении муниципальных библиотек, возможно, следует говорить не о повышении качества услуг, а об изменении их роли в современных условиях как центров развития интеллектуального и социального капитала</w:t>
      </w:r>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3) предельно широкая формулировка цели (о </w:t>
      </w:r>
      <w:r w:rsidRPr="005B0D7D">
        <w:rPr>
          <w:rFonts w:ascii="Times New Roman" w:eastAsia="Batang" w:hAnsi="Times New Roman" w:cs="Times New Roman"/>
          <w:i/>
          <w:sz w:val="28"/>
          <w:szCs w:val="28"/>
          <w:lang w:eastAsia="ko-KR"/>
        </w:rPr>
        <w:t>повышении качества жизни населения,</w:t>
      </w:r>
      <w:r w:rsidRPr="005B0D7D">
        <w:rPr>
          <w:rFonts w:ascii="Times New Roman" w:eastAsia="Batang" w:hAnsi="Times New Roman" w:cs="Times New Roman"/>
          <w:sz w:val="28"/>
          <w:szCs w:val="28"/>
          <w:lang w:eastAsia="ko-KR"/>
        </w:rPr>
        <w:t xml:space="preserve"> </w:t>
      </w:r>
      <w:r w:rsidRPr="005B0D7D">
        <w:rPr>
          <w:rFonts w:ascii="Times New Roman" w:eastAsia="Batang" w:hAnsi="Times New Roman" w:cs="Times New Roman"/>
          <w:i/>
          <w:sz w:val="28"/>
          <w:szCs w:val="28"/>
          <w:lang w:eastAsia="ko-KR"/>
        </w:rPr>
        <w:t>современных потребностях общества</w:t>
      </w:r>
      <w:r w:rsidRPr="005B0D7D">
        <w:rPr>
          <w:rFonts w:ascii="Times New Roman" w:eastAsia="Batang" w:hAnsi="Times New Roman" w:cs="Times New Roman"/>
          <w:sz w:val="28"/>
          <w:szCs w:val="28"/>
          <w:lang w:eastAsia="ko-KR"/>
        </w:rPr>
        <w:t xml:space="preserve"> зачастую говорится тогда, когда подразумевается совершенствование отдельной сферы жизнедеятельности);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недостаточно четкое соответствие между целью и задачами, отсутствие единого логического основания при формировании перечня задач;</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 неполный охват мероприятиями программы регулируемой сферы жизнедеятельности;</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6) совпадение отдельных формулировок с текущими функциями (</w:t>
      </w:r>
      <w:r w:rsidRPr="005B0D7D">
        <w:rPr>
          <w:rFonts w:ascii="Times New Roman" w:eastAsia="Batang" w:hAnsi="Times New Roman" w:cs="Times New Roman"/>
          <w:i/>
          <w:sz w:val="28"/>
          <w:szCs w:val="28"/>
          <w:lang w:eastAsia="ko-KR"/>
        </w:rPr>
        <w:t>реализация в полном объеме социальных гарантий, качественное исполнение переданных государственных полномочий…</w:t>
      </w:r>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7) неконкретность ожидаемых результатов, выражающаяся в отсутствии числовых значений;</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8) включение в программы ведомственных показателей, предполагающих текущую работу и напрямую не связанных с социальным эффектом (</w:t>
      </w:r>
      <w:r w:rsidRPr="005B0D7D">
        <w:rPr>
          <w:rFonts w:ascii="Times New Roman" w:eastAsia="Batang" w:hAnsi="Times New Roman" w:cs="Times New Roman"/>
          <w:i/>
          <w:sz w:val="28"/>
          <w:szCs w:val="28"/>
          <w:lang w:eastAsia="ko-KR"/>
        </w:rPr>
        <w:t>доля исполненных муниципальных заданий; доля учреждений, разместивших на сайте нормативно закрепленный перечень сведений о своей деятельности</w:t>
      </w:r>
      <w:r w:rsidRPr="005B0D7D">
        <w:rPr>
          <w:rFonts w:ascii="Times New Roman" w:eastAsia="Batang" w:hAnsi="Times New Roman" w:cs="Times New Roman"/>
          <w:sz w:val="28"/>
          <w:szCs w:val="28"/>
          <w:lang w:eastAsia="ko-KR"/>
        </w:rPr>
        <w:t>).</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Положения настоящей Стратегии будут учитываться при актуализации муниципальных программ. Концептуальный блок каждой программы будет наполнен методологическим содержанием на основе позиций, определенных в документах стратегического планирования. </w:t>
      </w:r>
    </w:p>
    <w:p w:rsidR="005B0D7D" w:rsidRPr="005B0D7D" w:rsidRDefault="005B0D7D" w:rsidP="005B0D7D">
      <w:pPr>
        <w:keepNext/>
        <w:spacing w:before="240" w:after="120" w:line="240" w:lineRule="auto"/>
        <w:ind w:firstLine="720"/>
        <w:jc w:val="right"/>
        <w:outlineLvl w:val="0"/>
        <w:rPr>
          <w:rFonts w:ascii="Times New Roman" w:eastAsia="Batang" w:hAnsi="Times New Roman" w:cs="Times New Roman"/>
          <w:b/>
          <w:bCs/>
          <w:kern w:val="32"/>
          <w:sz w:val="28"/>
          <w:szCs w:val="28"/>
          <w:lang w:eastAsia="ko-KR"/>
        </w:rPr>
      </w:pPr>
      <w:r w:rsidRPr="005B0D7D">
        <w:rPr>
          <w:rFonts w:ascii="Arial" w:eastAsia="Batang" w:hAnsi="Arial" w:cs="Arial"/>
          <w:b/>
          <w:bCs/>
          <w:kern w:val="32"/>
          <w:sz w:val="28"/>
          <w:szCs w:val="28"/>
          <w:lang w:eastAsia="ko-KR"/>
        </w:rPr>
        <w:br w:type="page"/>
      </w:r>
      <w:bookmarkStart w:id="392" w:name="_Toc410639559"/>
      <w:r w:rsidRPr="005B0D7D">
        <w:rPr>
          <w:rFonts w:ascii="Times New Roman" w:eastAsia="Batang" w:hAnsi="Times New Roman" w:cs="Times New Roman"/>
          <w:b/>
          <w:bCs/>
          <w:kern w:val="32"/>
          <w:sz w:val="28"/>
          <w:szCs w:val="28"/>
          <w:lang w:eastAsia="ko-KR"/>
        </w:rPr>
        <w:lastRenderedPageBreak/>
        <w:t>Приложение 5.</w:t>
      </w:r>
      <w:bookmarkEnd w:id="392"/>
    </w:p>
    <w:p w:rsidR="005B0D7D" w:rsidRPr="005B0D7D" w:rsidRDefault="005B0D7D" w:rsidP="005B0D7D">
      <w:pPr>
        <w:spacing w:after="0" w:line="240" w:lineRule="auto"/>
        <w:ind w:firstLine="709"/>
        <w:jc w:val="right"/>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к разделу 4.9. «Основные риски </w:t>
      </w:r>
    </w:p>
    <w:p w:rsidR="005B0D7D" w:rsidRPr="005B0D7D" w:rsidRDefault="005B0D7D" w:rsidP="005B0D7D">
      <w:pPr>
        <w:spacing w:after="0" w:line="240" w:lineRule="auto"/>
        <w:ind w:firstLine="709"/>
        <w:jc w:val="right"/>
        <w:rPr>
          <w:rFonts w:ascii="Times New Roman" w:eastAsia="Batang" w:hAnsi="Times New Roman" w:cs="Times New Roman"/>
          <w:sz w:val="24"/>
          <w:szCs w:val="24"/>
          <w:lang w:eastAsia="ko-KR"/>
        </w:rPr>
      </w:pPr>
      <w:r w:rsidRPr="005B0D7D">
        <w:rPr>
          <w:rFonts w:ascii="Times New Roman" w:eastAsia="Batang" w:hAnsi="Times New Roman" w:cs="Times New Roman"/>
          <w:sz w:val="24"/>
          <w:szCs w:val="24"/>
          <w:lang w:eastAsia="ko-KR"/>
        </w:rPr>
        <w:t xml:space="preserve">развития города» </w:t>
      </w:r>
    </w:p>
    <w:p w:rsidR="005B0D7D" w:rsidRPr="005B0D7D" w:rsidRDefault="005B0D7D" w:rsidP="005B0D7D">
      <w:pPr>
        <w:keepNext/>
        <w:spacing w:before="240" w:after="120" w:line="240" w:lineRule="auto"/>
        <w:jc w:val="center"/>
        <w:outlineLvl w:val="0"/>
        <w:rPr>
          <w:rFonts w:ascii="Times New Roman" w:eastAsia="Batang" w:hAnsi="Times New Roman" w:cs="Times New Roman"/>
          <w:b/>
          <w:bCs/>
          <w:kern w:val="32"/>
          <w:sz w:val="28"/>
          <w:szCs w:val="28"/>
          <w:lang w:eastAsia="ko-KR"/>
        </w:rPr>
      </w:pPr>
      <w:bookmarkStart w:id="393" w:name="_Toc410639560"/>
      <w:r w:rsidRPr="005B0D7D">
        <w:rPr>
          <w:rFonts w:ascii="Times New Roman" w:eastAsia="Batang" w:hAnsi="Times New Roman" w:cs="Times New Roman"/>
          <w:b/>
          <w:bCs/>
          <w:kern w:val="32"/>
          <w:sz w:val="28"/>
          <w:szCs w:val="28"/>
          <w:lang w:eastAsia="ko-KR"/>
        </w:rPr>
        <w:t>Антикризисная карта реализации Стратегии социально-экономического развития города Ханты-Мансийска</w:t>
      </w:r>
      <w:bookmarkEnd w:id="393"/>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Антикризисная карта предусматривает систему мер, позволяющих реализовывать Стратегию социально-экономического развития города Ханты-Мансийска в условиях нарастания неблагоприятных тенденций в экономике и социальной сфере, обусловленных внешними и внутренними факторами. Максимальная эффективность реализации Стратегии будет определяться концентрацией усилий на проведении первоочередных мероприятий по нейтрализации отрицательного</w:t>
      </w:r>
      <w:r w:rsidRPr="005B0D7D">
        <w:rPr>
          <w:rFonts w:ascii="Times New Roman" w:eastAsia="Batang" w:hAnsi="Times New Roman" w:cs="Times New Roman"/>
          <w:color w:val="FF0000"/>
          <w:sz w:val="28"/>
          <w:szCs w:val="28"/>
          <w:lang w:eastAsia="ko-KR"/>
        </w:rPr>
        <w:t xml:space="preserve"> </w:t>
      </w:r>
      <w:r w:rsidRPr="005B0D7D">
        <w:rPr>
          <w:rFonts w:ascii="Times New Roman" w:eastAsia="Batang" w:hAnsi="Times New Roman" w:cs="Times New Roman"/>
          <w:sz w:val="28"/>
          <w:szCs w:val="28"/>
          <w:lang w:eastAsia="ko-KR"/>
        </w:rPr>
        <w:t>влияния неблагоприятных внешних и</w:t>
      </w:r>
      <w:r w:rsidRPr="005B0D7D">
        <w:rPr>
          <w:rFonts w:ascii="Times New Roman" w:eastAsia="Batang" w:hAnsi="Times New Roman" w:cs="Times New Roman"/>
          <w:color w:val="FF0000"/>
          <w:sz w:val="28"/>
          <w:szCs w:val="28"/>
          <w:lang w:eastAsia="ko-KR"/>
        </w:rPr>
        <w:t xml:space="preserve"> </w:t>
      </w:r>
      <w:r w:rsidRPr="005B0D7D">
        <w:rPr>
          <w:rFonts w:ascii="Times New Roman" w:eastAsia="Batang" w:hAnsi="Times New Roman" w:cs="Times New Roman"/>
          <w:sz w:val="28"/>
          <w:szCs w:val="28"/>
          <w:lang w:eastAsia="ko-KR"/>
        </w:rPr>
        <w:t>внутренних факторов развития города Ханты-Мансийска.</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b/>
          <w:i/>
          <w:sz w:val="28"/>
          <w:szCs w:val="28"/>
          <w:lang w:eastAsia="ko-KR"/>
        </w:rPr>
        <w:t xml:space="preserve">Миссия антикризисной политики </w:t>
      </w:r>
      <w:r w:rsidRPr="005B0D7D">
        <w:rPr>
          <w:rFonts w:ascii="Times New Roman" w:eastAsia="Batang" w:hAnsi="Times New Roman" w:cs="Times New Roman"/>
          <w:sz w:val="28"/>
          <w:szCs w:val="28"/>
          <w:lang w:eastAsia="ko-KR"/>
        </w:rPr>
        <w:t>– учитывая достаточность природно-ресурсного, трудового, экономического, градостроительного, социального и инновационного потенциала города Ханты-Мансийска, а также созидательную активность хозяйствующих субъектов и жителей города, поддерживать и развивать совместными усилиями власти, бизнеса и населения экономику города, социальную сферу, городскую среду и лучшие управленческие практики.</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b/>
          <w:i/>
          <w:sz w:val="28"/>
          <w:szCs w:val="28"/>
          <w:lang w:eastAsia="ko-KR"/>
        </w:rPr>
        <w:t>Цель</w:t>
      </w:r>
      <w:r w:rsidRPr="005B0D7D">
        <w:rPr>
          <w:rFonts w:ascii="Times New Roman" w:eastAsia="Batang" w:hAnsi="Times New Roman" w:cs="Times New Roman"/>
          <w:sz w:val="28"/>
          <w:szCs w:val="28"/>
          <w:lang w:eastAsia="ko-KR"/>
        </w:rPr>
        <w:t xml:space="preserve"> </w:t>
      </w:r>
      <w:r w:rsidRPr="005B0D7D">
        <w:rPr>
          <w:rFonts w:ascii="Times New Roman" w:eastAsia="Batang" w:hAnsi="Times New Roman" w:cs="Times New Roman"/>
          <w:b/>
          <w:i/>
          <w:sz w:val="28"/>
          <w:szCs w:val="28"/>
          <w:lang w:eastAsia="ko-KR"/>
        </w:rPr>
        <w:t xml:space="preserve">антикризисной политики </w:t>
      </w:r>
      <w:r w:rsidRPr="005B0D7D">
        <w:rPr>
          <w:rFonts w:ascii="Times New Roman" w:eastAsia="Batang" w:hAnsi="Times New Roman" w:cs="Times New Roman"/>
          <w:sz w:val="28"/>
          <w:szCs w:val="28"/>
          <w:lang w:eastAsia="ko-KR"/>
        </w:rPr>
        <w:t>– обеспечить устойчивое социально-экономическое развитие города Ханты-Мансийска и достаточный уровень социальной стабильности, что позволит предотвратить снижение уровня и качества жизни населения при неблагоприятных внешних условиях.</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b/>
          <w:i/>
          <w:sz w:val="28"/>
          <w:szCs w:val="28"/>
          <w:lang w:eastAsia="ko-KR"/>
        </w:rPr>
        <w:t>Задачи</w:t>
      </w:r>
      <w:r w:rsidRPr="005B0D7D">
        <w:rPr>
          <w:rFonts w:ascii="Times New Roman" w:eastAsia="Batang" w:hAnsi="Times New Roman" w:cs="Times New Roman"/>
          <w:sz w:val="28"/>
          <w:szCs w:val="28"/>
          <w:lang w:eastAsia="ko-KR"/>
        </w:rPr>
        <w:t xml:space="preserve"> </w:t>
      </w:r>
      <w:r w:rsidRPr="005B0D7D">
        <w:rPr>
          <w:rFonts w:ascii="Times New Roman" w:eastAsia="Batang" w:hAnsi="Times New Roman" w:cs="Times New Roman"/>
          <w:b/>
          <w:i/>
          <w:sz w:val="28"/>
          <w:szCs w:val="28"/>
          <w:lang w:eastAsia="ko-KR"/>
        </w:rPr>
        <w:t>антикризисной политики</w:t>
      </w:r>
    </w:p>
    <w:p w:rsidR="005B0D7D" w:rsidRPr="005B0D7D" w:rsidRDefault="005B0D7D" w:rsidP="0085547B">
      <w:pPr>
        <w:numPr>
          <w:ilvl w:val="0"/>
          <w:numId w:val="52"/>
        </w:numPr>
        <w:tabs>
          <w:tab w:val="clear" w:pos="1785"/>
          <w:tab w:val="num" w:pos="426"/>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обеспечить стабильную работу важнейших предприятий города и крестьянских (фермерских) хозяйств, не допустить значительного снижения объемов производства и сокращения числа рабочих мест;</w:t>
      </w:r>
    </w:p>
    <w:p w:rsidR="005B0D7D" w:rsidRPr="005B0D7D" w:rsidRDefault="005B0D7D" w:rsidP="0085547B">
      <w:pPr>
        <w:numPr>
          <w:ilvl w:val="0"/>
          <w:numId w:val="52"/>
        </w:numPr>
        <w:tabs>
          <w:tab w:val="clear" w:pos="1785"/>
          <w:tab w:val="num" w:pos="142"/>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не допустить массового закрытия либо приостановления деятельности субъектов малого и среднего предпринимательства;</w:t>
      </w:r>
    </w:p>
    <w:p w:rsidR="005B0D7D" w:rsidRPr="005B0D7D" w:rsidRDefault="005B0D7D" w:rsidP="0085547B">
      <w:pPr>
        <w:numPr>
          <w:ilvl w:val="0"/>
          <w:numId w:val="52"/>
        </w:numPr>
        <w:tabs>
          <w:tab w:val="clear" w:pos="1785"/>
          <w:tab w:val="num" w:pos="142"/>
          <w:tab w:val="left" w:pos="108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предотвратить свертывание реализуемых инвестиционных проектов и прекращение потока инвестиционных предложений;</w:t>
      </w:r>
    </w:p>
    <w:p w:rsidR="005B0D7D" w:rsidRPr="005B0D7D" w:rsidRDefault="005B0D7D" w:rsidP="0085547B">
      <w:pPr>
        <w:numPr>
          <w:ilvl w:val="0"/>
          <w:numId w:val="52"/>
        </w:numPr>
        <w:tabs>
          <w:tab w:val="clear" w:pos="1785"/>
          <w:tab w:val="left" w:pos="1080"/>
          <w:tab w:val="num" w:pos="1418"/>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избежать существенного сокращения бюджетных расходов на реализацию муниципальных программ социальной направленности;</w:t>
      </w:r>
    </w:p>
    <w:p w:rsidR="005B0D7D" w:rsidRPr="005B0D7D" w:rsidRDefault="005B0D7D" w:rsidP="0085547B">
      <w:pPr>
        <w:numPr>
          <w:ilvl w:val="0"/>
          <w:numId w:val="52"/>
        </w:numPr>
        <w:tabs>
          <w:tab w:val="clear" w:pos="1785"/>
          <w:tab w:val="left" w:pos="1080"/>
          <w:tab w:val="num" w:pos="156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обеспечивать бесперебойное функционирование систем жизнеобеспечения города;</w:t>
      </w:r>
    </w:p>
    <w:p w:rsidR="005B0D7D" w:rsidRPr="005B0D7D" w:rsidRDefault="005B0D7D" w:rsidP="0085547B">
      <w:pPr>
        <w:numPr>
          <w:ilvl w:val="0"/>
          <w:numId w:val="52"/>
        </w:numPr>
        <w:tabs>
          <w:tab w:val="clear" w:pos="1785"/>
          <w:tab w:val="left" w:pos="1080"/>
          <w:tab w:val="num" w:pos="1560"/>
        </w:tabs>
        <w:spacing w:after="0" w:line="240" w:lineRule="auto"/>
        <w:ind w:left="0"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совершенствовать систему управления, ориентируя ее на принятие нестандартных решений, оперативное реагирование на вызовы внутренней и внешней среды.</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b/>
          <w:i/>
          <w:sz w:val="28"/>
          <w:szCs w:val="28"/>
          <w:lang w:eastAsia="ko-KR"/>
        </w:rPr>
        <w:t>Ключевые направления</w:t>
      </w:r>
      <w:r w:rsidRPr="005B0D7D">
        <w:rPr>
          <w:rFonts w:ascii="Times New Roman" w:eastAsia="Batang" w:hAnsi="Times New Roman" w:cs="Times New Roman"/>
          <w:sz w:val="28"/>
          <w:szCs w:val="28"/>
          <w:lang w:eastAsia="ko-KR"/>
        </w:rPr>
        <w:t xml:space="preserve"> действий органов местного самоуправления по реализации Стратегии в рамках антикризисного регулирования включают в себя следующее.</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рамках реализации Цели 1 «Формирование конкурентоспособной экономики, ориентированной на инновации»:</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proofErr w:type="gramStart"/>
      <w:r w:rsidRPr="005B0D7D">
        <w:rPr>
          <w:rFonts w:ascii="Times New Roman" w:eastAsia="Batang" w:hAnsi="Times New Roman" w:cs="Times New Roman"/>
          <w:sz w:val="28"/>
          <w:szCs w:val="28"/>
          <w:lang w:eastAsia="ko-KR"/>
        </w:rPr>
        <w:lastRenderedPageBreak/>
        <w:t>поддержка организаторов производства в интересах развития реального сектора экономики, обеспечение продовольственной безопасности, создание условий для успешного завершения реализуемых инвестиционных проектов, привлечение оборотных и инвестиционных ресурсов с приемлемой стоимостью, содействие развитию малого и среднего предпринимательства за счет снижения финансовых и административных издержек, расширение мер поддержки малых инновационных предприятий в части содействия коммерциализации инновационной продукции.</w:t>
      </w:r>
      <w:proofErr w:type="gramEnd"/>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рамках реализации Цели 2 «Реализация человеческого потенциала»:</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поддержка сбалансированности рынка труда, недопущение возникновения напряженности в сфере занятости населения, проведение активной социально-демографической политики, компенсация дополнительных инфляционных издержек наиболее уязвимым категориям граждан (пенсионеры, многодетные семьи); продолжение реализации муниципальных программ социальной направленности (социальная защита населения, образование, молодежная политика и др.).</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рамках реализации Цели 3 «Обеспечение комфортности городской среды»:</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расширение и улучшение качества дорожно-транспортной сети в интересах развития производства и сохранения позитивных тенденций в сфере потребительского рынка, содействие созданию на территории города логистического центра; развитие коммунальной инфраструктуры для обеспечения приживаемости перспективных инвестиционных проектов, поддержание высокого уровня общественной безопасности.</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рамках реализации Цели 4 «Совершенствование системы местного самоуправления»:</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оптимизация расходов местного бюджета за счет выявления и сокращения неэффективных затрат, концентрации ресурсов на приоритетных направлениях развития и выполнении публичных обязательств; активизация социального потенциала жителей территории.</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b/>
          <w:i/>
          <w:sz w:val="28"/>
          <w:szCs w:val="28"/>
          <w:lang w:eastAsia="ko-KR"/>
        </w:rPr>
        <w:t>Антикризисные меры</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Приоритетной антикризисной мерой является создание условий для выполнения Плана мероприятий по реализации Стратегии социально-экономического развития города Ханты-Мансийска до 2020 года и на период до 2030 года.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Чтобы минимизировать последствия кризисных явлений, следует сконцентрироваться на реализации комплекса следующих первоочередных мер тактического характера.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smartTag w:uri="urn:schemas-microsoft-com:office:smarttags" w:element="place">
        <w:r w:rsidRPr="005B0D7D">
          <w:rPr>
            <w:rFonts w:ascii="Times New Roman" w:eastAsia="Batang" w:hAnsi="Times New Roman" w:cs="Times New Roman"/>
            <w:i/>
            <w:sz w:val="28"/>
            <w:szCs w:val="28"/>
            <w:lang w:val="en-US" w:eastAsia="ko-KR"/>
          </w:rPr>
          <w:t>I</w:t>
        </w:r>
        <w:r w:rsidRPr="005B0D7D">
          <w:rPr>
            <w:rFonts w:ascii="Times New Roman" w:eastAsia="Batang" w:hAnsi="Times New Roman" w:cs="Times New Roman"/>
            <w:i/>
            <w:sz w:val="28"/>
            <w:szCs w:val="28"/>
            <w:lang w:eastAsia="ko-KR"/>
          </w:rPr>
          <w:t>.</w:t>
        </w:r>
      </w:smartTag>
      <w:r w:rsidRPr="005B0D7D">
        <w:rPr>
          <w:rFonts w:ascii="Times New Roman" w:eastAsia="Batang" w:hAnsi="Times New Roman" w:cs="Times New Roman"/>
          <w:i/>
          <w:sz w:val="28"/>
          <w:szCs w:val="28"/>
          <w:lang w:eastAsia="ko-KR"/>
        </w:rPr>
        <w:t xml:space="preserve"> Меры в сфере обеспечения конкурентоспособности экономики города </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1. Обеспечение приоритета развития реального сектора экономики путем предоставления административной, информационной, </w:t>
      </w:r>
      <w:proofErr w:type="spellStart"/>
      <w:r w:rsidRPr="005B0D7D">
        <w:rPr>
          <w:rFonts w:ascii="Times New Roman" w:eastAsia="Batang" w:hAnsi="Times New Roman" w:cs="Times New Roman"/>
          <w:sz w:val="28"/>
          <w:szCs w:val="28"/>
          <w:lang w:eastAsia="ko-KR"/>
        </w:rPr>
        <w:t>имиджевой</w:t>
      </w:r>
      <w:proofErr w:type="spellEnd"/>
      <w:r w:rsidRPr="005B0D7D">
        <w:rPr>
          <w:rFonts w:ascii="Times New Roman" w:eastAsia="Batang" w:hAnsi="Times New Roman" w:cs="Times New Roman"/>
          <w:sz w:val="28"/>
          <w:szCs w:val="28"/>
          <w:lang w:eastAsia="ko-KR"/>
        </w:rPr>
        <w:t xml:space="preserve"> поддержки предпринимателей – организаторов производства.</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2. Поддержка строительной отрасли – в частности, за счет перераспределения средств, заложенных в муниципальных программах. Помимо формирования муниципального заказа на строительство, необходимо </w:t>
      </w:r>
      <w:r w:rsidRPr="005B0D7D">
        <w:rPr>
          <w:rFonts w:ascii="Times New Roman" w:eastAsia="Batang" w:hAnsi="Times New Roman" w:cs="Times New Roman"/>
          <w:sz w:val="28"/>
          <w:szCs w:val="28"/>
          <w:lang w:eastAsia="ko-KR"/>
        </w:rPr>
        <w:lastRenderedPageBreak/>
        <w:t>стимулировать активность индивидуальных застройщиков. Следует проводить инвентаризацию строений с различной степенью готовности (50-70%, 90% и т.д.), побуждая застройщиков начинать либо завершать строительство в оговоренный сторонами срок. Также целесообразно создание жилищно-строительных кооперативов в сферах индивидуального жилищного строительства и арендного жилья.</w:t>
      </w:r>
    </w:p>
    <w:p w:rsidR="005B0D7D" w:rsidRPr="005B0D7D" w:rsidRDefault="005B0D7D" w:rsidP="005B0D7D">
      <w:pPr>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Усиление внимания к инвестиционной деятельности. Алгоритм контроля и поддержки деятельности инвесторов состоит в следующем.</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1) Подготовка как можно большего числа инвестиционных площадок, включая их инфраструктурное обеспечение. </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2) Создание </w:t>
      </w:r>
      <w:proofErr w:type="gramStart"/>
      <w:r w:rsidRPr="005B0D7D">
        <w:rPr>
          <w:rFonts w:ascii="Times New Roman" w:eastAsia="Batang" w:hAnsi="Times New Roman" w:cs="Times New Roman"/>
          <w:sz w:val="28"/>
          <w:szCs w:val="28"/>
          <w:lang w:eastAsia="ko-KR"/>
        </w:rPr>
        <w:t>Интернет-портала</w:t>
      </w:r>
      <w:proofErr w:type="gramEnd"/>
      <w:r w:rsidRPr="005B0D7D">
        <w:rPr>
          <w:rFonts w:ascii="Times New Roman" w:eastAsia="Batang" w:hAnsi="Times New Roman" w:cs="Times New Roman"/>
          <w:sz w:val="28"/>
          <w:szCs w:val="28"/>
          <w:lang w:eastAsia="ko-KR"/>
        </w:rPr>
        <w:t xml:space="preserve"> «Инвестиционный паспорт города Ханты-Мансийска» в первоочередном порядке в целях своевременного информирования потенциальных инвесторов о предоставляемых ресурсах и возможностях.</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3) Содействие в составлении инвестиционных проектов по приоритетным направлениям деятельности − помощь в подготовке исходно-распорядительной документации на этапах от эскизного проекта до получения разрешения на строительство.</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4) Мониторинг экономических показателей инвесторов с целью предотвращения возможных банкротств. Выявление инвесторов, имеющих задолженность и, по всей вероятности, не способных реализовать свои проекты. Заключение с арендаторами, задерживающими выполнение проектов, дополнительных соглашений к договорам аренды с указанием конкретных сроков освоения земельных участков.</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4. </w:t>
      </w:r>
      <w:r w:rsidRPr="005B0D7D">
        <w:rPr>
          <w:rFonts w:ascii="Times New Roman" w:eastAsia="Batang" w:hAnsi="Times New Roman" w:cs="Times New Roman"/>
          <w:i/>
          <w:sz w:val="28"/>
          <w:szCs w:val="28"/>
          <w:lang w:eastAsia="ko-KR"/>
        </w:rPr>
        <w:t>Поддержка субъектов малого и среднего предпринимательства</w:t>
      </w:r>
      <w:r w:rsidRPr="005B0D7D">
        <w:rPr>
          <w:rFonts w:ascii="Times New Roman" w:eastAsia="Batang" w:hAnsi="Times New Roman" w:cs="Times New Roman"/>
          <w:sz w:val="28"/>
          <w:szCs w:val="28"/>
          <w:lang w:eastAsia="ko-KR"/>
        </w:rPr>
        <w:t xml:space="preserve">, осуществляющих деятельность в приоритетных для города сферах – в частности, это производство, инновационная деятельность, туризм, здравоохранение, образование и консалтинг. </w:t>
      </w:r>
      <w:proofErr w:type="gramStart"/>
      <w:r w:rsidRPr="005B0D7D">
        <w:rPr>
          <w:rFonts w:ascii="Times New Roman" w:eastAsia="Batang" w:hAnsi="Times New Roman" w:cs="Times New Roman"/>
          <w:sz w:val="28"/>
          <w:szCs w:val="28"/>
          <w:lang w:eastAsia="ko-KR"/>
        </w:rPr>
        <w:t>Помимо административной, имущественной и иных видов поддержки, формат которых описан в Стратегии, предполагается сохранение права аренды объектов муниципальной собственности за субъектами предпринимательства, ведущими социально-значимую деятельность, с возможным освобождением от арендной платы на период временного прекращения хозяйственной деятельности, если при этом не допускается сокращения рабочих мест.</w:t>
      </w:r>
      <w:proofErr w:type="gramEnd"/>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5. </w:t>
      </w:r>
      <w:r w:rsidRPr="005B0D7D">
        <w:rPr>
          <w:rFonts w:ascii="Times New Roman" w:eastAsia="Batang" w:hAnsi="Times New Roman" w:cs="Times New Roman"/>
          <w:i/>
          <w:sz w:val="28"/>
          <w:szCs w:val="28"/>
          <w:lang w:eastAsia="ko-KR"/>
        </w:rPr>
        <w:t xml:space="preserve">Поддержка инновационной деятельности </w:t>
      </w:r>
      <w:r w:rsidRPr="005B0D7D">
        <w:rPr>
          <w:rFonts w:ascii="Times New Roman" w:eastAsia="Batang" w:hAnsi="Times New Roman" w:cs="Times New Roman"/>
          <w:sz w:val="28"/>
          <w:szCs w:val="28"/>
          <w:lang w:eastAsia="ko-KR"/>
        </w:rPr>
        <w:t xml:space="preserve">в неблагоприятных социально-экономических условиях должна сводиться к содействию малым инновационным предприятиям в получении информации о всероссийских и окружных конкурсах научно-технического творчества, предполагающих </w:t>
      </w:r>
      <w:proofErr w:type="spellStart"/>
      <w:r w:rsidRPr="005B0D7D">
        <w:rPr>
          <w:rFonts w:ascii="Times New Roman" w:eastAsia="Batang" w:hAnsi="Times New Roman" w:cs="Times New Roman"/>
          <w:sz w:val="28"/>
          <w:szCs w:val="28"/>
          <w:lang w:eastAsia="ko-KR"/>
        </w:rPr>
        <w:t>грантовое</w:t>
      </w:r>
      <w:proofErr w:type="spellEnd"/>
      <w:r w:rsidRPr="005B0D7D">
        <w:rPr>
          <w:rFonts w:ascii="Times New Roman" w:eastAsia="Batang" w:hAnsi="Times New Roman" w:cs="Times New Roman"/>
          <w:sz w:val="28"/>
          <w:szCs w:val="28"/>
          <w:lang w:eastAsia="ko-KR"/>
        </w:rPr>
        <w:t xml:space="preserve"> финансирование инновационных проектов.</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i/>
          <w:sz w:val="28"/>
          <w:szCs w:val="28"/>
          <w:lang w:val="en-US" w:eastAsia="ko-KR"/>
        </w:rPr>
        <w:t>II</w:t>
      </w:r>
      <w:r w:rsidRPr="005B0D7D">
        <w:rPr>
          <w:rFonts w:ascii="Times New Roman" w:eastAsia="Batang" w:hAnsi="Times New Roman" w:cs="Times New Roman"/>
          <w:i/>
          <w:sz w:val="28"/>
          <w:szCs w:val="28"/>
          <w:lang w:eastAsia="ko-KR"/>
        </w:rPr>
        <w:t xml:space="preserve">. Меры по обеспечению реализации человеческого потенциала города </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Основной задачей антикризисного регулирования социально-трудовой сферы является сохранение рабочих мест, недопущение массовых увольнений работников, введение неполного рабочего дня. Первоочередные меры в сфере занятости населения позволят обеспечить социальную поддержку следующих категорий граждан: безработных, выпускников учебных заведений, лиц, находящихся под угрозой увольнения, а также работающих граждан с низкими </w:t>
      </w:r>
      <w:r w:rsidRPr="005B0D7D">
        <w:rPr>
          <w:rFonts w:ascii="Times New Roman" w:eastAsia="Batang" w:hAnsi="Times New Roman" w:cs="Times New Roman"/>
          <w:sz w:val="28"/>
          <w:szCs w:val="28"/>
          <w:lang w:eastAsia="ko-KR"/>
        </w:rPr>
        <w:lastRenderedPageBreak/>
        <w:t>доходами. В отношении данных категорий населения необходима реализация следующих мероприятий.</w:t>
      </w:r>
    </w:p>
    <w:p w:rsidR="005B0D7D" w:rsidRPr="005B0D7D" w:rsidRDefault="005B0D7D" w:rsidP="0085547B">
      <w:pPr>
        <w:numPr>
          <w:ilvl w:val="0"/>
          <w:numId w:val="51"/>
        </w:numPr>
        <w:tabs>
          <w:tab w:val="left" w:pos="1080"/>
        </w:tabs>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Усиление взаимодействия органов местного самоуправления с кадровыми агентствами, функционирующими при высших и средних специальных учебных заведениях города Ханты-Мансийска в части информирования о ситуации на рынке труда, а также о наиболее востребованных специальностях и отдельных навыках.</w:t>
      </w:r>
    </w:p>
    <w:p w:rsidR="005B0D7D" w:rsidRPr="005B0D7D" w:rsidRDefault="005B0D7D" w:rsidP="0085547B">
      <w:pPr>
        <w:numPr>
          <w:ilvl w:val="0"/>
          <w:numId w:val="51"/>
        </w:numPr>
        <w:tabs>
          <w:tab w:val="left" w:pos="1080"/>
        </w:tabs>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Расширение объемов оплачиваемых общественных работ, обеспечиваемых предприятиями всех форм собственности. Взаимодействие с Центром занятости населения по поводу финансирования общественных работ в сфере городского хозяйства.</w:t>
      </w:r>
    </w:p>
    <w:p w:rsidR="005B0D7D" w:rsidRPr="005B0D7D" w:rsidRDefault="005B0D7D" w:rsidP="0085547B">
      <w:pPr>
        <w:numPr>
          <w:ilvl w:val="0"/>
          <w:numId w:val="51"/>
        </w:numPr>
        <w:tabs>
          <w:tab w:val="left" w:pos="1080"/>
        </w:tabs>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sz w:val="28"/>
          <w:szCs w:val="28"/>
          <w:lang w:eastAsia="ko-KR"/>
        </w:rPr>
        <w:t>Стимулирование работодателей сохранять рабочие места, при необходимости сокращая количество рабочих часов в неделю.</w:t>
      </w:r>
    </w:p>
    <w:p w:rsidR="005B0D7D" w:rsidRPr="005B0D7D" w:rsidRDefault="005B0D7D" w:rsidP="0085547B">
      <w:pPr>
        <w:numPr>
          <w:ilvl w:val="0"/>
          <w:numId w:val="51"/>
        </w:numPr>
        <w:tabs>
          <w:tab w:val="left" w:pos="1080"/>
        </w:tabs>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sz w:val="28"/>
          <w:szCs w:val="28"/>
          <w:lang w:eastAsia="ko-KR"/>
        </w:rPr>
        <w:t xml:space="preserve">Содействие созданию рынка временных рабочих мест, которыми могут воспользоваться работники предприятий и организаций, не обеспеченные должным объемом работ. </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 целях стабилизации рынка труда целесообразно создание Центра капитализации человеческого потенциала – вида рекрутингового агентства, которое аккумулирует работников различных специальностей, обеспечивает их профессиональное развитие и направляет на работу в организации, испытывающие потребность в рабочей силе. При этом юридически работники остаются в штате рекрутингового агентства. Таким образом, они получают полную загрузку рабочего дня (возможно, будучи направлены на работу на разные предприятия), а работодатели передают на аутсорсинг кадровые функции, сосредотачиваясь на основной деятельности.</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Проведение активной социально-демографической политики должно быть направлено на предотвращение образования «демографической ямы». В настоящее время город Ханты-Мансийск характеризуется интенсивным ростом рождаемости, и поддержание данной тенденции представляется возможным путем создания инфраструктуры в рамках проекта «Ханты-Мансийск – город семейного благополучия».</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i/>
          <w:sz w:val="28"/>
          <w:szCs w:val="28"/>
          <w:lang w:val="en-US" w:eastAsia="ko-KR"/>
        </w:rPr>
        <w:t>III</w:t>
      </w:r>
      <w:r w:rsidRPr="005B0D7D">
        <w:rPr>
          <w:rFonts w:ascii="Times New Roman" w:eastAsia="Batang" w:hAnsi="Times New Roman" w:cs="Times New Roman"/>
          <w:i/>
          <w:sz w:val="28"/>
          <w:szCs w:val="28"/>
          <w:lang w:eastAsia="ko-KR"/>
        </w:rPr>
        <w:t>. Меры в сфере</w:t>
      </w:r>
      <w:r w:rsidRPr="005B0D7D">
        <w:rPr>
          <w:rFonts w:ascii="Times New Roman" w:eastAsia="Batang" w:hAnsi="Times New Roman" w:cs="Times New Roman"/>
          <w:sz w:val="28"/>
          <w:szCs w:val="28"/>
          <w:lang w:eastAsia="ko-KR"/>
        </w:rPr>
        <w:t xml:space="preserve"> </w:t>
      </w:r>
      <w:r w:rsidRPr="005B0D7D">
        <w:rPr>
          <w:rFonts w:ascii="Times New Roman" w:eastAsia="Batang" w:hAnsi="Times New Roman" w:cs="Times New Roman"/>
          <w:i/>
          <w:sz w:val="28"/>
          <w:szCs w:val="28"/>
          <w:lang w:eastAsia="ko-KR"/>
        </w:rPr>
        <w:t>совершенствования местного самоуправления</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i/>
          <w:sz w:val="28"/>
          <w:szCs w:val="28"/>
          <w:lang w:eastAsia="ko-KR"/>
        </w:rPr>
      </w:pPr>
      <w:r w:rsidRPr="005B0D7D">
        <w:rPr>
          <w:rFonts w:ascii="Times New Roman" w:eastAsia="Batang" w:hAnsi="Times New Roman" w:cs="Times New Roman"/>
          <w:i/>
          <w:sz w:val="28"/>
          <w:szCs w:val="28"/>
          <w:lang w:eastAsia="ko-KR"/>
        </w:rPr>
        <w:t>1. Меры административного характера</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Включение в функционал Экспертного совета систематического рассмотрения вопросов и предложений по стабилизации социально-экономической ситуации в городе.</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Стимулирование муниципальных служащих к участию в государственных программах федерального и окружного уровня и федеральных проектах, предусматривающих реализацию на территории города Ханты-Мансийска мероприятий, финансируемых (</w:t>
      </w:r>
      <w:proofErr w:type="spellStart"/>
      <w:r w:rsidRPr="005B0D7D">
        <w:rPr>
          <w:rFonts w:ascii="Times New Roman" w:eastAsia="Batang" w:hAnsi="Times New Roman" w:cs="Times New Roman"/>
          <w:sz w:val="28"/>
          <w:szCs w:val="28"/>
          <w:lang w:eastAsia="ko-KR"/>
        </w:rPr>
        <w:t>софинансируемых</w:t>
      </w:r>
      <w:proofErr w:type="spellEnd"/>
      <w:r w:rsidRPr="005B0D7D">
        <w:rPr>
          <w:rFonts w:ascii="Times New Roman" w:eastAsia="Batang" w:hAnsi="Times New Roman" w:cs="Times New Roman"/>
          <w:sz w:val="28"/>
          <w:szCs w:val="28"/>
          <w:lang w:eastAsia="ko-KR"/>
        </w:rPr>
        <w:t>) из бюджетов вышестоящих уровней и внебюджетных источников.</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Экономия электроэнергии, тепла и воды в бюджетных учреждениях (путем установки приборов учета, энергосберегающих ламп, своевременного ремонта оборудования, материального стимулирования руководителей учреждений за </w:t>
      </w:r>
      <w:r w:rsidRPr="005B0D7D">
        <w:rPr>
          <w:rFonts w:ascii="Times New Roman" w:eastAsia="Batang" w:hAnsi="Times New Roman" w:cs="Times New Roman"/>
          <w:sz w:val="28"/>
          <w:szCs w:val="28"/>
          <w:lang w:eastAsia="ko-KR"/>
        </w:rPr>
        <w:lastRenderedPageBreak/>
        <w:t>экономию ресурсов); сокращение лимитов отраслевого финансирования на горюче-смазочные материалы, связь, канцтовары, хозяйственные расходы.</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Перенос части мероприятий муниципальных программ на более поздние сроки при условии обеспечения приоритетности расходов на социальные нужды, а также на выполнение строительно-монтажных работ.</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2. Сокращение расходов местного бюджета не менее</w:t>
      </w:r>
      <w:proofErr w:type="gramStart"/>
      <w:r w:rsidRPr="005B0D7D">
        <w:rPr>
          <w:rFonts w:ascii="Times New Roman" w:eastAsia="Batang" w:hAnsi="Times New Roman" w:cs="Times New Roman"/>
          <w:sz w:val="28"/>
          <w:szCs w:val="28"/>
          <w:lang w:eastAsia="ko-KR"/>
        </w:rPr>
        <w:t>,</w:t>
      </w:r>
      <w:proofErr w:type="gramEnd"/>
      <w:r w:rsidRPr="005B0D7D">
        <w:rPr>
          <w:rFonts w:ascii="Times New Roman" w:eastAsia="Batang" w:hAnsi="Times New Roman" w:cs="Times New Roman"/>
          <w:sz w:val="28"/>
          <w:szCs w:val="28"/>
          <w:lang w:eastAsia="ko-KR"/>
        </w:rPr>
        <w:t xml:space="preserve"> чем на 5%. Повышение доли доходов от платных услуг в финансовом обеспечении муниципальных учреждений.</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3. Усиление регулирования </w:t>
      </w:r>
      <w:r w:rsidRPr="005B0D7D">
        <w:rPr>
          <w:rFonts w:ascii="Times New Roman" w:eastAsia="Batang" w:hAnsi="Times New Roman" w:cs="Times New Roman"/>
          <w:i/>
          <w:sz w:val="28"/>
          <w:szCs w:val="28"/>
          <w:lang w:eastAsia="ko-KR"/>
        </w:rPr>
        <w:t xml:space="preserve">земельно-имущественных отношений </w:t>
      </w:r>
      <w:r w:rsidRPr="005B0D7D">
        <w:rPr>
          <w:rFonts w:ascii="Times New Roman" w:eastAsia="Batang" w:hAnsi="Times New Roman" w:cs="Times New Roman"/>
          <w:sz w:val="28"/>
          <w:szCs w:val="28"/>
          <w:lang w:eastAsia="ko-KR"/>
        </w:rPr>
        <w:t>в целях компенсации недостающих ресурсов бюджета. Способствовать повышению управляемости в данной сфере призвана инвентаризация землепользования, в рамках которой целесообразны следующие действия:</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1) Создание рабочих групп по инвентаризации земель коммерческого использования и участков, предоставленных под индивидуальное жилищное строительство.</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xml:space="preserve">2) Выявление нарушений земельного законодательства, в частности, использования участков без правильно оформленных документов и путем </w:t>
      </w:r>
      <w:proofErr w:type="spellStart"/>
      <w:r w:rsidRPr="005B0D7D">
        <w:rPr>
          <w:rFonts w:ascii="Times New Roman" w:eastAsia="Batang" w:hAnsi="Times New Roman" w:cs="Times New Roman"/>
          <w:bCs/>
          <w:sz w:val="28"/>
          <w:szCs w:val="28"/>
          <w:lang w:eastAsia="ko-KR"/>
        </w:rPr>
        <w:t>самозахвата</w:t>
      </w:r>
      <w:proofErr w:type="spellEnd"/>
      <w:r w:rsidRPr="005B0D7D">
        <w:rPr>
          <w:rFonts w:ascii="Times New Roman" w:eastAsia="Batang" w:hAnsi="Times New Roman" w:cs="Times New Roman"/>
          <w:bCs/>
          <w:sz w:val="28"/>
          <w:szCs w:val="28"/>
          <w:lang w:eastAsia="ko-KR"/>
        </w:rPr>
        <w:t>.</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 xml:space="preserve">3) Инвентаризация массивов старой застройки – проверка базы данных налоговой службы на предмет выявления неучтенных, не имеющих кадастровых номеров и иных идентификационных признаков, а также ошибочно учтенных участков. </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bCs/>
          <w:sz w:val="28"/>
          <w:szCs w:val="28"/>
          <w:lang w:eastAsia="ko-KR"/>
        </w:rPr>
      </w:pPr>
      <w:r w:rsidRPr="005B0D7D">
        <w:rPr>
          <w:rFonts w:ascii="Times New Roman" w:eastAsia="Batang" w:hAnsi="Times New Roman" w:cs="Times New Roman"/>
          <w:bCs/>
          <w:sz w:val="28"/>
          <w:szCs w:val="28"/>
          <w:lang w:eastAsia="ko-KR"/>
        </w:rPr>
        <w:t>4) Выявление гаражных массивов, не сформированных в гаражно-строительные кооперативы.</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5) Анализ налогооблагаемой базы по земельному налогу в части предприятий и организаций, выкупивших земельные участки. Выявление причин неуплаты земельного налога, в особенности крупными налогоплательщиками. Организация обращения в службу судебных приставов с требованием взыскания земельного налога за счет имущества должников (при наличии задолженности).</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r w:rsidRPr="005B0D7D">
        <w:rPr>
          <w:rFonts w:ascii="Times New Roman" w:eastAsia="Batang" w:hAnsi="Times New Roman" w:cs="Times New Roman"/>
          <w:sz w:val="28"/>
          <w:szCs w:val="28"/>
          <w:lang w:eastAsia="ko-KR"/>
        </w:rPr>
        <w:t xml:space="preserve">Итак, совокупность обозначенных антикризисных мер должна предотвратить тенденции к ухудшению социально-экономических показателей и создать условия для обеспечения устойчивого стратегического развития города Ханты-Мансийска на долгосрочную перспективу. </w:t>
      </w:r>
    </w:p>
    <w:p w:rsidR="005B0D7D" w:rsidRPr="005B0D7D" w:rsidRDefault="005B0D7D" w:rsidP="005B0D7D">
      <w:pPr>
        <w:tabs>
          <w:tab w:val="left" w:pos="1080"/>
        </w:tabs>
        <w:spacing w:after="0" w:line="240" w:lineRule="auto"/>
        <w:ind w:firstLine="720"/>
        <w:jc w:val="both"/>
        <w:rPr>
          <w:rFonts w:ascii="Times New Roman" w:eastAsia="Batang" w:hAnsi="Times New Roman" w:cs="Times New Roman"/>
          <w:sz w:val="28"/>
          <w:szCs w:val="28"/>
          <w:lang w:eastAsia="ko-KR"/>
        </w:rPr>
      </w:pPr>
    </w:p>
    <w:p w:rsidR="005B0D7D" w:rsidRDefault="005B0D7D"/>
    <w:sectPr w:rsidR="005B0D7D" w:rsidSect="005B0D7D">
      <w:headerReference w:type="default" r:id="rId61"/>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8C4" w:rsidRDefault="00ED78C4">
      <w:pPr>
        <w:spacing w:after="0" w:line="240" w:lineRule="auto"/>
      </w:pPr>
      <w:r>
        <w:separator/>
      </w:r>
    </w:p>
  </w:endnote>
  <w:endnote w:type="continuationSeparator" w:id="0">
    <w:p w:rsidR="00ED78C4" w:rsidRDefault="00ED7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8C4" w:rsidRDefault="00ED78C4">
      <w:pPr>
        <w:spacing w:after="0" w:line="240" w:lineRule="auto"/>
      </w:pPr>
      <w:r>
        <w:separator/>
      </w:r>
    </w:p>
  </w:footnote>
  <w:footnote w:type="continuationSeparator" w:id="0">
    <w:p w:rsidR="00ED78C4" w:rsidRDefault="00ED78C4">
      <w:pPr>
        <w:spacing w:after="0" w:line="240" w:lineRule="auto"/>
      </w:pPr>
      <w:r>
        <w:continuationSeparator/>
      </w:r>
    </w:p>
  </w:footnote>
  <w:footnote w:id="1">
    <w:p w:rsidR="004176CA" w:rsidRDefault="004176CA" w:rsidP="005B0D7D">
      <w:pPr>
        <w:pStyle w:val="ae"/>
        <w:jc w:val="both"/>
      </w:pPr>
      <w:r w:rsidRPr="001310E7">
        <w:rPr>
          <w:rStyle w:val="af0"/>
        </w:rPr>
        <w:footnoteRef/>
      </w:r>
      <w:r>
        <w:t xml:space="preserve"> Постановление</w:t>
      </w:r>
      <w:r w:rsidRPr="005C1FC0">
        <w:t xml:space="preserve"> Правительства Ханты-Мансийского автономного округа - Югры от 14.01.2011 №8-п «О нормативах минимальной обеспеченности населения площадью торговых объектов </w:t>
      </w:r>
      <w:proofErr w:type="gramStart"/>
      <w:r w:rsidRPr="005C1FC0">
        <w:t>в</w:t>
      </w:r>
      <w:proofErr w:type="gramEnd"/>
      <w:r w:rsidRPr="005C1FC0">
        <w:t xml:space="preserve"> </w:t>
      </w:r>
      <w:proofErr w:type="gramStart"/>
      <w:r w:rsidRPr="005C1FC0">
        <w:t>Ханты-Мансийском</w:t>
      </w:r>
      <w:proofErr w:type="gramEnd"/>
      <w:r w:rsidRPr="005C1FC0">
        <w:t xml:space="preserve"> автономном округе – Югре»</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CA" w:rsidRDefault="004176CA" w:rsidP="005B0D7D">
    <w:pPr>
      <w:pStyle w:val="a3"/>
      <w:jc w:val="center"/>
    </w:pPr>
    <w:r>
      <w:fldChar w:fldCharType="begin"/>
    </w:r>
    <w:r>
      <w:instrText>PAGE   \* MERGEFORMAT</w:instrText>
    </w:r>
    <w:r>
      <w:fldChar w:fldCharType="separate"/>
    </w:r>
    <w:r w:rsidR="00436D1D">
      <w:rPr>
        <w:noProof/>
      </w:rPr>
      <w:t>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11BF"/>
    <w:multiLevelType w:val="hybridMultilevel"/>
    <w:tmpl w:val="6944E6DE"/>
    <w:lvl w:ilvl="0" w:tplc="9642CB6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200563F"/>
    <w:multiLevelType w:val="hybridMultilevel"/>
    <w:tmpl w:val="19FE8B5C"/>
    <w:lvl w:ilvl="0" w:tplc="A61AB80C">
      <w:start w:val="1"/>
      <w:numFmt w:val="decimal"/>
      <w:lvlText w:val="%1."/>
      <w:lvlJc w:val="left"/>
      <w:pPr>
        <w:ind w:left="1774" w:hanging="106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4641119"/>
    <w:multiLevelType w:val="hybridMultilevel"/>
    <w:tmpl w:val="64D6ECF8"/>
    <w:lvl w:ilvl="0" w:tplc="0419000F">
      <w:start w:val="1"/>
      <w:numFmt w:val="decimal"/>
      <w:lvlText w:val="%1."/>
      <w:lvlJc w:val="left"/>
      <w:pPr>
        <w:ind w:left="720" w:hanging="360"/>
      </w:pPr>
      <w:rPr>
        <w:rFonts w:cs="Times New Roman"/>
      </w:rPr>
    </w:lvl>
    <w:lvl w:ilvl="1" w:tplc="8F74C76E">
      <w:start w:val="1"/>
      <w:numFmt w:val="decimal"/>
      <w:lvlText w:val="%2)"/>
      <w:lvlJc w:val="left"/>
      <w:pPr>
        <w:ind w:left="2220" w:hanging="114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51E0604"/>
    <w:multiLevelType w:val="hybridMultilevel"/>
    <w:tmpl w:val="CB0E8F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6B0D13"/>
    <w:multiLevelType w:val="hybridMultilevel"/>
    <w:tmpl w:val="FD205CD6"/>
    <w:lvl w:ilvl="0" w:tplc="149848DA">
      <w:start w:val="1"/>
      <w:numFmt w:val="decimal"/>
      <w:lvlText w:val="%1."/>
      <w:lvlJc w:val="left"/>
      <w:pPr>
        <w:tabs>
          <w:tab w:val="num" w:pos="0"/>
        </w:tabs>
      </w:pPr>
      <w:rPr>
        <w:rFonts w:cs="Times New Roman" w:hint="default"/>
      </w:rPr>
    </w:lvl>
    <w:lvl w:ilvl="1" w:tplc="B3241318">
      <w:start w:val="1"/>
      <w:numFmt w:val="decimal"/>
      <w:lvlText w:val="%2."/>
      <w:lvlJc w:val="left"/>
      <w:pPr>
        <w:ind w:left="2070" w:hanging="990"/>
      </w:pPr>
      <w:rPr>
        <w:rFonts w:cs="Times New Roman" w:hint="default"/>
      </w:rPr>
    </w:lvl>
    <w:lvl w:ilvl="2" w:tplc="D442A40C">
      <w:start w:val="1"/>
      <w:numFmt w:val="decimal"/>
      <w:lvlText w:val="%3)"/>
      <w:lvlJc w:val="left"/>
      <w:pPr>
        <w:ind w:left="3030" w:hanging="105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5D15D50"/>
    <w:multiLevelType w:val="hybridMultilevel"/>
    <w:tmpl w:val="A52E529E"/>
    <w:lvl w:ilvl="0" w:tplc="6C488AF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088D48DE"/>
    <w:multiLevelType w:val="hybridMultilevel"/>
    <w:tmpl w:val="7460E0D0"/>
    <w:lvl w:ilvl="0" w:tplc="00505F5C">
      <w:start w:val="1"/>
      <w:numFmt w:val="decimal"/>
      <w:lvlText w:val="%1)"/>
      <w:lvlJc w:val="left"/>
      <w:pPr>
        <w:tabs>
          <w:tab w:val="num" w:pos="1440"/>
        </w:tabs>
        <w:ind w:left="1440" w:hanging="360"/>
      </w:pPr>
      <w:rPr>
        <w:rFonts w:cs="Times New Roman" w:hint="default"/>
        <w:sz w:val="28"/>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
    <w:nsid w:val="0DAD5017"/>
    <w:multiLevelType w:val="hybridMultilevel"/>
    <w:tmpl w:val="9A4E1B46"/>
    <w:lvl w:ilvl="0" w:tplc="D43481F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0E580789"/>
    <w:multiLevelType w:val="multilevel"/>
    <w:tmpl w:val="90BE5360"/>
    <w:lvl w:ilvl="0">
      <w:start w:val="1"/>
      <w:numFmt w:val="decimal"/>
      <w:lvlText w:val="%1."/>
      <w:lvlJc w:val="left"/>
      <w:pPr>
        <w:ind w:left="1440" w:hanging="360"/>
      </w:pPr>
      <w:rPr>
        <w:rFonts w:cs="Times New Roman"/>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520" w:hanging="1440"/>
      </w:pPr>
      <w:rPr>
        <w:rFonts w:cs="Times New Roman" w:hint="default"/>
      </w:rPr>
    </w:lvl>
    <w:lvl w:ilvl="6">
      <w:start w:val="1"/>
      <w:numFmt w:val="decimal"/>
      <w:isLgl/>
      <w:lvlText w:val="%1.%2.%3.%4.%5.%6.%7."/>
      <w:lvlJc w:val="left"/>
      <w:pPr>
        <w:ind w:left="2880" w:hanging="1800"/>
      </w:pPr>
      <w:rPr>
        <w:rFonts w:cs="Times New Roman" w:hint="default"/>
      </w:rPr>
    </w:lvl>
    <w:lvl w:ilvl="7">
      <w:start w:val="1"/>
      <w:numFmt w:val="decimal"/>
      <w:isLgl/>
      <w:lvlText w:val="%1.%2.%3.%4.%5.%6.%7.%8."/>
      <w:lvlJc w:val="left"/>
      <w:pPr>
        <w:ind w:left="2880" w:hanging="1800"/>
      </w:pPr>
      <w:rPr>
        <w:rFonts w:cs="Times New Roman" w:hint="default"/>
      </w:rPr>
    </w:lvl>
    <w:lvl w:ilvl="8">
      <w:start w:val="1"/>
      <w:numFmt w:val="decimal"/>
      <w:isLgl/>
      <w:lvlText w:val="%1.%2.%3.%4.%5.%6.%7.%8.%9."/>
      <w:lvlJc w:val="left"/>
      <w:pPr>
        <w:ind w:left="3240" w:hanging="2160"/>
      </w:pPr>
      <w:rPr>
        <w:rFonts w:cs="Times New Roman" w:hint="default"/>
      </w:rPr>
    </w:lvl>
  </w:abstractNum>
  <w:abstractNum w:abstractNumId="9">
    <w:nsid w:val="0E94773D"/>
    <w:multiLevelType w:val="hybridMultilevel"/>
    <w:tmpl w:val="8E6AFB44"/>
    <w:lvl w:ilvl="0" w:tplc="00505F5C">
      <w:start w:val="1"/>
      <w:numFmt w:val="decimal"/>
      <w:lvlText w:val="%1)"/>
      <w:lvlJc w:val="left"/>
      <w:pPr>
        <w:tabs>
          <w:tab w:val="num" w:pos="1440"/>
        </w:tabs>
        <w:ind w:left="1440" w:hanging="360"/>
      </w:pPr>
      <w:rPr>
        <w:rFonts w:cs="Times New Roman" w:hint="default"/>
        <w:sz w:val="28"/>
      </w:rPr>
    </w:lvl>
    <w:lvl w:ilvl="1" w:tplc="12D83830">
      <w:start w:val="1"/>
      <w:numFmt w:val="decimal"/>
      <w:lvlText w:val="%2."/>
      <w:lvlJc w:val="left"/>
      <w:pPr>
        <w:ind w:left="2895" w:hanging="1095"/>
      </w:pPr>
      <w:rPr>
        <w:rFonts w:cs="Times New Roman" w:hint="default"/>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0">
    <w:nsid w:val="11104FF5"/>
    <w:multiLevelType w:val="hybridMultilevel"/>
    <w:tmpl w:val="85D6FC78"/>
    <w:lvl w:ilvl="0" w:tplc="149848DA">
      <w:start w:val="1"/>
      <w:numFmt w:val="decimal"/>
      <w:lvlText w:val="%1."/>
      <w:lvlJc w:val="left"/>
      <w:pPr>
        <w:tabs>
          <w:tab w:val="num" w:pos="0"/>
        </w:tabs>
      </w:pPr>
      <w:rPr>
        <w:rFonts w:cs="Times New Roman" w:hint="default"/>
      </w:rPr>
    </w:lvl>
    <w:lvl w:ilvl="1" w:tplc="378A33FA">
      <w:start w:val="1"/>
      <w:numFmt w:val="decimal"/>
      <w:lvlText w:val="%2."/>
      <w:lvlJc w:val="left"/>
      <w:pPr>
        <w:ind w:left="2100" w:hanging="102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11A4583"/>
    <w:multiLevelType w:val="hybridMultilevel"/>
    <w:tmpl w:val="A3649CD4"/>
    <w:lvl w:ilvl="0" w:tplc="149848DA">
      <w:start w:val="1"/>
      <w:numFmt w:val="decimal"/>
      <w:lvlText w:val="%1."/>
      <w:lvlJc w:val="left"/>
      <w:pPr>
        <w:tabs>
          <w:tab w:val="num" w:pos="0"/>
        </w:tabs>
      </w:pPr>
      <w:rPr>
        <w:rFonts w:cs="Times New Roman" w:hint="default"/>
      </w:rPr>
    </w:lvl>
    <w:lvl w:ilvl="1" w:tplc="E910A51C">
      <w:start w:val="1"/>
      <w:numFmt w:val="decimal"/>
      <w:lvlText w:val="%2."/>
      <w:lvlJc w:val="left"/>
      <w:pPr>
        <w:ind w:left="1740" w:hanging="1380"/>
      </w:pPr>
      <w:rPr>
        <w:rFonts w:cs="Times New Roman" w:hint="default"/>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2">
    <w:nsid w:val="17166CDB"/>
    <w:multiLevelType w:val="hybridMultilevel"/>
    <w:tmpl w:val="A0BA8F16"/>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3">
    <w:nsid w:val="19865B44"/>
    <w:multiLevelType w:val="hybridMultilevel"/>
    <w:tmpl w:val="B40CADDC"/>
    <w:lvl w:ilvl="0" w:tplc="1C0E8B7C">
      <w:start w:val="1"/>
      <w:numFmt w:val="decimal"/>
      <w:lvlText w:val="%1."/>
      <w:lvlJc w:val="left"/>
      <w:pPr>
        <w:ind w:left="1845" w:hanging="112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1A0E4003"/>
    <w:multiLevelType w:val="hybridMultilevel"/>
    <w:tmpl w:val="E11A345A"/>
    <w:lvl w:ilvl="0" w:tplc="BD8662AE">
      <w:start w:val="1"/>
      <w:numFmt w:val="bullet"/>
      <w:lvlText w:val="•"/>
      <w:lvlJc w:val="left"/>
      <w:pPr>
        <w:tabs>
          <w:tab w:val="num" w:pos="720"/>
        </w:tabs>
        <w:ind w:left="720" w:hanging="360"/>
      </w:pPr>
      <w:rPr>
        <w:rFonts w:ascii="Times New Roman" w:hAnsi="Times New Roman" w:hint="default"/>
      </w:rPr>
    </w:lvl>
    <w:lvl w:ilvl="1" w:tplc="4B985A1E" w:tentative="1">
      <w:start w:val="1"/>
      <w:numFmt w:val="bullet"/>
      <w:lvlText w:val="•"/>
      <w:lvlJc w:val="left"/>
      <w:pPr>
        <w:tabs>
          <w:tab w:val="num" w:pos="1440"/>
        </w:tabs>
        <w:ind w:left="1440" w:hanging="360"/>
      </w:pPr>
      <w:rPr>
        <w:rFonts w:ascii="Times New Roman" w:hAnsi="Times New Roman" w:hint="default"/>
      </w:rPr>
    </w:lvl>
    <w:lvl w:ilvl="2" w:tplc="BBECD99E" w:tentative="1">
      <w:start w:val="1"/>
      <w:numFmt w:val="bullet"/>
      <w:lvlText w:val="•"/>
      <w:lvlJc w:val="left"/>
      <w:pPr>
        <w:tabs>
          <w:tab w:val="num" w:pos="2160"/>
        </w:tabs>
        <w:ind w:left="2160" w:hanging="360"/>
      </w:pPr>
      <w:rPr>
        <w:rFonts w:ascii="Times New Roman" w:hAnsi="Times New Roman" w:hint="default"/>
      </w:rPr>
    </w:lvl>
    <w:lvl w:ilvl="3" w:tplc="3298580E" w:tentative="1">
      <w:start w:val="1"/>
      <w:numFmt w:val="bullet"/>
      <w:lvlText w:val="•"/>
      <w:lvlJc w:val="left"/>
      <w:pPr>
        <w:tabs>
          <w:tab w:val="num" w:pos="2880"/>
        </w:tabs>
        <w:ind w:left="2880" w:hanging="360"/>
      </w:pPr>
      <w:rPr>
        <w:rFonts w:ascii="Times New Roman" w:hAnsi="Times New Roman" w:hint="default"/>
      </w:rPr>
    </w:lvl>
    <w:lvl w:ilvl="4" w:tplc="8D266FF0" w:tentative="1">
      <w:start w:val="1"/>
      <w:numFmt w:val="bullet"/>
      <w:lvlText w:val="•"/>
      <w:lvlJc w:val="left"/>
      <w:pPr>
        <w:tabs>
          <w:tab w:val="num" w:pos="3600"/>
        </w:tabs>
        <w:ind w:left="3600" w:hanging="360"/>
      </w:pPr>
      <w:rPr>
        <w:rFonts w:ascii="Times New Roman" w:hAnsi="Times New Roman" w:hint="default"/>
      </w:rPr>
    </w:lvl>
    <w:lvl w:ilvl="5" w:tplc="C70235A6" w:tentative="1">
      <w:start w:val="1"/>
      <w:numFmt w:val="bullet"/>
      <w:lvlText w:val="•"/>
      <w:lvlJc w:val="left"/>
      <w:pPr>
        <w:tabs>
          <w:tab w:val="num" w:pos="4320"/>
        </w:tabs>
        <w:ind w:left="4320" w:hanging="360"/>
      </w:pPr>
      <w:rPr>
        <w:rFonts w:ascii="Times New Roman" w:hAnsi="Times New Roman" w:hint="default"/>
      </w:rPr>
    </w:lvl>
    <w:lvl w:ilvl="6" w:tplc="8C8C5334" w:tentative="1">
      <w:start w:val="1"/>
      <w:numFmt w:val="bullet"/>
      <w:lvlText w:val="•"/>
      <w:lvlJc w:val="left"/>
      <w:pPr>
        <w:tabs>
          <w:tab w:val="num" w:pos="5040"/>
        </w:tabs>
        <w:ind w:left="5040" w:hanging="360"/>
      </w:pPr>
      <w:rPr>
        <w:rFonts w:ascii="Times New Roman" w:hAnsi="Times New Roman" w:hint="default"/>
      </w:rPr>
    </w:lvl>
    <w:lvl w:ilvl="7" w:tplc="5CBC1B4E" w:tentative="1">
      <w:start w:val="1"/>
      <w:numFmt w:val="bullet"/>
      <w:lvlText w:val="•"/>
      <w:lvlJc w:val="left"/>
      <w:pPr>
        <w:tabs>
          <w:tab w:val="num" w:pos="5760"/>
        </w:tabs>
        <w:ind w:left="5760" w:hanging="360"/>
      </w:pPr>
      <w:rPr>
        <w:rFonts w:ascii="Times New Roman" w:hAnsi="Times New Roman" w:hint="default"/>
      </w:rPr>
    </w:lvl>
    <w:lvl w:ilvl="8" w:tplc="CD7A4DA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1C1F03AC"/>
    <w:multiLevelType w:val="hybridMultilevel"/>
    <w:tmpl w:val="F5705CC2"/>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6">
    <w:nsid w:val="20E47048"/>
    <w:multiLevelType w:val="hybridMultilevel"/>
    <w:tmpl w:val="B0A09E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15453FE"/>
    <w:multiLevelType w:val="multilevel"/>
    <w:tmpl w:val="28FCA8AA"/>
    <w:lvl w:ilvl="0">
      <w:start w:val="1"/>
      <w:numFmt w:val="decimal"/>
      <w:lvlText w:val="%1."/>
      <w:lvlJc w:val="left"/>
      <w:pPr>
        <w:ind w:left="1070" w:hanging="360"/>
      </w:pPr>
      <w:rPr>
        <w:rFonts w:cs="Times New Roman" w:hint="default"/>
      </w:rPr>
    </w:lvl>
    <w:lvl w:ilvl="1">
      <w:start w:val="2"/>
      <w:numFmt w:val="decimal"/>
      <w:isLgl/>
      <w:lvlText w:val="%1.%2."/>
      <w:lvlJc w:val="left"/>
      <w:pPr>
        <w:ind w:left="1500" w:hanging="780"/>
      </w:pPr>
      <w:rPr>
        <w:rFonts w:cs="Times New Roman" w:hint="default"/>
      </w:rPr>
    </w:lvl>
    <w:lvl w:ilvl="2">
      <w:start w:val="2"/>
      <w:numFmt w:val="decimal"/>
      <w:isLgl/>
      <w:lvlText w:val="%1.%2.%3."/>
      <w:lvlJc w:val="left"/>
      <w:pPr>
        <w:ind w:left="1500" w:hanging="780"/>
      </w:pPr>
      <w:rPr>
        <w:rFonts w:cs="Times New Roman" w:hint="default"/>
      </w:rPr>
    </w:lvl>
    <w:lvl w:ilvl="3">
      <w:start w:val="3"/>
      <w:numFmt w:val="decimal"/>
      <w:isLgl/>
      <w:lvlText w:val="%1.%2.%3.%4."/>
      <w:lvlJc w:val="left"/>
      <w:pPr>
        <w:ind w:left="1500" w:hanging="7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8">
    <w:nsid w:val="260D69C0"/>
    <w:multiLevelType w:val="hybridMultilevel"/>
    <w:tmpl w:val="FF645B38"/>
    <w:lvl w:ilvl="0" w:tplc="DF1A800C">
      <w:start w:val="1"/>
      <w:numFmt w:val="decimal"/>
      <w:lvlText w:val="%1."/>
      <w:lvlJc w:val="left"/>
      <w:pPr>
        <w:ind w:left="1890" w:hanging="117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nsid w:val="284C215D"/>
    <w:multiLevelType w:val="hybridMultilevel"/>
    <w:tmpl w:val="AB7E8EC8"/>
    <w:lvl w:ilvl="0" w:tplc="91D86F76">
      <w:start w:val="1"/>
      <w:numFmt w:val="decimal"/>
      <w:lvlText w:val="%1."/>
      <w:lvlJc w:val="left"/>
      <w:pPr>
        <w:tabs>
          <w:tab w:val="num" w:pos="720"/>
        </w:tabs>
        <w:ind w:left="720"/>
      </w:pPr>
      <w:rPr>
        <w:rFonts w:cs="Times New Roman" w:hint="default"/>
      </w:rPr>
    </w:lvl>
    <w:lvl w:ilvl="1" w:tplc="04190001">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0">
    <w:nsid w:val="2E070041"/>
    <w:multiLevelType w:val="hybridMultilevel"/>
    <w:tmpl w:val="CA663AB6"/>
    <w:lvl w:ilvl="0" w:tplc="533CA4BC">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1">
    <w:nsid w:val="356D5B60"/>
    <w:multiLevelType w:val="hybridMultilevel"/>
    <w:tmpl w:val="5BBA7524"/>
    <w:lvl w:ilvl="0" w:tplc="53647730">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9A93C03"/>
    <w:multiLevelType w:val="hybridMultilevel"/>
    <w:tmpl w:val="22EC107E"/>
    <w:lvl w:ilvl="0" w:tplc="9642CB66">
      <w:start w:val="1"/>
      <w:numFmt w:val="decimal"/>
      <w:lvlText w:val="%1."/>
      <w:lvlJc w:val="left"/>
      <w:pPr>
        <w:ind w:left="180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3">
    <w:nsid w:val="3A755328"/>
    <w:multiLevelType w:val="hybridMultilevel"/>
    <w:tmpl w:val="C6DA3E88"/>
    <w:lvl w:ilvl="0" w:tplc="37227F4A">
      <w:start w:val="1"/>
      <w:numFmt w:val="decimal"/>
      <w:lvlText w:val="%1."/>
      <w:lvlJc w:val="left"/>
      <w:pPr>
        <w:ind w:left="1785" w:hanging="106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
    <w:nsid w:val="3A84215F"/>
    <w:multiLevelType w:val="multilevel"/>
    <w:tmpl w:val="E6C23634"/>
    <w:lvl w:ilvl="0">
      <w:start w:val="1"/>
      <w:numFmt w:val="decimal"/>
      <w:lvlText w:val="%1."/>
      <w:lvlJc w:val="left"/>
      <w:pPr>
        <w:ind w:left="1440" w:hanging="360"/>
      </w:pPr>
      <w:rPr>
        <w:rFonts w:cs="Times New Roman"/>
      </w:rPr>
    </w:lvl>
    <w:lvl w:ilvl="1">
      <w:start w:val="1"/>
      <w:numFmt w:val="bullet"/>
      <w:lvlText w:val=""/>
      <w:lvlJc w:val="left"/>
      <w:pPr>
        <w:ind w:left="1800" w:hanging="720"/>
      </w:pPr>
      <w:rPr>
        <w:rFonts w:ascii="Symbol" w:hAnsi="Symbol"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520" w:hanging="1440"/>
      </w:pPr>
      <w:rPr>
        <w:rFonts w:cs="Times New Roman" w:hint="default"/>
      </w:rPr>
    </w:lvl>
    <w:lvl w:ilvl="6">
      <w:start w:val="1"/>
      <w:numFmt w:val="decimal"/>
      <w:isLgl/>
      <w:lvlText w:val="%1.%2.%3.%4.%5.%6.%7."/>
      <w:lvlJc w:val="left"/>
      <w:pPr>
        <w:ind w:left="2880" w:hanging="1800"/>
      </w:pPr>
      <w:rPr>
        <w:rFonts w:cs="Times New Roman" w:hint="default"/>
      </w:rPr>
    </w:lvl>
    <w:lvl w:ilvl="7">
      <w:start w:val="1"/>
      <w:numFmt w:val="decimal"/>
      <w:isLgl/>
      <w:lvlText w:val="%1.%2.%3.%4.%5.%6.%7.%8."/>
      <w:lvlJc w:val="left"/>
      <w:pPr>
        <w:ind w:left="2880" w:hanging="1800"/>
      </w:pPr>
      <w:rPr>
        <w:rFonts w:cs="Times New Roman" w:hint="default"/>
      </w:rPr>
    </w:lvl>
    <w:lvl w:ilvl="8">
      <w:start w:val="1"/>
      <w:numFmt w:val="decimal"/>
      <w:isLgl/>
      <w:lvlText w:val="%1.%2.%3.%4.%5.%6.%7.%8.%9."/>
      <w:lvlJc w:val="left"/>
      <w:pPr>
        <w:ind w:left="3240" w:hanging="2160"/>
      </w:pPr>
      <w:rPr>
        <w:rFonts w:cs="Times New Roman" w:hint="default"/>
      </w:rPr>
    </w:lvl>
  </w:abstractNum>
  <w:abstractNum w:abstractNumId="25">
    <w:nsid w:val="3DF816DB"/>
    <w:multiLevelType w:val="hybridMultilevel"/>
    <w:tmpl w:val="FCB449A0"/>
    <w:lvl w:ilvl="0" w:tplc="24F0822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6">
    <w:nsid w:val="475E2680"/>
    <w:multiLevelType w:val="hybridMultilevel"/>
    <w:tmpl w:val="7BCCD3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80D4E78"/>
    <w:multiLevelType w:val="hybridMultilevel"/>
    <w:tmpl w:val="19FE8B5C"/>
    <w:lvl w:ilvl="0" w:tplc="A61AB80C">
      <w:start w:val="1"/>
      <w:numFmt w:val="decimal"/>
      <w:lvlText w:val="%1."/>
      <w:lvlJc w:val="left"/>
      <w:pPr>
        <w:ind w:left="1774" w:hanging="106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nsid w:val="4C6D372F"/>
    <w:multiLevelType w:val="hybridMultilevel"/>
    <w:tmpl w:val="7B226E3C"/>
    <w:lvl w:ilvl="0" w:tplc="882A4B16">
      <w:start w:val="1"/>
      <w:numFmt w:val="decimal"/>
      <w:lvlText w:val="%1."/>
      <w:lvlJc w:val="left"/>
      <w:pPr>
        <w:tabs>
          <w:tab w:val="num" w:pos="720"/>
        </w:tabs>
        <w:ind w:left="720" w:hanging="360"/>
      </w:pPr>
      <w:rPr>
        <w:rFonts w:cs="Times New Roman"/>
      </w:rPr>
    </w:lvl>
    <w:lvl w:ilvl="1" w:tplc="E2126DB2" w:tentative="1">
      <w:start w:val="1"/>
      <w:numFmt w:val="decimal"/>
      <w:lvlText w:val="%2."/>
      <w:lvlJc w:val="left"/>
      <w:pPr>
        <w:tabs>
          <w:tab w:val="num" w:pos="1440"/>
        </w:tabs>
        <w:ind w:left="1440" w:hanging="360"/>
      </w:pPr>
      <w:rPr>
        <w:rFonts w:cs="Times New Roman"/>
      </w:rPr>
    </w:lvl>
    <w:lvl w:ilvl="2" w:tplc="E76A807A" w:tentative="1">
      <w:start w:val="1"/>
      <w:numFmt w:val="decimal"/>
      <w:lvlText w:val="%3."/>
      <w:lvlJc w:val="left"/>
      <w:pPr>
        <w:tabs>
          <w:tab w:val="num" w:pos="2160"/>
        </w:tabs>
        <w:ind w:left="2160" w:hanging="360"/>
      </w:pPr>
      <w:rPr>
        <w:rFonts w:cs="Times New Roman"/>
      </w:rPr>
    </w:lvl>
    <w:lvl w:ilvl="3" w:tplc="29B8F556" w:tentative="1">
      <w:start w:val="1"/>
      <w:numFmt w:val="decimal"/>
      <w:lvlText w:val="%4."/>
      <w:lvlJc w:val="left"/>
      <w:pPr>
        <w:tabs>
          <w:tab w:val="num" w:pos="2880"/>
        </w:tabs>
        <w:ind w:left="2880" w:hanging="360"/>
      </w:pPr>
      <w:rPr>
        <w:rFonts w:cs="Times New Roman"/>
      </w:rPr>
    </w:lvl>
    <w:lvl w:ilvl="4" w:tplc="908AA238" w:tentative="1">
      <w:start w:val="1"/>
      <w:numFmt w:val="decimal"/>
      <w:lvlText w:val="%5."/>
      <w:lvlJc w:val="left"/>
      <w:pPr>
        <w:tabs>
          <w:tab w:val="num" w:pos="3600"/>
        </w:tabs>
        <w:ind w:left="3600" w:hanging="360"/>
      </w:pPr>
      <w:rPr>
        <w:rFonts w:cs="Times New Roman"/>
      </w:rPr>
    </w:lvl>
    <w:lvl w:ilvl="5" w:tplc="D89EABD8" w:tentative="1">
      <w:start w:val="1"/>
      <w:numFmt w:val="decimal"/>
      <w:lvlText w:val="%6."/>
      <w:lvlJc w:val="left"/>
      <w:pPr>
        <w:tabs>
          <w:tab w:val="num" w:pos="4320"/>
        </w:tabs>
        <w:ind w:left="4320" w:hanging="360"/>
      </w:pPr>
      <w:rPr>
        <w:rFonts w:cs="Times New Roman"/>
      </w:rPr>
    </w:lvl>
    <w:lvl w:ilvl="6" w:tplc="FDDCA192" w:tentative="1">
      <w:start w:val="1"/>
      <w:numFmt w:val="decimal"/>
      <w:lvlText w:val="%7."/>
      <w:lvlJc w:val="left"/>
      <w:pPr>
        <w:tabs>
          <w:tab w:val="num" w:pos="5040"/>
        </w:tabs>
        <w:ind w:left="5040" w:hanging="360"/>
      </w:pPr>
      <w:rPr>
        <w:rFonts w:cs="Times New Roman"/>
      </w:rPr>
    </w:lvl>
    <w:lvl w:ilvl="7" w:tplc="07BABA8C" w:tentative="1">
      <w:start w:val="1"/>
      <w:numFmt w:val="decimal"/>
      <w:lvlText w:val="%8."/>
      <w:lvlJc w:val="left"/>
      <w:pPr>
        <w:tabs>
          <w:tab w:val="num" w:pos="5760"/>
        </w:tabs>
        <w:ind w:left="5760" w:hanging="360"/>
      </w:pPr>
      <w:rPr>
        <w:rFonts w:cs="Times New Roman"/>
      </w:rPr>
    </w:lvl>
    <w:lvl w:ilvl="8" w:tplc="0A50DF9C" w:tentative="1">
      <w:start w:val="1"/>
      <w:numFmt w:val="decimal"/>
      <w:lvlText w:val="%9."/>
      <w:lvlJc w:val="left"/>
      <w:pPr>
        <w:tabs>
          <w:tab w:val="num" w:pos="6480"/>
        </w:tabs>
        <w:ind w:left="6480" w:hanging="360"/>
      </w:pPr>
      <w:rPr>
        <w:rFonts w:cs="Times New Roman"/>
      </w:rPr>
    </w:lvl>
  </w:abstractNum>
  <w:abstractNum w:abstractNumId="29">
    <w:nsid w:val="4C8F41D9"/>
    <w:multiLevelType w:val="hybridMultilevel"/>
    <w:tmpl w:val="BAC6BAFE"/>
    <w:lvl w:ilvl="0" w:tplc="1C3A55FE">
      <w:start w:val="1"/>
      <w:numFmt w:val="decimal"/>
      <w:lvlText w:val="%1."/>
      <w:lvlJc w:val="left"/>
      <w:pPr>
        <w:tabs>
          <w:tab w:val="num" w:pos="720"/>
        </w:tabs>
        <w:ind w:left="720" w:hanging="360"/>
      </w:pPr>
      <w:rPr>
        <w:rFonts w:cs="Times New Roman"/>
      </w:rPr>
    </w:lvl>
    <w:lvl w:ilvl="1" w:tplc="4B127DB4" w:tentative="1">
      <w:start w:val="1"/>
      <w:numFmt w:val="decimal"/>
      <w:lvlText w:val="%2."/>
      <w:lvlJc w:val="left"/>
      <w:pPr>
        <w:tabs>
          <w:tab w:val="num" w:pos="1440"/>
        </w:tabs>
        <w:ind w:left="1440" w:hanging="360"/>
      </w:pPr>
      <w:rPr>
        <w:rFonts w:cs="Times New Roman"/>
      </w:rPr>
    </w:lvl>
    <w:lvl w:ilvl="2" w:tplc="E39A4FA4" w:tentative="1">
      <w:start w:val="1"/>
      <w:numFmt w:val="decimal"/>
      <w:lvlText w:val="%3."/>
      <w:lvlJc w:val="left"/>
      <w:pPr>
        <w:tabs>
          <w:tab w:val="num" w:pos="2160"/>
        </w:tabs>
        <w:ind w:left="2160" w:hanging="360"/>
      </w:pPr>
      <w:rPr>
        <w:rFonts w:cs="Times New Roman"/>
      </w:rPr>
    </w:lvl>
    <w:lvl w:ilvl="3" w:tplc="BAE6BA2A" w:tentative="1">
      <w:start w:val="1"/>
      <w:numFmt w:val="decimal"/>
      <w:lvlText w:val="%4."/>
      <w:lvlJc w:val="left"/>
      <w:pPr>
        <w:tabs>
          <w:tab w:val="num" w:pos="2880"/>
        </w:tabs>
        <w:ind w:left="2880" w:hanging="360"/>
      </w:pPr>
      <w:rPr>
        <w:rFonts w:cs="Times New Roman"/>
      </w:rPr>
    </w:lvl>
    <w:lvl w:ilvl="4" w:tplc="4F366520" w:tentative="1">
      <w:start w:val="1"/>
      <w:numFmt w:val="decimal"/>
      <w:lvlText w:val="%5."/>
      <w:lvlJc w:val="left"/>
      <w:pPr>
        <w:tabs>
          <w:tab w:val="num" w:pos="3600"/>
        </w:tabs>
        <w:ind w:left="3600" w:hanging="360"/>
      </w:pPr>
      <w:rPr>
        <w:rFonts w:cs="Times New Roman"/>
      </w:rPr>
    </w:lvl>
    <w:lvl w:ilvl="5" w:tplc="FFBEC63A" w:tentative="1">
      <w:start w:val="1"/>
      <w:numFmt w:val="decimal"/>
      <w:lvlText w:val="%6."/>
      <w:lvlJc w:val="left"/>
      <w:pPr>
        <w:tabs>
          <w:tab w:val="num" w:pos="4320"/>
        </w:tabs>
        <w:ind w:left="4320" w:hanging="360"/>
      </w:pPr>
      <w:rPr>
        <w:rFonts w:cs="Times New Roman"/>
      </w:rPr>
    </w:lvl>
    <w:lvl w:ilvl="6" w:tplc="3FBEE484" w:tentative="1">
      <w:start w:val="1"/>
      <w:numFmt w:val="decimal"/>
      <w:lvlText w:val="%7."/>
      <w:lvlJc w:val="left"/>
      <w:pPr>
        <w:tabs>
          <w:tab w:val="num" w:pos="5040"/>
        </w:tabs>
        <w:ind w:left="5040" w:hanging="360"/>
      </w:pPr>
      <w:rPr>
        <w:rFonts w:cs="Times New Roman"/>
      </w:rPr>
    </w:lvl>
    <w:lvl w:ilvl="7" w:tplc="41DA9B2A" w:tentative="1">
      <w:start w:val="1"/>
      <w:numFmt w:val="decimal"/>
      <w:lvlText w:val="%8."/>
      <w:lvlJc w:val="left"/>
      <w:pPr>
        <w:tabs>
          <w:tab w:val="num" w:pos="5760"/>
        </w:tabs>
        <w:ind w:left="5760" w:hanging="360"/>
      </w:pPr>
      <w:rPr>
        <w:rFonts w:cs="Times New Roman"/>
      </w:rPr>
    </w:lvl>
    <w:lvl w:ilvl="8" w:tplc="07A8F334" w:tentative="1">
      <w:start w:val="1"/>
      <w:numFmt w:val="decimal"/>
      <w:lvlText w:val="%9."/>
      <w:lvlJc w:val="left"/>
      <w:pPr>
        <w:tabs>
          <w:tab w:val="num" w:pos="6480"/>
        </w:tabs>
        <w:ind w:left="6480" w:hanging="360"/>
      </w:pPr>
      <w:rPr>
        <w:rFonts w:cs="Times New Roman"/>
      </w:rPr>
    </w:lvl>
  </w:abstractNum>
  <w:abstractNum w:abstractNumId="30">
    <w:nsid w:val="4EBF3F27"/>
    <w:multiLevelType w:val="hybridMultilevel"/>
    <w:tmpl w:val="62DAD3CA"/>
    <w:lvl w:ilvl="0" w:tplc="99886F5A">
      <w:start w:val="1"/>
      <w:numFmt w:val="decimal"/>
      <w:lvlText w:val="%1."/>
      <w:lvlJc w:val="left"/>
      <w:pPr>
        <w:ind w:left="2085" w:hanging="136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1">
    <w:nsid w:val="50AF0C4C"/>
    <w:multiLevelType w:val="hybridMultilevel"/>
    <w:tmpl w:val="D9181E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25F52A9"/>
    <w:multiLevelType w:val="hybridMultilevel"/>
    <w:tmpl w:val="8A0430B2"/>
    <w:lvl w:ilvl="0" w:tplc="717CFF8E">
      <w:start w:val="1"/>
      <w:numFmt w:val="decimal"/>
      <w:lvlText w:val="%1)"/>
      <w:lvlJc w:val="left"/>
      <w:pPr>
        <w:tabs>
          <w:tab w:val="num" w:pos="1785"/>
        </w:tabs>
        <w:ind w:left="1785" w:hanging="106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53EF4F96"/>
    <w:multiLevelType w:val="hybridMultilevel"/>
    <w:tmpl w:val="C972AA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69D08E4"/>
    <w:multiLevelType w:val="hybridMultilevel"/>
    <w:tmpl w:val="756892F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5">
    <w:nsid w:val="572B62B4"/>
    <w:multiLevelType w:val="hybridMultilevel"/>
    <w:tmpl w:val="65CA77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8224CC6"/>
    <w:multiLevelType w:val="multilevel"/>
    <w:tmpl w:val="79A2C662"/>
    <w:lvl w:ilvl="0">
      <w:start w:val="1"/>
      <w:numFmt w:val="decimal"/>
      <w:lvlText w:val="%1."/>
      <w:lvlJc w:val="left"/>
      <w:pPr>
        <w:tabs>
          <w:tab w:val="num" w:pos="0"/>
        </w:tabs>
      </w:pPr>
      <w:rPr>
        <w:rFonts w:cs="Times New Roman" w:hint="default"/>
      </w:rPr>
    </w:lvl>
    <w:lvl w:ilvl="1">
      <w:start w:val="3"/>
      <w:numFmt w:val="decimal"/>
      <w:isLgl/>
      <w:lvlText w:val="%1.%2."/>
      <w:lvlJc w:val="left"/>
      <w:pPr>
        <w:ind w:left="624" w:hanging="624"/>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7">
    <w:nsid w:val="58F733E2"/>
    <w:multiLevelType w:val="hybridMultilevel"/>
    <w:tmpl w:val="41968FCC"/>
    <w:lvl w:ilvl="0" w:tplc="149848DA">
      <w:start w:val="1"/>
      <w:numFmt w:val="decimal"/>
      <w:lvlText w:val="%1."/>
      <w:lvlJc w:val="left"/>
      <w:pPr>
        <w:tabs>
          <w:tab w:val="num" w:pos="0"/>
        </w:tabs>
      </w:pPr>
      <w:rPr>
        <w:rFonts w:cs="Times New Roman" w:hint="default"/>
      </w:rPr>
    </w:lvl>
    <w:lvl w:ilvl="1" w:tplc="149282E6">
      <w:start w:val="1"/>
      <w:numFmt w:val="decimal"/>
      <w:lvlText w:val="%2)"/>
      <w:lvlJc w:val="left"/>
      <w:pPr>
        <w:ind w:left="1575" w:hanging="1215"/>
      </w:pPr>
      <w:rPr>
        <w:rFonts w:cs="Times New Roman" w:hint="default"/>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38">
    <w:nsid w:val="59E26E08"/>
    <w:multiLevelType w:val="hybridMultilevel"/>
    <w:tmpl w:val="E3F6E6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5A6F2D62"/>
    <w:multiLevelType w:val="hybridMultilevel"/>
    <w:tmpl w:val="8176FA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5ABA5A69"/>
    <w:multiLevelType w:val="hybridMultilevel"/>
    <w:tmpl w:val="DE2A9C6A"/>
    <w:lvl w:ilvl="0" w:tplc="149848DA">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41">
    <w:nsid w:val="5EFB1DB1"/>
    <w:multiLevelType w:val="hybridMultilevel"/>
    <w:tmpl w:val="85F0B060"/>
    <w:lvl w:ilvl="0" w:tplc="0BFC44B0">
      <w:start w:val="1"/>
      <w:numFmt w:val="decimal"/>
      <w:lvlText w:val="%1."/>
      <w:lvlJc w:val="left"/>
      <w:pPr>
        <w:ind w:left="1995" w:hanging="127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2">
    <w:nsid w:val="5F9A5878"/>
    <w:multiLevelType w:val="hybridMultilevel"/>
    <w:tmpl w:val="5A18E73C"/>
    <w:lvl w:ilvl="0" w:tplc="693C7950">
      <w:start w:val="1"/>
      <w:numFmt w:val="decimal"/>
      <w:lvlText w:val="%1."/>
      <w:lvlJc w:val="left"/>
      <w:pPr>
        <w:ind w:left="1800" w:hanging="108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3">
    <w:nsid w:val="60C2431C"/>
    <w:multiLevelType w:val="hybridMultilevel"/>
    <w:tmpl w:val="5EDA6C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62AA6EAC"/>
    <w:multiLevelType w:val="hybridMultilevel"/>
    <w:tmpl w:val="BBE83504"/>
    <w:lvl w:ilvl="0" w:tplc="46E070C4">
      <w:start w:val="1"/>
      <w:numFmt w:val="decimal"/>
      <w:lvlText w:val="%1."/>
      <w:lvlJc w:val="left"/>
      <w:pPr>
        <w:tabs>
          <w:tab w:val="num" w:pos="0"/>
        </w:tabs>
      </w:pPr>
      <w:rPr>
        <w:rFonts w:cs="Times New Roman" w:hint="default"/>
      </w:rPr>
    </w:lvl>
    <w:lvl w:ilvl="1" w:tplc="430C9BEA">
      <w:start w:val="1"/>
      <w:numFmt w:val="decimal"/>
      <w:lvlText w:val="%2)"/>
      <w:lvlJc w:val="left"/>
      <w:pPr>
        <w:ind w:left="2145" w:hanging="1065"/>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64253524"/>
    <w:multiLevelType w:val="hybridMultilevel"/>
    <w:tmpl w:val="CB2ABD54"/>
    <w:lvl w:ilvl="0" w:tplc="533CA4BC">
      <w:start w:val="1"/>
      <w:numFmt w:val="decimal"/>
      <w:lvlText w:val="%1."/>
      <w:lvlJc w:val="left"/>
      <w:pPr>
        <w:tabs>
          <w:tab w:val="num" w:pos="720"/>
        </w:tabs>
        <w:ind w:left="720"/>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6">
    <w:nsid w:val="65A0010D"/>
    <w:multiLevelType w:val="hybridMultilevel"/>
    <w:tmpl w:val="17A43B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6A550F52"/>
    <w:multiLevelType w:val="hybridMultilevel"/>
    <w:tmpl w:val="5F943718"/>
    <w:lvl w:ilvl="0" w:tplc="931E7A2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8">
    <w:nsid w:val="700658CC"/>
    <w:multiLevelType w:val="multilevel"/>
    <w:tmpl w:val="6A6A0598"/>
    <w:lvl w:ilvl="0">
      <w:start w:val="1"/>
      <w:numFmt w:val="decimal"/>
      <w:lvlText w:val="%1."/>
      <w:lvlJc w:val="left"/>
      <w:pPr>
        <w:tabs>
          <w:tab w:val="num" w:pos="0"/>
        </w:tabs>
      </w:pPr>
      <w:rPr>
        <w:rFonts w:cs="Times New Roman" w:hint="default"/>
      </w:rPr>
    </w:lvl>
    <w:lvl w:ilvl="1">
      <w:start w:val="2"/>
      <w:numFmt w:val="decimal"/>
      <w:isLgl/>
      <w:lvlText w:val="%1.%2."/>
      <w:lvlJc w:val="left"/>
      <w:pPr>
        <w:ind w:left="504" w:hanging="504"/>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9">
    <w:nsid w:val="727F53A6"/>
    <w:multiLevelType w:val="hybridMultilevel"/>
    <w:tmpl w:val="A11654EC"/>
    <w:lvl w:ilvl="0" w:tplc="0419000F">
      <w:start w:val="1"/>
      <w:numFmt w:val="decimal"/>
      <w:lvlText w:val="%1."/>
      <w:lvlJc w:val="left"/>
      <w:pPr>
        <w:ind w:left="720" w:hanging="360"/>
      </w:pPr>
      <w:rPr>
        <w:rFonts w:cs="Times New Roman"/>
      </w:rPr>
    </w:lvl>
    <w:lvl w:ilvl="1" w:tplc="344461F8">
      <w:start w:val="1"/>
      <w:numFmt w:val="decimal"/>
      <w:lvlText w:val="%2."/>
      <w:lvlJc w:val="left"/>
      <w:pPr>
        <w:ind w:left="1211"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757256EA"/>
    <w:multiLevelType w:val="hybridMultilevel"/>
    <w:tmpl w:val="51441B34"/>
    <w:lvl w:ilvl="0" w:tplc="630EA2F4">
      <w:start w:val="1"/>
      <w:numFmt w:val="decimal"/>
      <w:lvlText w:val="%1."/>
      <w:lvlJc w:val="left"/>
      <w:pPr>
        <w:ind w:left="360" w:hanging="360"/>
      </w:pPr>
      <w:rPr>
        <w:rFonts w:cs="Times New Roman" w:hint="default"/>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51">
    <w:nsid w:val="7C0F189F"/>
    <w:multiLevelType w:val="hybridMultilevel"/>
    <w:tmpl w:val="677092F2"/>
    <w:lvl w:ilvl="0" w:tplc="149848DA">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1"/>
  </w:num>
  <w:num w:numId="2">
    <w:abstractNumId w:val="37"/>
  </w:num>
  <w:num w:numId="3">
    <w:abstractNumId w:val="44"/>
  </w:num>
  <w:num w:numId="4">
    <w:abstractNumId w:val="4"/>
  </w:num>
  <w:num w:numId="5">
    <w:abstractNumId w:val="10"/>
  </w:num>
  <w:num w:numId="6">
    <w:abstractNumId w:val="51"/>
  </w:num>
  <w:num w:numId="7">
    <w:abstractNumId w:val="36"/>
  </w:num>
  <w:num w:numId="8">
    <w:abstractNumId w:val="21"/>
  </w:num>
  <w:num w:numId="9">
    <w:abstractNumId w:val="48"/>
  </w:num>
  <w:num w:numId="10">
    <w:abstractNumId w:val="49"/>
  </w:num>
  <w:num w:numId="11">
    <w:abstractNumId w:val="2"/>
  </w:num>
  <w:num w:numId="12">
    <w:abstractNumId w:val="38"/>
  </w:num>
  <w:num w:numId="13">
    <w:abstractNumId w:val="40"/>
  </w:num>
  <w:num w:numId="14">
    <w:abstractNumId w:val="47"/>
  </w:num>
  <w:num w:numId="15">
    <w:abstractNumId w:val="20"/>
  </w:num>
  <w:num w:numId="16">
    <w:abstractNumId w:val="0"/>
  </w:num>
  <w:num w:numId="17">
    <w:abstractNumId w:val="45"/>
  </w:num>
  <w:num w:numId="18">
    <w:abstractNumId w:val="6"/>
  </w:num>
  <w:num w:numId="19">
    <w:abstractNumId w:val="9"/>
  </w:num>
  <w:num w:numId="20">
    <w:abstractNumId w:val="50"/>
  </w:num>
  <w:num w:numId="21">
    <w:abstractNumId w:val="7"/>
  </w:num>
  <w:num w:numId="22">
    <w:abstractNumId w:val="39"/>
  </w:num>
  <w:num w:numId="23">
    <w:abstractNumId w:val="30"/>
  </w:num>
  <w:num w:numId="24">
    <w:abstractNumId w:val="16"/>
  </w:num>
  <w:num w:numId="25">
    <w:abstractNumId w:val="17"/>
  </w:num>
  <w:num w:numId="26">
    <w:abstractNumId w:val="26"/>
  </w:num>
  <w:num w:numId="27">
    <w:abstractNumId w:val="43"/>
  </w:num>
  <w:num w:numId="28">
    <w:abstractNumId w:val="33"/>
  </w:num>
  <w:num w:numId="29">
    <w:abstractNumId w:val="34"/>
  </w:num>
  <w:num w:numId="30">
    <w:abstractNumId w:val="19"/>
  </w:num>
  <w:num w:numId="31">
    <w:abstractNumId w:val="1"/>
  </w:num>
  <w:num w:numId="32">
    <w:abstractNumId w:val="29"/>
  </w:num>
  <w:num w:numId="33">
    <w:abstractNumId w:val="14"/>
  </w:num>
  <w:num w:numId="34">
    <w:abstractNumId w:val="27"/>
  </w:num>
  <w:num w:numId="35">
    <w:abstractNumId w:val="31"/>
  </w:num>
  <w:num w:numId="36">
    <w:abstractNumId w:val="35"/>
  </w:num>
  <w:num w:numId="37">
    <w:abstractNumId w:val="22"/>
  </w:num>
  <w:num w:numId="38">
    <w:abstractNumId w:val="15"/>
  </w:num>
  <w:num w:numId="39">
    <w:abstractNumId w:val="12"/>
  </w:num>
  <w:num w:numId="40">
    <w:abstractNumId w:val="8"/>
  </w:num>
  <w:num w:numId="41">
    <w:abstractNumId w:val="3"/>
  </w:num>
  <w:num w:numId="42">
    <w:abstractNumId w:val="23"/>
  </w:num>
  <w:num w:numId="43">
    <w:abstractNumId w:val="13"/>
  </w:num>
  <w:num w:numId="44">
    <w:abstractNumId w:val="18"/>
  </w:num>
  <w:num w:numId="45">
    <w:abstractNumId w:val="42"/>
  </w:num>
  <w:num w:numId="46">
    <w:abstractNumId w:val="5"/>
  </w:num>
  <w:num w:numId="47">
    <w:abstractNumId w:val="41"/>
  </w:num>
  <w:num w:numId="48">
    <w:abstractNumId w:val="46"/>
  </w:num>
  <w:num w:numId="49">
    <w:abstractNumId w:val="24"/>
  </w:num>
  <w:num w:numId="50">
    <w:abstractNumId w:val="25"/>
  </w:num>
  <w:num w:numId="51">
    <w:abstractNumId w:val="28"/>
  </w:num>
  <w:num w:numId="52">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747"/>
    <w:rsid w:val="00000822"/>
    <w:rsid w:val="00000E00"/>
    <w:rsid w:val="0000106F"/>
    <w:rsid w:val="00002924"/>
    <w:rsid w:val="00002CF9"/>
    <w:rsid w:val="000031A0"/>
    <w:rsid w:val="00003E9E"/>
    <w:rsid w:val="00004780"/>
    <w:rsid w:val="00005473"/>
    <w:rsid w:val="000064DB"/>
    <w:rsid w:val="00006DC6"/>
    <w:rsid w:val="000071C2"/>
    <w:rsid w:val="00007AD0"/>
    <w:rsid w:val="00010173"/>
    <w:rsid w:val="00011A3B"/>
    <w:rsid w:val="0001344E"/>
    <w:rsid w:val="00013B82"/>
    <w:rsid w:val="00013FBA"/>
    <w:rsid w:val="00014743"/>
    <w:rsid w:val="0001562C"/>
    <w:rsid w:val="000160BA"/>
    <w:rsid w:val="0001723E"/>
    <w:rsid w:val="00017EFD"/>
    <w:rsid w:val="0002050F"/>
    <w:rsid w:val="00020598"/>
    <w:rsid w:val="000215B6"/>
    <w:rsid w:val="000226FA"/>
    <w:rsid w:val="00022EBC"/>
    <w:rsid w:val="00023C06"/>
    <w:rsid w:val="00024D8C"/>
    <w:rsid w:val="0002648F"/>
    <w:rsid w:val="000268E8"/>
    <w:rsid w:val="00026DFB"/>
    <w:rsid w:val="00026ED5"/>
    <w:rsid w:val="0002705B"/>
    <w:rsid w:val="00031016"/>
    <w:rsid w:val="0003196E"/>
    <w:rsid w:val="000329D9"/>
    <w:rsid w:val="0003603B"/>
    <w:rsid w:val="00036670"/>
    <w:rsid w:val="0003687C"/>
    <w:rsid w:val="00037643"/>
    <w:rsid w:val="00037795"/>
    <w:rsid w:val="00037ACE"/>
    <w:rsid w:val="00040A2F"/>
    <w:rsid w:val="00041032"/>
    <w:rsid w:val="00041041"/>
    <w:rsid w:val="00041786"/>
    <w:rsid w:val="000427FC"/>
    <w:rsid w:val="00042D61"/>
    <w:rsid w:val="000430D1"/>
    <w:rsid w:val="0004331A"/>
    <w:rsid w:val="000439C3"/>
    <w:rsid w:val="0004400F"/>
    <w:rsid w:val="000460A1"/>
    <w:rsid w:val="000462DF"/>
    <w:rsid w:val="0004694C"/>
    <w:rsid w:val="00046BF4"/>
    <w:rsid w:val="00047833"/>
    <w:rsid w:val="0005006F"/>
    <w:rsid w:val="00052344"/>
    <w:rsid w:val="00052E0D"/>
    <w:rsid w:val="0005368C"/>
    <w:rsid w:val="0005378C"/>
    <w:rsid w:val="00054DA4"/>
    <w:rsid w:val="000560FC"/>
    <w:rsid w:val="00056518"/>
    <w:rsid w:val="0005731F"/>
    <w:rsid w:val="00057817"/>
    <w:rsid w:val="0006065C"/>
    <w:rsid w:val="00060A1C"/>
    <w:rsid w:val="00061301"/>
    <w:rsid w:val="000613E7"/>
    <w:rsid w:val="000615CB"/>
    <w:rsid w:val="00061D4F"/>
    <w:rsid w:val="0006287E"/>
    <w:rsid w:val="00062B83"/>
    <w:rsid w:val="00063A27"/>
    <w:rsid w:val="00064168"/>
    <w:rsid w:val="00064423"/>
    <w:rsid w:val="00064EDA"/>
    <w:rsid w:val="00065725"/>
    <w:rsid w:val="0006578A"/>
    <w:rsid w:val="000676EE"/>
    <w:rsid w:val="000707E1"/>
    <w:rsid w:val="000714FC"/>
    <w:rsid w:val="00071E8D"/>
    <w:rsid w:val="00072342"/>
    <w:rsid w:val="00072589"/>
    <w:rsid w:val="00072869"/>
    <w:rsid w:val="0007322B"/>
    <w:rsid w:val="00073CAB"/>
    <w:rsid w:val="000748E2"/>
    <w:rsid w:val="00075AE0"/>
    <w:rsid w:val="00075FD9"/>
    <w:rsid w:val="00076C25"/>
    <w:rsid w:val="00077A10"/>
    <w:rsid w:val="00077B3E"/>
    <w:rsid w:val="00080C0D"/>
    <w:rsid w:val="00080E38"/>
    <w:rsid w:val="00081F3D"/>
    <w:rsid w:val="0008291D"/>
    <w:rsid w:val="00082984"/>
    <w:rsid w:val="0008488D"/>
    <w:rsid w:val="000849BE"/>
    <w:rsid w:val="00086645"/>
    <w:rsid w:val="00087CBC"/>
    <w:rsid w:val="00090445"/>
    <w:rsid w:val="00090841"/>
    <w:rsid w:val="000916A8"/>
    <w:rsid w:val="0009228B"/>
    <w:rsid w:val="00093053"/>
    <w:rsid w:val="00093D7A"/>
    <w:rsid w:val="00095FE9"/>
    <w:rsid w:val="00096B30"/>
    <w:rsid w:val="00096CB9"/>
    <w:rsid w:val="00096E81"/>
    <w:rsid w:val="0009703B"/>
    <w:rsid w:val="0009777C"/>
    <w:rsid w:val="000A0148"/>
    <w:rsid w:val="000A0F57"/>
    <w:rsid w:val="000A16EC"/>
    <w:rsid w:val="000A274F"/>
    <w:rsid w:val="000A302B"/>
    <w:rsid w:val="000A4A12"/>
    <w:rsid w:val="000A5927"/>
    <w:rsid w:val="000B207B"/>
    <w:rsid w:val="000B22D6"/>
    <w:rsid w:val="000B3860"/>
    <w:rsid w:val="000B395F"/>
    <w:rsid w:val="000B3999"/>
    <w:rsid w:val="000B4B34"/>
    <w:rsid w:val="000B5E75"/>
    <w:rsid w:val="000C0586"/>
    <w:rsid w:val="000C10FE"/>
    <w:rsid w:val="000C2C30"/>
    <w:rsid w:val="000C4ED7"/>
    <w:rsid w:val="000C4FE1"/>
    <w:rsid w:val="000C5E47"/>
    <w:rsid w:val="000C5EAF"/>
    <w:rsid w:val="000C63E9"/>
    <w:rsid w:val="000C6BC3"/>
    <w:rsid w:val="000C6CA0"/>
    <w:rsid w:val="000D0BA1"/>
    <w:rsid w:val="000D0BCD"/>
    <w:rsid w:val="000D1611"/>
    <w:rsid w:val="000D1939"/>
    <w:rsid w:val="000D1C8E"/>
    <w:rsid w:val="000D2493"/>
    <w:rsid w:val="000D34FB"/>
    <w:rsid w:val="000D3E51"/>
    <w:rsid w:val="000D4176"/>
    <w:rsid w:val="000D5303"/>
    <w:rsid w:val="000D6FB2"/>
    <w:rsid w:val="000D79A1"/>
    <w:rsid w:val="000E07D0"/>
    <w:rsid w:val="000E111E"/>
    <w:rsid w:val="000E1DF9"/>
    <w:rsid w:val="000E2385"/>
    <w:rsid w:val="000E282F"/>
    <w:rsid w:val="000E2BCC"/>
    <w:rsid w:val="000E3A49"/>
    <w:rsid w:val="000E3E3D"/>
    <w:rsid w:val="000E49F4"/>
    <w:rsid w:val="000E4CEB"/>
    <w:rsid w:val="000E4EB9"/>
    <w:rsid w:val="000E5BC7"/>
    <w:rsid w:val="000E6077"/>
    <w:rsid w:val="000E6D83"/>
    <w:rsid w:val="000E7373"/>
    <w:rsid w:val="000E7D50"/>
    <w:rsid w:val="000F0262"/>
    <w:rsid w:val="000F150A"/>
    <w:rsid w:val="000F186A"/>
    <w:rsid w:val="000F23E6"/>
    <w:rsid w:val="000F2541"/>
    <w:rsid w:val="000F2BC2"/>
    <w:rsid w:val="000F370E"/>
    <w:rsid w:val="000F39AF"/>
    <w:rsid w:val="000F5B1F"/>
    <w:rsid w:val="000F5CB0"/>
    <w:rsid w:val="001007E7"/>
    <w:rsid w:val="00101300"/>
    <w:rsid w:val="0010262A"/>
    <w:rsid w:val="00102A1A"/>
    <w:rsid w:val="00104630"/>
    <w:rsid w:val="00104703"/>
    <w:rsid w:val="00104C38"/>
    <w:rsid w:val="00104C8C"/>
    <w:rsid w:val="001056F4"/>
    <w:rsid w:val="0010589A"/>
    <w:rsid w:val="00106641"/>
    <w:rsid w:val="001079E8"/>
    <w:rsid w:val="00110C47"/>
    <w:rsid w:val="00111381"/>
    <w:rsid w:val="00111D3D"/>
    <w:rsid w:val="00111F6F"/>
    <w:rsid w:val="00114834"/>
    <w:rsid w:val="001148A3"/>
    <w:rsid w:val="00116160"/>
    <w:rsid w:val="00116D0B"/>
    <w:rsid w:val="00117B39"/>
    <w:rsid w:val="00117EE7"/>
    <w:rsid w:val="001201E2"/>
    <w:rsid w:val="00120958"/>
    <w:rsid w:val="001216D9"/>
    <w:rsid w:val="00121C9E"/>
    <w:rsid w:val="00121CDF"/>
    <w:rsid w:val="00121E5D"/>
    <w:rsid w:val="00121EEB"/>
    <w:rsid w:val="001224FA"/>
    <w:rsid w:val="001225ED"/>
    <w:rsid w:val="00122B2E"/>
    <w:rsid w:val="00123E7F"/>
    <w:rsid w:val="00124685"/>
    <w:rsid w:val="00125515"/>
    <w:rsid w:val="00125F27"/>
    <w:rsid w:val="001273CA"/>
    <w:rsid w:val="001274C7"/>
    <w:rsid w:val="0013022B"/>
    <w:rsid w:val="001305E6"/>
    <w:rsid w:val="00131058"/>
    <w:rsid w:val="0013172D"/>
    <w:rsid w:val="00131D5D"/>
    <w:rsid w:val="00133853"/>
    <w:rsid w:val="00133F97"/>
    <w:rsid w:val="00134297"/>
    <w:rsid w:val="00134BC5"/>
    <w:rsid w:val="00135D18"/>
    <w:rsid w:val="001367B3"/>
    <w:rsid w:val="00137300"/>
    <w:rsid w:val="0013763B"/>
    <w:rsid w:val="00140141"/>
    <w:rsid w:val="00140639"/>
    <w:rsid w:val="00141581"/>
    <w:rsid w:val="00141B07"/>
    <w:rsid w:val="00141B24"/>
    <w:rsid w:val="00142B60"/>
    <w:rsid w:val="001432E9"/>
    <w:rsid w:val="001433E3"/>
    <w:rsid w:val="00143BDC"/>
    <w:rsid w:val="00144F54"/>
    <w:rsid w:val="001460D4"/>
    <w:rsid w:val="00146B39"/>
    <w:rsid w:val="00147165"/>
    <w:rsid w:val="00147C38"/>
    <w:rsid w:val="00147FD1"/>
    <w:rsid w:val="00150816"/>
    <w:rsid w:val="00150D5D"/>
    <w:rsid w:val="001510C0"/>
    <w:rsid w:val="001512B2"/>
    <w:rsid w:val="0015156D"/>
    <w:rsid w:val="001527D8"/>
    <w:rsid w:val="00153242"/>
    <w:rsid w:val="00153EA8"/>
    <w:rsid w:val="00154406"/>
    <w:rsid w:val="001548F7"/>
    <w:rsid w:val="00154E2F"/>
    <w:rsid w:val="00154F52"/>
    <w:rsid w:val="001554FF"/>
    <w:rsid w:val="001557A6"/>
    <w:rsid w:val="00157D97"/>
    <w:rsid w:val="001608DF"/>
    <w:rsid w:val="00162054"/>
    <w:rsid w:val="00163337"/>
    <w:rsid w:val="00163683"/>
    <w:rsid w:val="001636CC"/>
    <w:rsid w:val="00164D33"/>
    <w:rsid w:val="00165462"/>
    <w:rsid w:val="0016682A"/>
    <w:rsid w:val="001668B3"/>
    <w:rsid w:val="00166EE5"/>
    <w:rsid w:val="001677FA"/>
    <w:rsid w:val="00170562"/>
    <w:rsid w:val="001720A3"/>
    <w:rsid w:val="00172605"/>
    <w:rsid w:val="001730AC"/>
    <w:rsid w:val="001731D2"/>
    <w:rsid w:val="00173633"/>
    <w:rsid w:val="00173CE3"/>
    <w:rsid w:val="001743FE"/>
    <w:rsid w:val="00174B07"/>
    <w:rsid w:val="00175BAF"/>
    <w:rsid w:val="00176912"/>
    <w:rsid w:val="00177659"/>
    <w:rsid w:val="001825C6"/>
    <w:rsid w:val="00182F5D"/>
    <w:rsid w:val="001842E3"/>
    <w:rsid w:val="0018484D"/>
    <w:rsid w:val="00184ADB"/>
    <w:rsid w:val="00184E04"/>
    <w:rsid w:val="001850B2"/>
    <w:rsid w:val="001863F7"/>
    <w:rsid w:val="00186627"/>
    <w:rsid w:val="00186A7C"/>
    <w:rsid w:val="00186DB2"/>
    <w:rsid w:val="00187A22"/>
    <w:rsid w:val="00190766"/>
    <w:rsid w:val="00192996"/>
    <w:rsid w:val="00192B4C"/>
    <w:rsid w:val="00193A4D"/>
    <w:rsid w:val="00193F39"/>
    <w:rsid w:val="00195B55"/>
    <w:rsid w:val="001970C5"/>
    <w:rsid w:val="001975B8"/>
    <w:rsid w:val="00197621"/>
    <w:rsid w:val="001976F5"/>
    <w:rsid w:val="00197F68"/>
    <w:rsid w:val="001A05BF"/>
    <w:rsid w:val="001A0626"/>
    <w:rsid w:val="001A0A4A"/>
    <w:rsid w:val="001A108B"/>
    <w:rsid w:val="001A1665"/>
    <w:rsid w:val="001A1986"/>
    <w:rsid w:val="001A230A"/>
    <w:rsid w:val="001A26C3"/>
    <w:rsid w:val="001A4097"/>
    <w:rsid w:val="001A6319"/>
    <w:rsid w:val="001A6754"/>
    <w:rsid w:val="001A6FB5"/>
    <w:rsid w:val="001A7314"/>
    <w:rsid w:val="001B01A2"/>
    <w:rsid w:val="001B0A1D"/>
    <w:rsid w:val="001B1091"/>
    <w:rsid w:val="001B1D73"/>
    <w:rsid w:val="001B4230"/>
    <w:rsid w:val="001B4D13"/>
    <w:rsid w:val="001B55DE"/>
    <w:rsid w:val="001B57EC"/>
    <w:rsid w:val="001B5A41"/>
    <w:rsid w:val="001B7E35"/>
    <w:rsid w:val="001C02CB"/>
    <w:rsid w:val="001C1800"/>
    <w:rsid w:val="001C28EC"/>
    <w:rsid w:val="001C28F7"/>
    <w:rsid w:val="001C2C68"/>
    <w:rsid w:val="001C51C9"/>
    <w:rsid w:val="001C5237"/>
    <w:rsid w:val="001C54C4"/>
    <w:rsid w:val="001C5AB7"/>
    <w:rsid w:val="001C63A4"/>
    <w:rsid w:val="001C63DB"/>
    <w:rsid w:val="001C75B7"/>
    <w:rsid w:val="001C77EA"/>
    <w:rsid w:val="001C7ED8"/>
    <w:rsid w:val="001C7F49"/>
    <w:rsid w:val="001C7FE3"/>
    <w:rsid w:val="001D05A0"/>
    <w:rsid w:val="001D218B"/>
    <w:rsid w:val="001D221A"/>
    <w:rsid w:val="001D2E27"/>
    <w:rsid w:val="001D3177"/>
    <w:rsid w:val="001D3679"/>
    <w:rsid w:val="001D41A8"/>
    <w:rsid w:val="001D4A8F"/>
    <w:rsid w:val="001D590A"/>
    <w:rsid w:val="001D7FD1"/>
    <w:rsid w:val="001E0205"/>
    <w:rsid w:val="001E0744"/>
    <w:rsid w:val="001E0CAC"/>
    <w:rsid w:val="001E0F58"/>
    <w:rsid w:val="001E1339"/>
    <w:rsid w:val="001E17A9"/>
    <w:rsid w:val="001E39F4"/>
    <w:rsid w:val="001E5182"/>
    <w:rsid w:val="001E53F2"/>
    <w:rsid w:val="001E5AE8"/>
    <w:rsid w:val="001F049D"/>
    <w:rsid w:val="001F185F"/>
    <w:rsid w:val="001F1BDC"/>
    <w:rsid w:val="001F1F1D"/>
    <w:rsid w:val="001F27D1"/>
    <w:rsid w:val="001F4135"/>
    <w:rsid w:val="001F49E8"/>
    <w:rsid w:val="001F4FE4"/>
    <w:rsid w:val="001F58D2"/>
    <w:rsid w:val="001F6EF5"/>
    <w:rsid w:val="001F7D5D"/>
    <w:rsid w:val="00200215"/>
    <w:rsid w:val="002010C7"/>
    <w:rsid w:val="00201458"/>
    <w:rsid w:val="00201BB6"/>
    <w:rsid w:val="0020205E"/>
    <w:rsid w:val="0020263C"/>
    <w:rsid w:val="0020299E"/>
    <w:rsid w:val="0020301D"/>
    <w:rsid w:val="00204F46"/>
    <w:rsid w:val="00210FA0"/>
    <w:rsid w:val="0021180F"/>
    <w:rsid w:val="00211832"/>
    <w:rsid w:val="00211A86"/>
    <w:rsid w:val="0021236C"/>
    <w:rsid w:val="00212D3C"/>
    <w:rsid w:val="0021407D"/>
    <w:rsid w:val="00214173"/>
    <w:rsid w:val="00214181"/>
    <w:rsid w:val="00214CAC"/>
    <w:rsid w:val="0021520B"/>
    <w:rsid w:val="00215EB7"/>
    <w:rsid w:val="00217F74"/>
    <w:rsid w:val="00225DEB"/>
    <w:rsid w:val="00226723"/>
    <w:rsid w:val="0022676E"/>
    <w:rsid w:val="002271B6"/>
    <w:rsid w:val="0022732C"/>
    <w:rsid w:val="00227335"/>
    <w:rsid w:val="0022771B"/>
    <w:rsid w:val="00227A90"/>
    <w:rsid w:val="00230E01"/>
    <w:rsid w:val="0023198A"/>
    <w:rsid w:val="00232401"/>
    <w:rsid w:val="00232520"/>
    <w:rsid w:val="0023481A"/>
    <w:rsid w:val="002352E3"/>
    <w:rsid w:val="002357AE"/>
    <w:rsid w:val="00236912"/>
    <w:rsid w:val="0023718E"/>
    <w:rsid w:val="00237227"/>
    <w:rsid w:val="002373F3"/>
    <w:rsid w:val="002373FD"/>
    <w:rsid w:val="00237C4F"/>
    <w:rsid w:val="00240068"/>
    <w:rsid w:val="002406BE"/>
    <w:rsid w:val="00241F54"/>
    <w:rsid w:val="00243134"/>
    <w:rsid w:val="00243208"/>
    <w:rsid w:val="00244AC7"/>
    <w:rsid w:val="00245317"/>
    <w:rsid w:val="002453B1"/>
    <w:rsid w:val="0024606B"/>
    <w:rsid w:val="002464C4"/>
    <w:rsid w:val="0024705F"/>
    <w:rsid w:val="0025013B"/>
    <w:rsid w:val="00250D8F"/>
    <w:rsid w:val="002510D9"/>
    <w:rsid w:val="00251F15"/>
    <w:rsid w:val="00252732"/>
    <w:rsid w:val="00252A07"/>
    <w:rsid w:val="00252D70"/>
    <w:rsid w:val="00252DE2"/>
    <w:rsid w:val="00253C3A"/>
    <w:rsid w:val="00253CA0"/>
    <w:rsid w:val="002548CA"/>
    <w:rsid w:val="002553CF"/>
    <w:rsid w:val="00262A78"/>
    <w:rsid w:val="002631F3"/>
    <w:rsid w:val="0026397C"/>
    <w:rsid w:val="00265B79"/>
    <w:rsid w:val="00266145"/>
    <w:rsid w:val="00266712"/>
    <w:rsid w:val="002709E8"/>
    <w:rsid w:val="00270AB8"/>
    <w:rsid w:val="00271281"/>
    <w:rsid w:val="00271405"/>
    <w:rsid w:val="0027159E"/>
    <w:rsid w:val="00271CC2"/>
    <w:rsid w:val="00274134"/>
    <w:rsid w:val="00274427"/>
    <w:rsid w:val="002749C5"/>
    <w:rsid w:val="0027518F"/>
    <w:rsid w:val="002752FE"/>
    <w:rsid w:val="00275B70"/>
    <w:rsid w:val="00276506"/>
    <w:rsid w:val="00276874"/>
    <w:rsid w:val="00276928"/>
    <w:rsid w:val="00277C92"/>
    <w:rsid w:val="002802E9"/>
    <w:rsid w:val="00281801"/>
    <w:rsid w:val="00281B02"/>
    <w:rsid w:val="00281E84"/>
    <w:rsid w:val="002823E2"/>
    <w:rsid w:val="00282E9D"/>
    <w:rsid w:val="00284B44"/>
    <w:rsid w:val="002868B4"/>
    <w:rsid w:val="0028749E"/>
    <w:rsid w:val="00287C46"/>
    <w:rsid w:val="00287DC4"/>
    <w:rsid w:val="00291E42"/>
    <w:rsid w:val="002927AD"/>
    <w:rsid w:val="002935FE"/>
    <w:rsid w:val="00293D1D"/>
    <w:rsid w:val="00295126"/>
    <w:rsid w:val="00295204"/>
    <w:rsid w:val="002971FB"/>
    <w:rsid w:val="002974B3"/>
    <w:rsid w:val="0029763E"/>
    <w:rsid w:val="002977B2"/>
    <w:rsid w:val="00297E26"/>
    <w:rsid w:val="002A194C"/>
    <w:rsid w:val="002A2460"/>
    <w:rsid w:val="002A2997"/>
    <w:rsid w:val="002A3722"/>
    <w:rsid w:val="002A3755"/>
    <w:rsid w:val="002A38F4"/>
    <w:rsid w:val="002A3B76"/>
    <w:rsid w:val="002A4ECD"/>
    <w:rsid w:val="002A5B2A"/>
    <w:rsid w:val="002A6636"/>
    <w:rsid w:val="002A7969"/>
    <w:rsid w:val="002B0262"/>
    <w:rsid w:val="002B06D9"/>
    <w:rsid w:val="002B06FE"/>
    <w:rsid w:val="002B0A5A"/>
    <w:rsid w:val="002B1425"/>
    <w:rsid w:val="002B2D69"/>
    <w:rsid w:val="002B2EDC"/>
    <w:rsid w:val="002B300D"/>
    <w:rsid w:val="002B408C"/>
    <w:rsid w:val="002B657D"/>
    <w:rsid w:val="002B6764"/>
    <w:rsid w:val="002B7589"/>
    <w:rsid w:val="002C0766"/>
    <w:rsid w:val="002C0918"/>
    <w:rsid w:val="002C1B70"/>
    <w:rsid w:val="002C28E3"/>
    <w:rsid w:val="002C2BFC"/>
    <w:rsid w:val="002C37E3"/>
    <w:rsid w:val="002C388D"/>
    <w:rsid w:val="002C480A"/>
    <w:rsid w:val="002C4FE0"/>
    <w:rsid w:val="002C756A"/>
    <w:rsid w:val="002D03F0"/>
    <w:rsid w:val="002D1FC7"/>
    <w:rsid w:val="002D200E"/>
    <w:rsid w:val="002D2915"/>
    <w:rsid w:val="002D2E74"/>
    <w:rsid w:val="002D2F5C"/>
    <w:rsid w:val="002D377D"/>
    <w:rsid w:val="002D4851"/>
    <w:rsid w:val="002D55E5"/>
    <w:rsid w:val="002D5C57"/>
    <w:rsid w:val="002D6BC3"/>
    <w:rsid w:val="002D784F"/>
    <w:rsid w:val="002D7C26"/>
    <w:rsid w:val="002E01E4"/>
    <w:rsid w:val="002E147D"/>
    <w:rsid w:val="002E1882"/>
    <w:rsid w:val="002E1BE8"/>
    <w:rsid w:val="002E2036"/>
    <w:rsid w:val="002E46BC"/>
    <w:rsid w:val="002E485F"/>
    <w:rsid w:val="002E5CB7"/>
    <w:rsid w:val="002E5D71"/>
    <w:rsid w:val="002E6D81"/>
    <w:rsid w:val="002E6DB3"/>
    <w:rsid w:val="002E7004"/>
    <w:rsid w:val="002F0568"/>
    <w:rsid w:val="002F080F"/>
    <w:rsid w:val="002F2AB7"/>
    <w:rsid w:val="002F3AC1"/>
    <w:rsid w:val="002F53A7"/>
    <w:rsid w:val="002F61FE"/>
    <w:rsid w:val="002F6564"/>
    <w:rsid w:val="002F7DD4"/>
    <w:rsid w:val="003001C2"/>
    <w:rsid w:val="0030064B"/>
    <w:rsid w:val="0030117E"/>
    <w:rsid w:val="00302A50"/>
    <w:rsid w:val="00303888"/>
    <w:rsid w:val="00304472"/>
    <w:rsid w:val="00307977"/>
    <w:rsid w:val="00307C32"/>
    <w:rsid w:val="00307F32"/>
    <w:rsid w:val="003100CC"/>
    <w:rsid w:val="00310A1E"/>
    <w:rsid w:val="00310B41"/>
    <w:rsid w:val="00311A8C"/>
    <w:rsid w:val="00312582"/>
    <w:rsid w:val="003133E8"/>
    <w:rsid w:val="00314459"/>
    <w:rsid w:val="00316EC0"/>
    <w:rsid w:val="0032020A"/>
    <w:rsid w:val="00321143"/>
    <w:rsid w:val="00321709"/>
    <w:rsid w:val="00321DDF"/>
    <w:rsid w:val="003223A0"/>
    <w:rsid w:val="00322D0D"/>
    <w:rsid w:val="00322F4B"/>
    <w:rsid w:val="0032334D"/>
    <w:rsid w:val="0032342A"/>
    <w:rsid w:val="00323829"/>
    <w:rsid w:val="00323B56"/>
    <w:rsid w:val="00324178"/>
    <w:rsid w:val="003246B7"/>
    <w:rsid w:val="003253BA"/>
    <w:rsid w:val="003254A2"/>
    <w:rsid w:val="003261A3"/>
    <w:rsid w:val="003262BB"/>
    <w:rsid w:val="00326427"/>
    <w:rsid w:val="00326C92"/>
    <w:rsid w:val="00327FF9"/>
    <w:rsid w:val="0033271C"/>
    <w:rsid w:val="00332C22"/>
    <w:rsid w:val="00333036"/>
    <w:rsid w:val="003331ED"/>
    <w:rsid w:val="003355CC"/>
    <w:rsid w:val="00337B20"/>
    <w:rsid w:val="00337C76"/>
    <w:rsid w:val="00337F46"/>
    <w:rsid w:val="003402CA"/>
    <w:rsid w:val="00341840"/>
    <w:rsid w:val="00342232"/>
    <w:rsid w:val="0034242A"/>
    <w:rsid w:val="003428D0"/>
    <w:rsid w:val="003438AA"/>
    <w:rsid w:val="0034413E"/>
    <w:rsid w:val="003447F0"/>
    <w:rsid w:val="00345D8A"/>
    <w:rsid w:val="00346427"/>
    <w:rsid w:val="0034673E"/>
    <w:rsid w:val="0034769F"/>
    <w:rsid w:val="00347BA9"/>
    <w:rsid w:val="0035111B"/>
    <w:rsid w:val="00353E5A"/>
    <w:rsid w:val="00353F37"/>
    <w:rsid w:val="00354F84"/>
    <w:rsid w:val="0035635D"/>
    <w:rsid w:val="003572ED"/>
    <w:rsid w:val="0036096D"/>
    <w:rsid w:val="00360A35"/>
    <w:rsid w:val="003613AC"/>
    <w:rsid w:val="00361D57"/>
    <w:rsid w:val="00362167"/>
    <w:rsid w:val="00362F86"/>
    <w:rsid w:val="00363988"/>
    <w:rsid w:val="00363C0E"/>
    <w:rsid w:val="003642D8"/>
    <w:rsid w:val="003649C9"/>
    <w:rsid w:val="00365677"/>
    <w:rsid w:val="00366231"/>
    <w:rsid w:val="00366761"/>
    <w:rsid w:val="00367F38"/>
    <w:rsid w:val="00370D11"/>
    <w:rsid w:val="003711E4"/>
    <w:rsid w:val="00372C38"/>
    <w:rsid w:val="00372CC2"/>
    <w:rsid w:val="00374364"/>
    <w:rsid w:val="00374637"/>
    <w:rsid w:val="00375421"/>
    <w:rsid w:val="00375C67"/>
    <w:rsid w:val="0037613C"/>
    <w:rsid w:val="003768CC"/>
    <w:rsid w:val="00376D0B"/>
    <w:rsid w:val="0038071D"/>
    <w:rsid w:val="003819B0"/>
    <w:rsid w:val="00381E8B"/>
    <w:rsid w:val="0038254B"/>
    <w:rsid w:val="0038478C"/>
    <w:rsid w:val="00384FC8"/>
    <w:rsid w:val="00385326"/>
    <w:rsid w:val="00386012"/>
    <w:rsid w:val="003864FC"/>
    <w:rsid w:val="0038789B"/>
    <w:rsid w:val="0039020F"/>
    <w:rsid w:val="00394700"/>
    <w:rsid w:val="00394F25"/>
    <w:rsid w:val="003953EB"/>
    <w:rsid w:val="003957EF"/>
    <w:rsid w:val="00395EC2"/>
    <w:rsid w:val="00395F47"/>
    <w:rsid w:val="00395F98"/>
    <w:rsid w:val="00396266"/>
    <w:rsid w:val="003971FD"/>
    <w:rsid w:val="00397B66"/>
    <w:rsid w:val="003A0064"/>
    <w:rsid w:val="003A20C8"/>
    <w:rsid w:val="003A2CC0"/>
    <w:rsid w:val="003A369A"/>
    <w:rsid w:val="003A3D28"/>
    <w:rsid w:val="003A473F"/>
    <w:rsid w:val="003A59C3"/>
    <w:rsid w:val="003A63BB"/>
    <w:rsid w:val="003A6410"/>
    <w:rsid w:val="003A6B11"/>
    <w:rsid w:val="003B026D"/>
    <w:rsid w:val="003B06AD"/>
    <w:rsid w:val="003B14D0"/>
    <w:rsid w:val="003B2580"/>
    <w:rsid w:val="003B3305"/>
    <w:rsid w:val="003B3F44"/>
    <w:rsid w:val="003B4206"/>
    <w:rsid w:val="003B4693"/>
    <w:rsid w:val="003B5E24"/>
    <w:rsid w:val="003C1479"/>
    <w:rsid w:val="003C18FB"/>
    <w:rsid w:val="003C1BA8"/>
    <w:rsid w:val="003C2053"/>
    <w:rsid w:val="003C33DE"/>
    <w:rsid w:val="003C6823"/>
    <w:rsid w:val="003C7234"/>
    <w:rsid w:val="003C7427"/>
    <w:rsid w:val="003D0031"/>
    <w:rsid w:val="003D1088"/>
    <w:rsid w:val="003D16BF"/>
    <w:rsid w:val="003D1A3B"/>
    <w:rsid w:val="003D24BC"/>
    <w:rsid w:val="003D25BF"/>
    <w:rsid w:val="003D3E66"/>
    <w:rsid w:val="003D45DE"/>
    <w:rsid w:val="003D4E12"/>
    <w:rsid w:val="003D4E5A"/>
    <w:rsid w:val="003D5568"/>
    <w:rsid w:val="003D5CA2"/>
    <w:rsid w:val="003D5D8E"/>
    <w:rsid w:val="003D5E4B"/>
    <w:rsid w:val="003D652F"/>
    <w:rsid w:val="003D6EB5"/>
    <w:rsid w:val="003D7B87"/>
    <w:rsid w:val="003E1ADA"/>
    <w:rsid w:val="003E3022"/>
    <w:rsid w:val="003E34D9"/>
    <w:rsid w:val="003E3C35"/>
    <w:rsid w:val="003E536F"/>
    <w:rsid w:val="003E55A5"/>
    <w:rsid w:val="003E5E40"/>
    <w:rsid w:val="003F04DA"/>
    <w:rsid w:val="003F0D03"/>
    <w:rsid w:val="003F12F3"/>
    <w:rsid w:val="003F2358"/>
    <w:rsid w:val="003F29A6"/>
    <w:rsid w:val="003F2A1C"/>
    <w:rsid w:val="003F449B"/>
    <w:rsid w:val="003F5FF8"/>
    <w:rsid w:val="003F649E"/>
    <w:rsid w:val="003F6863"/>
    <w:rsid w:val="003F6899"/>
    <w:rsid w:val="003F6B4C"/>
    <w:rsid w:val="003F7AE7"/>
    <w:rsid w:val="00400F39"/>
    <w:rsid w:val="00401243"/>
    <w:rsid w:val="00401454"/>
    <w:rsid w:val="00401746"/>
    <w:rsid w:val="00401C3F"/>
    <w:rsid w:val="00402010"/>
    <w:rsid w:val="00403A5A"/>
    <w:rsid w:val="00403B57"/>
    <w:rsid w:val="00403BCD"/>
    <w:rsid w:val="00405893"/>
    <w:rsid w:val="00405A69"/>
    <w:rsid w:val="004065EE"/>
    <w:rsid w:val="004069C8"/>
    <w:rsid w:val="00407D42"/>
    <w:rsid w:val="00407F90"/>
    <w:rsid w:val="0041329F"/>
    <w:rsid w:val="004132CB"/>
    <w:rsid w:val="00414206"/>
    <w:rsid w:val="004159A0"/>
    <w:rsid w:val="00415AC6"/>
    <w:rsid w:val="00415EA7"/>
    <w:rsid w:val="00416267"/>
    <w:rsid w:val="004176CA"/>
    <w:rsid w:val="004179D7"/>
    <w:rsid w:val="0042061C"/>
    <w:rsid w:val="004206E6"/>
    <w:rsid w:val="004207A6"/>
    <w:rsid w:val="00422E3C"/>
    <w:rsid w:val="00423A2D"/>
    <w:rsid w:val="004243DD"/>
    <w:rsid w:val="00424974"/>
    <w:rsid w:val="004250EE"/>
    <w:rsid w:val="00427528"/>
    <w:rsid w:val="00427621"/>
    <w:rsid w:val="00427781"/>
    <w:rsid w:val="0042789F"/>
    <w:rsid w:val="0042794B"/>
    <w:rsid w:val="00427A9C"/>
    <w:rsid w:val="00427F45"/>
    <w:rsid w:val="00431514"/>
    <w:rsid w:val="004324C0"/>
    <w:rsid w:val="00432593"/>
    <w:rsid w:val="004327FA"/>
    <w:rsid w:val="00432F97"/>
    <w:rsid w:val="004339D3"/>
    <w:rsid w:val="004340F8"/>
    <w:rsid w:val="004347A7"/>
    <w:rsid w:val="00434ED2"/>
    <w:rsid w:val="004350B3"/>
    <w:rsid w:val="00435F48"/>
    <w:rsid w:val="004363E7"/>
    <w:rsid w:val="004368C9"/>
    <w:rsid w:val="00436D1D"/>
    <w:rsid w:val="00436F1C"/>
    <w:rsid w:val="0043768F"/>
    <w:rsid w:val="00441DEE"/>
    <w:rsid w:val="00442A2C"/>
    <w:rsid w:val="00442B00"/>
    <w:rsid w:val="0044311F"/>
    <w:rsid w:val="00443BD2"/>
    <w:rsid w:val="00443CA9"/>
    <w:rsid w:val="004458CD"/>
    <w:rsid w:val="00446D5F"/>
    <w:rsid w:val="004473A7"/>
    <w:rsid w:val="00447872"/>
    <w:rsid w:val="00450A7A"/>
    <w:rsid w:val="00451CA0"/>
    <w:rsid w:val="00452655"/>
    <w:rsid w:val="004526A0"/>
    <w:rsid w:val="00452AB8"/>
    <w:rsid w:val="00452DEC"/>
    <w:rsid w:val="00455521"/>
    <w:rsid w:val="0045612A"/>
    <w:rsid w:val="0045674D"/>
    <w:rsid w:val="004568AA"/>
    <w:rsid w:val="004573A5"/>
    <w:rsid w:val="00457998"/>
    <w:rsid w:val="00460169"/>
    <w:rsid w:val="0046110C"/>
    <w:rsid w:val="00461D1A"/>
    <w:rsid w:val="004623B8"/>
    <w:rsid w:val="00462438"/>
    <w:rsid w:val="00462F5A"/>
    <w:rsid w:val="00464063"/>
    <w:rsid w:val="00464658"/>
    <w:rsid w:val="00464F2B"/>
    <w:rsid w:val="004659D8"/>
    <w:rsid w:val="00465CDB"/>
    <w:rsid w:val="00465E04"/>
    <w:rsid w:val="00466776"/>
    <w:rsid w:val="0046687C"/>
    <w:rsid w:val="0046743F"/>
    <w:rsid w:val="0046794E"/>
    <w:rsid w:val="004679EC"/>
    <w:rsid w:val="00467A6B"/>
    <w:rsid w:val="00470576"/>
    <w:rsid w:val="00470C8E"/>
    <w:rsid w:val="004711E6"/>
    <w:rsid w:val="004718E8"/>
    <w:rsid w:val="00471C07"/>
    <w:rsid w:val="00471D48"/>
    <w:rsid w:val="00472762"/>
    <w:rsid w:val="00472CA5"/>
    <w:rsid w:val="00472D3D"/>
    <w:rsid w:val="00474221"/>
    <w:rsid w:val="004745A0"/>
    <w:rsid w:val="004747A2"/>
    <w:rsid w:val="00474FD5"/>
    <w:rsid w:val="004753EC"/>
    <w:rsid w:val="00476ECA"/>
    <w:rsid w:val="00477DD2"/>
    <w:rsid w:val="00477FA5"/>
    <w:rsid w:val="00480D76"/>
    <w:rsid w:val="00480E69"/>
    <w:rsid w:val="0048188F"/>
    <w:rsid w:val="004819E1"/>
    <w:rsid w:val="00481CE5"/>
    <w:rsid w:val="004822DC"/>
    <w:rsid w:val="00483A3B"/>
    <w:rsid w:val="00483CD3"/>
    <w:rsid w:val="00485300"/>
    <w:rsid w:val="00485882"/>
    <w:rsid w:val="004872CC"/>
    <w:rsid w:val="00487474"/>
    <w:rsid w:val="00487EFD"/>
    <w:rsid w:val="00490949"/>
    <w:rsid w:val="004914A4"/>
    <w:rsid w:val="004924FE"/>
    <w:rsid w:val="00493770"/>
    <w:rsid w:val="00493C10"/>
    <w:rsid w:val="004965D4"/>
    <w:rsid w:val="00497555"/>
    <w:rsid w:val="004A1404"/>
    <w:rsid w:val="004A21F3"/>
    <w:rsid w:val="004A2A11"/>
    <w:rsid w:val="004A34C1"/>
    <w:rsid w:val="004A376D"/>
    <w:rsid w:val="004A5D77"/>
    <w:rsid w:val="004A617D"/>
    <w:rsid w:val="004A706D"/>
    <w:rsid w:val="004B17D2"/>
    <w:rsid w:val="004B195A"/>
    <w:rsid w:val="004B1EBD"/>
    <w:rsid w:val="004B29E7"/>
    <w:rsid w:val="004B31A4"/>
    <w:rsid w:val="004B38BA"/>
    <w:rsid w:val="004B3E3F"/>
    <w:rsid w:val="004B4861"/>
    <w:rsid w:val="004B4E8F"/>
    <w:rsid w:val="004B52B3"/>
    <w:rsid w:val="004B6C90"/>
    <w:rsid w:val="004C00D6"/>
    <w:rsid w:val="004C0320"/>
    <w:rsid w:val="004C0F43"/>
    <w:rsid w:val="004C1089"/>
    <w:rsid w:val="004C1C87"/>
    <w:rsid w:val="004C2B93"/>
    <w:rsid w:val="004C3430"/>
    <w:rsid w:val="004C380C"/>
    <w:rsid w:val="004C395A"/>
    <w:rsid w:val="004C4411"/>
    <w:rsid w:val="004C44A4"/>
    <w:rsid w:val="004C5154"/>
    <w:rsid w:val="004C6865"/>
    <w:rsid w:val="004C6E69"/>
    <w:rsid w:val="004C71DC"/>
    <w:rsid w:val="004C7437"/>
    <w:rsid w:val="004D0330"/>
    <w:rsid w:val="004D048B"/>
    <w:rsid w:val="004D05E9"/>
    <w:rsid w:val="004D06AC"/>
    <w:rsid w:val="004D06E8"/>
    <w:rsid w:val="004D07E7"/>
    <w:rsid w:val="004D0F2F"/>
    <w:rsid w:val="004D103E"/>
    <w:rsid w:val="004D1672"/>
    <w:rsid w:val="004D1838"/>
    <w:rsid w:val="004D196C"/>
    <w:rsid w:val="004D1CAD"/>
    <w:rsid w:val="004D2942"/>
    <w:rsid w:val="004D3142"/>
    <w:rsid w:val="004D34ED"/>
    <w:rsid w:val="004D363E"/>
    <w:rsid w:val="004D44ED"/>
    <w:rsid w:val="004D454A"/>
    <w:rsid w:val="004D47B3"/>
    <w:rsid w:val="004D5BDE"/>
    <w:rsid w:val="004D6B7E"/>
    <w:rsid w:val="004E11A8"/>
    <w:rsid w:val="004E2902"/>
    <w:rsid w:val="004E2B9D"/>
    <w:rsid w:val="004E4AA9"/>
    <w:rsid w:val="004E5148"/>
    <w:rsid w:val="004E5B5B"/>
    <w:rsid w:val="004E5EC4"/>
    <w:rsid w:val="004E60F4"/>
    <w:rsid w:val="004E6259"/>
    <w:rsid w:val="004E62D0"/>
    <w:rsid w:val="004E775D"/>
    <w:rsid w:val="004E7987"/>
    <w:rsid w:val="004E7C2F"/>
    <w:rsid w:val="004F0F6E"/>
    <w:rsid w:val="004F136F"/>
    <w:rsid w:val="004F16B2"/>
    <w:rsid w:val="004F1A89"/>
    <w:rsid w:val="004F1CFF"/>
    <w:rsid w:val="004F244B"/>
    <w:rsid w:val="004F31AE"/>
    <w:rsid w:val="004F46D9"/>
    <w:rsid w:val="004F4756"/>
    <w:rsid w:val="004F5A08"/>
    <w:rsid w:val="004F5B44"/>
    <w:rsid w:val="004F6709"/>
    <w:rsid w:val="004F7773"/>
    <w:rsid w:val="00500192"/>
    <w:rsid w:val="00500324"/>
    <w:rsid w:val="005026CE"/>
    <w:rsid w:val="00502902"/>
    <w:rsid w:val="00502AB2"/>
    <w:rsid w:val="00504607"/>
    <w:rsid w:val="00505958"/>
    <w:rsid w:val="00507289"/>
    <w:rsid w:val="005072FE"/>
    <w:rsid w:val="00507477"/>
    <w:rsid w:val="00507F57"/>
    <w:rsid w:val="00507FA3"/>
    <w:rsid w:val="00510077"/>
    <w:rsid w:val="00510419"/>
    <w:rsid w:val="00510A47"/>
    <w:rsid w:val="00510A53"/>
    <w:rsid w:val="00511A02"/>
    <w:rsid w:val="00511C64"/>
    <w:rsid w:val="00512C6F"/>
    <w:rsid w:val="00513293"/>
    <w:rsid w:val="005132B2"/>
    <w:rsid w:val="005133DB"/>
    <w:rsid w:val="0051390E"/>
    <w:rsid w:val="00513C40"/>
    <w:rsid w:val="00513CB2"/>
    <w:rsid w:val="00514630"/>
    <w:rsid w:val="0051477B"/>
    <w:rsid w:val="005155EC"/>
    <w:rsid w:val="00517CDB"/>
    <w:rsid w:val="005205F3"/>
    <w:rsid w:val="00520CE9"/>
    <w:rsid w:val="005215D1"/>
    <w:rsid w:val="00521FBD"/>
    <w:rsid w:val="005220E0"/>
    <w:rsid w:val="0052285B"/>
    <w:rsid w:val="00523376"/>
    <w:rsid w:val="005246AE"/>
    <w:rsid w:val="005247DE"/>
    <w:rsid w:val="0052485C"/>
    <w:rsid w:val="00525EBD"/>
    <w:rsid w:val="005263F5"/>
    <w:rsid w:val="0052657E"/>
    <w:rsid w:val="005269F0"/>
    <w:rsid w:val="00530215"/>
    <w:rsid w:val="005302F5"/>
    <w:rsid w:val="00530D2F"/>
    <w:rsid w:val="00531005"/>
    <w:rsid w:val="00531E3C"/>
    <w:rsid w:val="005329F1"/>
    <w:rsid w:val="00532BD4"/>
    <w:rsid w:val="00532C1D"/>
    <w:rsid w:val="00532FE7"/>
    <w:rsid w:val="00533293"/>
    <w:rsid w:val="0053477F"/>
    <w:rsid w:val="00534934"/>
    <w:rsid w:val="005351ED"/>
    <w:rsid w:val="005356AA"/>
    <w:rsid w:val="00535732"/>
    <w:rsid w:val="005368F4"/>
    <w:rsid w:val="00536FDB"/>
    <w:rsid w:val="00537331"/>
    <w:rsid w:val="00537498"/>
    <w:rsid w:val="00537806"/>
    <w:rsid w:val="00537FA3"/>
    <w:rsid w:val="005427B8"/>
    <w:rsid w:val="00542D0B"/>
    <w:rsid w:val="00543770"/>
    <w:rsid w:val="0054582C"/>
    <w:rsid w:val="00545FD6"/>
    <w:rsid w:val="005461EF"/>
    <w:rsid w:val="005462D5"/>
    <w:rsid w:val="00546745"/>
    <w:rsid w:val="0054684A"/>
    <w:rsid w:val="00546F48"/>
    <w:rsid w:val="005473B5"/>
    <w:rsid w:val="00547413"/>
    <w:rsid w:val="00547EF2"/>
    <w:rsid w:val="005513F9"/>
    <w:rsid w:val="0055336B"/>
    <w:rsid w:val="00554650"/>
    <w:rsid w:val="005550E0"/>
    <w:rsid w:val="00555C9A"/>
    <w:rsid w:val="00556590"/>
    <w:rsid w:val="005565AE"/>
    <w:rsid w:val="00560451"/>
    <w:rsid w:val="005604DB"/>
    <w:rsid w:val="00560B81"/>
    <w:rsid w:val="005614AB"/>
    <w:rsid w:val="0056584D"/>
    <w:rsid w:val="00565C4B"/>
    <w:rsid w:val="00566942"/>
    <w:rsid w:val="0056739C"/>
    <w:rsid w:val="00570C42"/>
    <w:rsid w:val="00570C5F"/>
    <w:rsid w:val="005716EE"/>
    <w:rsid w:val="005724AC"/>
    <w:rsid w:val="00572D08"/>
    <w:rsid w:val="00573B90"/>
    <w:rsid w:val="00574470"/>
    <w:rsid w:val="005753FA"/>
    <w:rsid w:val="005754E3"/>
    <w:rsid w:val="00575B7B"/>
    <w:rsid w:val="00575DC9"/>
    <w:rsid w:val="005764DC"/>
    <w:rsid w:val="005767E5"/>
    <w:rsid w:val="00577856"/>
    <w:rsid w:val="005805F1"/>
    <w:rsid w:val="00581C20"/>
    <w:rsid w:val="00581D19"/>
    <w:rsid w:val="005823CF"/>
    <w:rsid w:val="005828CF"/>
    <w:rsid w:val="00582E30"/>
    <w:rsid w:val="0058383A"/>
    <w:rsid w:val="00583866"/>
    <w:rsid w:val="00583ABC"/>
    <w:rsid w:val="00583BA7"/>
    <w:rsid w:val="00584239"/>
    <w:rsid w:val="00584ABC"/>
    <w:rsid w:val="0058568A"/>
    <w:rsid w:val="00585763"/>
    <w:rsid w:val="005863E4"/>
    <w:rsid w:val="00586969"/>
    <w:rsid w:val="00587B6C"/>
    <w:rsid w:val="005904F8"/>
    <w:rsid w:val="00590E68"/>
    <w:rsid w:val="00591EB1"/>
    <w:rsid w:val="005927E3"/>
    <w:rsid w:val="00592A4E"/>
    <w:rsid w:val="00593964"/>
    <w:rsid w:val="00593C05"/>
    <w:rsid w:val="00594850"/>
    <w:rsid w:val="00594DAD"/>
    <w:rsid w:val="00594F57"/>
    <w:rsid w:val="005960FA"/>
    <w:rsid w:val="00596974"/>
    <w:rsid w:val="005A0112"/>
    <w:rsid w:val="005A0568"/>
    <w:rsid w:val="005A1816"/>
    <w:rsid w:val="005A192C"/>
    <w:rsid w:val="005A3681"/>
    <w:rsid w:val="005A3964"/>
    <w:rsid w:val="005A54A7"/>
    <w:rsid w:val="005A5DEB"/>
    <w:rsid w:val="005A6CE1"/>
    <w:rsid w:val="005A6D0A"/>
    <w:rsid w:val="005B06F9"/>
    <w:rsid w:val="005B0D7D"/>
    <w:rsid w:val="005B11B9"/>
    <w:rsid w:val="005B24A1"/>
    <w:rsid w:val="005B27D7"/>
    <w:rsid w:val="005B2D6A"/>
    <w:rsid w:val="005B2EDC"/>
    <w:rsid w:val="005B3618"/>
    <w:rsid w:val="005B3B5F"/>
    <w:rsid w:val="005B3FDB"/>
    <w:rsid w:val="005B5AD6"/>
    <w:rsid w:val="005B6DA6"/>
    <w:rsid w:val="005B7614"/>
    <w:rsid w:val="005B7DBC"/>
    <w:rsid w:val="005C02F3"/>
    <w:rsid w:val="005C0511"/>
    <w:rsid w:val="005C0E61"/>
    <w:rsid w:val="005C10F4"/>
    <w:rsid w:val="005C23E7"/>
    <w:rsid w:val="005C27F5"/>
    <w:rsid w:val="005C2A80"/>
    <w:rsid w:val="005C2CC6"/>
    <w:rsid w:val="005C2E86"/>
    <w:rsid w:val="005C3162"/>
    <w:rsid w:val="005C3172"/>
    <w:rsid w:val="005C388A"/>
    <w:rsid w:val="005C4936"/>
    <w:rsid w:val="005C4D1D"/>
    <w:rsid w:val="005C4DDF"/>
    <w:rsid w:val="005C51B5"/>
    <w:rsid w:val="005C5BD6"/>
    <w:rsid w:val="005C7D10"/>
    <w:rsid w:val="005D06E4"/>
    <w:rsid w:val="005D0CB4"/>
    <w:rsid w:val="005D1CB2"/>
    <w:rsid w:val="005D3043"/>
    <w:rsid w:val="005D3C17"/>
    <w:rsid w:val="005D4ABB"/>
    <w:rsid w:val="005D4ABD"/>
    <w:rsid w:val="005D622C"/>
    <w:rsid w:val="005D6C4A"/>
    <w:rsid w:val="005D6CCA"/>
    <w:rsid w:val="005D7C64"/>
    <w:rsid w:val="005D7E04"/>
    <w:rsid w:val="005D7E2F"/>
    <w:rsid w:val="005E06CE"/>
    <w:rsid w:val="005E0FE8"/>
    <w:rsid w:val="005E2003"/>
    <w:rsid w:val="005E3D7A"/>
    <w:rsid w:val="005E405C"/>
    <w:rsid w:val="005E48C7"/>
    <w:rsid w:val="005E4B80"/>
    <w:rsid w:val="005E4FAC"/>
    <w:rsid w:val="005E5F61"/>
    <w:rsid w:val="005E6377"/>
    <w:rsid w:val="005E6EAC"/>
    <w:rsid w:val="005E72CE"/>
    <w:rsid w:val="005E7495"/>
    <w:rsid w:val="005F0015"/>
    <w:rsid w:val="005F0B1B"/>
    <w:rsid w:val="005F1B39"/>
    <w:rsid w:val="005F1FB5"/>
    <w:rsid w:val="005F260B"/>
    <w:rsid w:val="005F33A5"/>
    <w:rsid w:val="005F41C7"/>
    <w:rsid w:val="005F45FC"/>
    <w:rsid w:val="005F475D"/>
    <w:rsid w:val="005F5A6F"/>
    <w:rsid w:val="005F5C38"/>
    <w:rsid w:val="005F684D"/>
    <w:rsid w:val="005F7670"/>
    <w:rsid w:val="005F794E"/>
    <w:rsid w:val="00600C32"/>
    <w:rsid w:val="006052E2"/>
    <w:rsid w:val="00606CDC"/>
    <w:rsid w:val="00611305"/>
    <w:rsid w:val="00611674"/>
    <w:rsid w:val="00611C94"/>
    <w:rsid w:val="006120DE"/>
    <w:rsid w:val="0061235F"/>
    <w:rsid w:val="0061360C"/>
    <w:rsid w:val="00614834"/>
    <w:rsid w:val="00614C33"/>
    <w:rsid w:val="0061516C"/>
    <w:rsid w:val="00615FDB"/>
    <w:rsid w:val="006161DB"/>
    <w:rsid w:val="00616403"/>
    <w:rsid w:val="00616B02"/>
    <w:rsid w:val="00616D64"/>
    <w:rsid w:val="00616EE3"/>
    <w:rsid w:val="006207F4"/>
    <w:rsid w:val="00621969"/>
    <w:rsid w:val="00622EA1"/>
    <w:rsid w:val="006234F0"/>
    <w:rsid w:val="00624EC5"/>
    <w:rsid w:val="00625761"/>
    <w:rsid w:val="006303E1"/>
    <w:rsid w:val="00630E9A"/>
    <w:rsid w:val="00631185"/>
    <w:rsid w:val="00633498"/>
    <w:rsid w:val="006337D0"/>
    <w:rsid w:val="00633AB3"/>
    <w:rsid w:val="00635BC2"/>
    <w:rsid w:val="00635BD2"/>
    <w:rsid w:val="00635EE7"/>
    <w:rsid w:val="00636133"/>
    <w:rsid w:val="00636FB3"/>
    <w:rsid w:val="00637051"/>
    <w:rsid w:val="00637451"/>
    <w:rsid w:val="00637530"/>
    <w:rsid w:val="006379ED"/>
    <w:rsid w:val="00640078"/>
    <w:rsid w:val="0064061B"/>
    <w:rsid w:val="00641BE3"/>
    <w:rsid w:val="0064229B"/>
    <w:rsid w:val="006440AA"/>
    <w:rsid w:val="00644726"/>
    <w:rsid w:val="006449A7"/>
    <w:rsid w:val="00644F0E"/>
    <w:rsid w:val="00644FFA"/>
    <w:rsid w:val="00645EA4"/>
    <w:rsid w:val="00646210"/>
    <w:rsid w:val="00647EC5"/>
    <w:rsid w:val="00650850"/>
    <w:rsid w:val="00650B7D"/>
    <w:rsid w:val="00650E4F"/>
    <w:rsid w:val="006511A2"/>
    <w:rsid w:val="00652A02"/>
    <w:rsid w:val="0065339A"/>
    <w:rsid w:val="00653801"/>
    <w:rsid w:val="006554B8"/>
    <w:rsid w:val="0065722F"/>
    <w:rsid w:val="00657A8C"/>
    <w:rsid w:val="006603B1"/>
    <w:rsid w:val="00660E3D"/>
    <w:rsid w:val="00660FD3"/>
    <w:rsid w:val="00661CF5"/>
    <w:rsid w:val="00661E28"/>
    <w:rsid w:val="006620B1"/>
    <w:rsid w:val="00662EA5"/>
    <w:rsid w:val="006635C9"/>
    <w:rsid w:val="00664222"/>
    <w:rsid w:val="00664D74"/>
    <w:rsid w:val="00664F2D"/>
    <w:rsid w:val="0066622E"/>
    <w:rsid w:val="00666D21"/>
    <w:rsid w:val="00667543"/>
    <w:rsid w:val="006706A5"/>
    <w:rsid w:val="0067192C"/>
    <w:rsid w:val="00671B53"/>
    <w:rsid w:val="00671E62"/>
    <w:rsid w:val="00671FDE"/>
    <w:rsid w:val="00672386"/>
    <w:rsid w:val="0067286D"/>
    <w:rsid w:val="006728D8"/>
    <w:rsid w:val="00673246"/>
    <w:rsid w:val="00673F4E"/>
    <w:rsid w:val="0067498D"/>
    <w:rsid w:val="00675BE9"/>
    <w:rsid w:val="006766EB"/>
    <w:rsid w:val="00677C4A"/>
    <w:rsid w:val="00677EB8"/>
    <w:rsid w:val="006802A6"/>
    <w:rsid w:val="006814C8"/>
    <w:rsid w:val="00681854"/>
    <w:rsid w:val="00681B44"/>
    <w:rsid w:val="00681B8C"/>
    <w:rsid w:val="006820AE"/>
    <w:rsid w:val="00682734"/>
    <w:rsid w:val="00683208"/>
    <w:rsid w:val="006837A4"/>
    <w:rsid w:val="00683F61"/>
    <w:rsid w:val="00684F37"/>
    <w:rsid w:val="00684F57"/>
    <w:rsid w:val="00685513"/>
    <w:rsid w:val="00685906"/>
    <w:rsid w:val="00685964"/>
    <w:rsid w:val="006874EA"/>
    <w:rsid w:val="00687B8A"/>
    <w:rsid w:val="00687CD0"/>
    <w:rsid w:val="006904B7"/>
    <w:rsid w:val="00690615"/>
    <w:rsid w:val="0069243A"/>
    <w:rsid w:val="006929D2"/>
    <w:rsid w:val="006932AB"/>
    <w:rsid w:val="006941D7"/>
    <w:rsid w:val="00695004"/>
    <w:rsid w:val="006950CF"/>
    <w:rsid w:val="00695914"/>
    <w:rsid w:val="00695F43"/>
    <w:rsid w:val="00695FCC"/>
    <w:rsid w:val="00696973"/>
    <w:rsid w:val="00696D2D"/>
    <w:rsid w:val="00696E75"/>
    <w:rsid w:val="00697057"/>
    <w:rsid w:val="00697653"/>
    <w:rsid w:val="006A0111"/>
    <w:rsid w:val="006A04FF"/>
    <w:rsid w:val="006A09F0"/>
    <w:rsid w:val="006A15AD"/>
    <w:rsid w:val="006A1F68"/>
    <w:rsid w:val="006A26C0"/>
    <w:rsid w:val="006A29D0"/>
    <w:rsid w:val="006A38CF"/>
    <w:rsid w:val="006A39BF"/>
    <w:rsid w:val="006A4690"/>
    <w:rsid w:val="006A4B5C"/>
    <w:rsid w:val="006A5674"/>
    <w:rsid w:val="006A588F"/>
    <w:rsid w:val="006A5E40"/>
    <w:rsid w:val="006A6D81"/>
    <w:rsid w:val="006A7293"/>
    <w:rsid w:val="006A7366"/>
    <w:rsid w:val="006B02AD"/>
    <w:rsid w:val="006B04E7"/>
    <w:rsid w:val="006B0F94"/>
    <w:rsid w:val="006B2263"/>
    <w:rsid w:val="006B28D7"/>
    <w:rsid w:val="006B3EA1"/>
    <w:rsid w:val="006B4299"/>
    <w:rsid w:val="006B68E7"/>
    <w:rsid w:val="006B7C02"/>
    <w:rsid w:val="006C038B"/>
    <w:rsid w:val="006C073B"/>
    <w:rsid w:val="006C202B"/>
    <w:rsid w:val="006C28A4"/>
    <w:rsid w:val="006C391E"/>
    <w:rsid w:val="006C4DAF"/>
    <w:rsid w:val="006C4DB2"/>
    <w:rsid w:val="006C539B"/>
    <w:rsid w:val="006C5614"/>
    <w:rsid w:val="006C5B09"/>
    <w:rsid w:val="006C5E91"/>
    <w:rsid w:val="006C65B5"/>
    <w:rsid w:val="006C7A3B"/>
    <w:rsid w:val="006D0695"/>
    <w:rsid w:val="006D3A6B"/>
    <w:rsid w:val="006D4A70"/>
    <w:rsid w:val="006D5D12"/>
    <w:rsid w:val="006D6447"/>
    <w:rsid w:val="006E0ADE"/>
    <w:rsid w:val="006E0C40"/>
    <w:rsid w:val="006E1837"/>
    <w:rsid w:val="006E40D3"/>
    <w:rsid w:val="006E4113"/>
    <w:rsid w:val="006E5ADB"/>
    <w:rsid w:val="006E692D"/>
    <w:rsid w:val="006E7E35"/>
    <w:rsid w:val="006E7E5C"/>
    <w:rsid w:val="006F0655"/>
    <w:rsid w:val="006F0A51"/>
    <w:rsid w:val="006F28C8"/>
    <w:rsid w:val="006F3556"/>
    <w:rsid w:val="006F4510"/>
    <w:rsid w:val="006F4AEC"/>
    <w:rsid w:val="006F54FD"/>
    <w:rsid w:val="006F5C7C"/>
    <w:rsid w:val="006F6BAD"/>
    <w:rsid w:val="006F6D46"/>
    <w:rsid w:val="00701DA3"/>
    <w:rsid w:val="0070320B"/>
    <w:rsid w:val="0070366B"/>
    <w:rsid w:val="00704816"/>
    <w:rsid w:val="00705E6D"/>
    <w:rsid w:val="00705FEA"/>
    <w:rsid w:val="00710EB3"/>
    <w:rsid w:val="007119E8"/>
    <w:rsid w:val="007124EE"/>
    <w:rsid w:val="00712FD2"/>
    <w:rsid w:val="00712FE0"/>
    <w:rsid w:val="00713618"/>
    <w:rsid w:val="00713704"/>
    <w:rsid w:val="007138A4"/>
    <w:rsid w:val="00713E97"/>
    <w:rsid w:val="007144B7"/>
    <w:rsid w:val="00714F2E"/>
    <w:rsid w:val="0071507B"/>
    <w:rsid w:val="00717532"/>
    <w:rsid w:val="00717F9B"/>
    <w:rsid w:val="00720F91"/>
    <w:rsid w:val="00721A52"/>
    <w:rsid w:val="00722D13"/>
    <w:rsid w:val="0072315C"/>
    <w:rsid w:val="007236E6"/>
    <w:rsid w:val="00723DC4"/>
    <w:rsid w:val="0072440D"/>
    <w:rsid w:val="00725349"/>
    <w:rsid w:val="00726291"/>
    <w:rsid w:val="00726A84"/>
    <w:rsid w:val="00726DBF"/>
    <w:rsid w:val="007306E7"/>
    <w:rsid w:val="00730746"/>
    <w:rsid w:val="00730B73"/>
    <w:rsid w:val="00730E23"/>
    <w:rsid w:val="007312B8"/>
    <w:rsid w:val="007312C0"/>
    <w:rsid w:val="00731875"/>
    <w:rsid w:val="00731A3B"/>
    <w:rsid w:val="00732BDE"/>
    <w:rsid w:val="00732C0F"/>
    <w:rsid w:val="00732E65"/>
    <w:rsid w:val="0073303B"/>
    <w:rsid w:val="007342B8"/>
    <w:rsid w:val="00736FDB"/>
    <w:rsid w:val="007374AD"/>
    <w:rsid w:val="007409D4"/>
    <w:rsid w:val="00741E19"/>
    <w:rsid w:val="00742449"/>
    <w:rsid w:val="00742883"/>
    <w:rsid w:val="00742CD5"/>
    <w:rsid w:val="0074337B"/>
    <w:rsid w:val="007435EA"/>
    <w:rsid w:val="0074393E"/>
    <w:rsid w:val="00743BD1"/>
    <w:rsid w:val="00743D42"/>
    <w:rsid w:val="007446E8"/>
    <w:rsid w:val="00745CE6"/>
    <w:rsid w:val="00746F06"/>
    <w:rsid w:val="007472F3"/>
    <w:rsid w:val="00750B05"/>
    <w:rsid w:val="00751FA9"/>
    <w:rsid w:val="0075329B"/>
    <w:rsid w:val="007537BA"/>
    <w:rsid w:val="00753BED"/>
    <w:rsid w:val="00754626"/>
    <w:rsid w:val="00754685"/>
    <w:rsid w:val="00754F05"/>
    <w:rsid w:val="0075507B"/>
    <w:rsid w:val="0075636E"/>
    <w:rsid w:val="00756693"/>
    <w:rsid w:val="0075792B"/>
    <w:rsid w:val="00757AD9"/>
    <w:rsid w:val="007601CC"/>
    <w:rsid w:val="0076193B"/>
    <w:rsid w:val="007623EE"/>
    <w:rsid w:val="00762A83"/>
    <w:rsid w:val="00762F50"/>
    <w:rsid w:val="00763C37"/>
    <w:rsid w:val="00764177"/>
    <w:rsid w:val="007646E0"/>
    <w:rsid w:val="00764794"/>
    <w:rsid w:val="00764D12"/>
    <w:rsid w:val="00764D73"/>
    <w:rsid w:val="00764DFA"/>
    <w:rsid w:val="00764E63"/>
    <w:rsid w:val="007650EC"/>
    <w:rsid w:val="0076589C"/>
    <w:rsid w:val="00766016"/>
    <w:rsid w:val="00766902"/>
    <w:rsid w:val="0076704D"/>
    <w:rsid w:val="00767A73"/>
    <w:rsid w:val="00770AC2"/>
    <w:rsid w:val="00771652"/>
    <w:rsid w:val="00773014"/>
    <w:rsid w:val="007730E6"/>
    <w:rsid w:val="00773BEB"/>
    <w:rsid w:val="0077440F"/>
    <w:rsid w:val="00774579"/>
    <w:rsid w:val="007749FA"/>
    <w:rsid w:val="00774AE6"/>
    <w:rsid w:val="00776C19"/>
    <w:rsid w:val="00776EF3"/>
    <w:rsid w:val="00780578"/>
    <w:rsid w:val="00780CF5"/>
    <w:rsid w:val="00780F1D"/>
    <w:rsid w:val="0078110B"/>
    <w:rsid w:val="007815F7"/>
    <w:rsid w:val="00781F40"/>
    <w:rsid w:val="00783519"/>
    <w:rsid w:val="007835F2"/>
    <w:rsid w:val="007846D0"/>
    <w:rsid w:val="007849C4"/>
    <w:rsid w:val="00785597"/>
    <w:rsid w:val="00786006"/>
    <w:rsid w:val="00786611"/>
    <w:rsid w:val="0078736A"/>
    <w:rsid w:val="007909A4"/>
    <w:rsid w:val="00790C92"/>
    <w:rsid w:val="007913AF"/>
    <w:rsid w:val="007924CB"/>
    <w:rsid w:val="00793128"/>
    <w:rsid w:val="00794757"/>
    <w:rsid w:val="00795260"/>
    <w:rsid w:val="00795CBC"/>
    <w:rsid w:val="00795DDC"/>
    <w:rsid w:val="007972A1"/>
    <w:rsid w:val="007A0464"/>
    <w:rsid w:val="007A1127"/>
    <w:rsid w:val="007A1B03"/>
    <w:rsid w:val="007A2061"/>
    <w:rsid w:val="007A294B"/>
    <w:rsid w:val="007A52A0"/>
    <w:rsid w:val="007A5918"/>
    <w:rsid w:val="007A6878"/>
    <w:rsid w:val="007A6977"/>
    <w:rsid w:val="007A76B8"/>
    <w:rsid w:val="007A7889"/>
    <w:rsid w:val="007B115F"/>
    <w:rsid w:val="007B1A81"/>
    <w:rsid w:val="007B330C"/>
    <w:rsid w:val="007B3C35"/>
    <w:rsid w:val="007B3CCE"/>
    <w:rsid w:val="007B4784"/>
    <w:rsid w:val="007B4AF7"/>
    <w:rsid w:val="007B78B2"/>
    <w:rsid w:val="007C01AC"/>
    <w:rsid w:val="007C06DF"/>
    <w:rsid w:val="007C11A0"/>
    <w:rsid w:val="007C22B1"/>
    <w:rsid w:val="007C2A20"/>
    <w:rsid w:val="007C2E5D"/>
    <w:rsid w:val="007C3617"/>
    <w:rsid w:val="007C3E91"/>
    <w:rsid w:val="007C3F74"/>
    <w:rsid w:val="007C5A6B"/>
    <w:rsid w:val="007C5C86"/>
    <w:rsid w:val="007C5F1B"/>
    <w:rsid w:val="007C737D"/>
    <w:rsid w:val="007C7505"/>
    <w:rsid w:val="007C7ABE"/>
    <w:rsid w:val="007D023B"/>
    <w:rsid w:val="007D2376"/>
    <w:rsid w:val="007D4B29"/>
    <w:rsid w:val="007D4FE6"/>
    <w:rsid w:val="007D6162"/>
    <w:rsid w:val="007D645A"/>
    <w:rsid w:val="007D6902"/>
    <w:rsid w:val="007E0045"/>
    <w:rsid w:val="007E0A69"/>
    <w:rsid w:val="007E1477"/>
    <w:rsid w:val="007E17EA"/>
    <w:rsid w:val="007E19B4"/>
    <w:rsid w:val="007E1B53"/>
    <w:rsid w:val="007E1DB6"/>
    <w:rsid w:val="007E2BA5"/>
    <w:rsid w:val="007E41EC"/>
    <w:rsid w:val="007E4F15"/>
    <w:rsid w:val="007E5E8B"/>
    <w:rsid w:val="007E5FB3"/>
    <w:rsid w:val="007E61CC"/>
    <w:rsid w:val="007E65DC"/>
    <w:rsid w:val="007E72F6"/>
    <w:rsid w:val="007E76FD"/>
    <w:rsid w:val="007F0650"/>
    <w:rsid w:val="007F0727"/>
    <w:rsid w:val="007F111F"/>
    <w:rsid w:val="007F4F80"/>
    <w:rsid w:val="007F5282"/>
    <w:rsid w:val="007F5701"/>
    <w:rsid w:val="007F5BB6"/>
    <w:rsid w:val="007F6DEA"/>
    <w:rsid w:val="007F6E20"/>
    <w:rsid w:val="007F6FD9"/>
    <w:rsid w:val="007F7045"/>
    <w:rsid w:val="008010E4"/>
    <w:rsid w:val="00801A15"/>
    <w:rsid w:val="0080217F"/>
    <w:rsid w:val="008025C3"/>
    <w:rsid w:val="0080297E"/>
    <w:rsid w:val="008032B4"/>
    <w:rsid w:val="008033BB"/>
    <w:rsid w:val="00803B8C"/>
    <w:rsid w:val="0080475E"/>
    <w:rsid w:val="00804806"/>
    <w:rsid w:val="00804A00"/>
    <w:rsid w:val="008058E8"/>
    <w:rsid w:val="00806AD0"/>
    <w:rsid w:val="00807713"/>
    <w:rsid w:val="00807B2E"/>
    <w:rsid w:val="008100CE"/>
    <w:rsid w:val="00810D71"/>
    <w:rsid w:val="008111C1"/>
    <w:rsid w:val="00812857"/>
    <w:rsid w:val="00812EA7"/>
    <w:rsid w:val="00812F5D"/>
    <w:rsid w:val="00814FEF"/>
    <w:rsid w:val="00815279"/>
    <w:rsid w:val="00815842"/>
    <w:rsid w:val="00815CB0"/>
    <w:rsid w:val="00815F55"/>
    <w:rsid w:val="00816096"/>
    <w:rsid w:val="008178AD"/>
    <w:rsid w:val="00817F29"/>
    <w:rsid w:val="008214E1"/>
    <w:rsid w:val="0082192E"/>
    <w:rsid w:val="00821F56"/>
    <w:rsid w:val="00822246"/>
    <w:rsid w:val="008225C3"/>
    <w:rsid w:val="00822C15"/>
    <w:rsid w:val="0082329C"/>
    <w:rsid w:val="008255E2"/>
    <w:rsid w:val="00825C31"/>
    <w:rsid w:val="00826018"/>
    <w:rsid w:val="0082676A"/>
    <w:rsid w:val="008275A4"/>
    <w:rsid w:val="00827AEB"/>
    <w:rsid w:val="00831C80"/>
    <w:rsid w:val="00832EC7"/>
    <w:rsid w:val="00833159"/>
    <w:rsid w:val="008331E5"/>
    <w:rsid w:val="00833305"/>
    <w:rsid w:val="008339DB"/>
    <w:rsid w:val="008344AC"/>
    <w:rsid w:val="00834AB4"/>
    <w:rsid w:val="00835BA8"/>
    <w:rsid w:val="00835FAB"/>
    <w:rsid w:val="0083652F"/>
    <w:rsid w:val="00841077"/>
    <w:rsid w:val="00841A47"/>
    <w:rsid w:val="00842284"/>
    <w:rsid w:val="00842E80"/>
    <w:rsid w:val="00843A2F"/>
    <w:rsid w:val="00843A82"/>
    <w:rsid w:val="00844066"/>
    <w:rsid w:val="008447B7"/>
    <w:rsid w:val="0084730F"/>
    <w:rsid w:val="00850B17"/>
    <w:rsid w:val="00850EB5"/>
    <w:rsid w:val="0085178D"/>
    <w:rsid w:val="00851BD5"/>
    <w:rsid w:val="00851FF9"/>
    <w:rsid w:val="008547AB"/>
    <w:rsid w:val="008549ED"/>
    <w:rsid w:val="0085547B"/>
    <w:rsid w:val="00856135"/>
    <w:rsid w:val="00856E82"/>
    <w:rsid w:val="00857773"/>
    <w:rsid w:val="00857B43"/>
    <w:rsid w:val="0086008D"/>
    <w:rsid w:val="008603F5"/>
    <w:rsid w:val="00860758"/>
    <w:rsid w:val="00860CA4"/>
    <w:rsid w:val="008627E4"/>
    <w:rsid w:val="008639FB"/>
    <w:rsid w:val="00866117"/>
    <w:rsid w:val="0086643A"/>
    <w:rsid w:val="00866C27"/>
    <w:rsid w:val="0086751F"/>
    <w:rsid w:val="0086756E"/>
    <w:rsid w:val="00867CA8"/>
    <w:rsid w:val="00867E50"/>
    <w:rsid w:val="00870F70"/>
    <w:rsid w:val="0087333E"/>
    <w:rsid w:val="00875496"/>
    <w:rsid w:val="00875EC3"/>
    <w:rsid w:val="008802B2"/>
    <w:rsid w:val="00883704"/>
    <w:rsid w:val="008843F1"/>
    <w:rsid w:val="008855AA"/>
    <w:rsid w:val="008858B6"/>
    <w:rsid w:val="0088688A"/>
    <w:rsid w:val="0089123D"/>
    <w:rsid w:val="00892536"/>
    <w:rsid w:val="00892C8B"/>
    <w:rsid w:val="0089378B"/>
    <w:rsid w:val="00893FE2"/>
    <w:rsid w:val="00894064"/>
    <w:rsid w:val="00894343"/>
    <w:rsid w:val="0089587E"/>
    <w:rsid w:val="008963B8"/>
    <w:rsid w:val="00896F33"/>
    <w:rsid w:val="00897BBC"/>
    <w:rsid w:val="008A0430"/>
    <w:rsid w:val="008A0486"/>
    <w:rsid w:val="008A2E5E"/>
    <w:rsid w:val="008A31D5"/>
    <w:rsid w:val="008A3F55"/>
    <w:rsid w:val="008A5D90"/>
    <w:rsid w:val="008A5F50"/>
    <w:rsid w:val="008A64FA"/>
    <w:rsid w:val="008A6F85"/>
    <w:rsid w:val="008B1786"/>
    <w:rsid w:val="008B22F7"/>
    <w:rsid w:val="008B274F"/>
    <w:rsid w:val="008B417C"/>
    <w:rsid w:val="008B504C"/>
    <w:rsid w:val="008B597D"/>
    <w:rsid w:val="008B5F8B"/>
    <w:rsid w:val="008B6BAE"/>
    <w:rsid w:val="008B6EA8"/>
    <w:rsid w:val="008B71ED"/>
    <w:rsid w:val="008B7E3F"/>
    <w:rsid w:val="008C155F"/>
    <w:rsid w:val="008C20F5"/>
    <w:rsid w:val="008C24C4"/>
    <w:rsid w:val="008C2C7B"/>
    <w:rsid w:val="008C391C"/>
    <w:rsid w:val="008C3EAA"/>
    <w:rsid w:val="008C45AB"/>
    <w:rsid w:val="008C5E71"/>
    <w:rsid w:val="008C642C"/>
    <w:rsid w:val="008C7551"/>
    <w:rsid w:val="008C773E"/>
    <w:rsid w:val="008C7A42"/>
    <w:rsid w:val="008D04D8"/>
    <w:rsid w:val="008D11F0"/>
    <w:rsid w:val="008D170D"/>
    <w:rsid w:val="008D239F"/>
    <w:rsid w:val="008D2730"/>
    <w:rsid w:val="008D283C"/>
    <w:rsid w:val="008D2B28"/>
    <w:rsid w:val="008D3572"/>
    <w:rsid w:val="008D421F"/>
    <w:rsid w:val="008D5AB1"/>
    <w:rsid w:val="008D62A9"/>
    <w:rsid w:val="008D6C50"/>
    <w:rsid w:val="008D6C90"/>
    <w:rsid w:val="008D7E2F"/>
    <w:rsid w:val="008E24BD"/>
    <w:rsid w:val="008E2B4A"/>
    <w:rsid w:val="008E2B72"/>
    <w:rsid w:val="008E3802"/>
    <w:rsid w:val="008E3CDF"/>
    <w:rsid w:val="008E412D"/>
    <w:rsid w:val="008E4DE8"/>
    <w:rsid w:val="008E5E7F"/>
    <w:rsid w:val="008E621C"/>
    <w:rsid w:val="008E72CF"/>
    <w:rsid w:val="008F017B"/>
    <w:rsid w:val="008F1199"/>
    <w:rsid w:val="008F19D5"/>
    <w:rsid w:val="008F1E6B"/>
    <w:rsid w:val="008F1EF2"/>
    <w:rsid w:val="008F207E"/>
    <w:rsid w:val="008F58D7"/>
    <w:rsid w:val="008F6306"/>
    <w:rsid w:val="008F6709"/>
    <w:rsid w:val="008F6BC2"/>
    <w:rsid w:val="008F7586"/>
    <w:rsid w:val="008F7D62"/>
    <w:rsid w:val="00900E82"/>
    <w:rsid w:val="00901414"/>
    <w:rsid w:val="00901B1E"/>
    <w:rsid w:val="009020CA"/>
    <w:rsid w:val="00902789"/>
    <w:rsid w:val="009032EA"/>
    <w:rsid w:val="00903C6A"/>
    <w:rsid w:val="0090417F"/>
    <w:rsid w:val="009049B0"/>
    <w:rsid w:val="009057E1"/>
    <w:rsid w:val="00905FC5"/>
    <w:rsid w:val="0090709B"/>
    <w:rsid w:val="009074EA"/>
    <w:rsid w:val="00910471"/>
    <w:rsid w:val="00911D4F"/>
    <w:rsid w:val="009126C7"/>
    <w:rsid w:val="0091293C"/>
    <w:rsid w:val="009143F4"/>
    <w:rsid w:val="00914B52"/>
    <w:rsid w:val="009154A3"/>
    <w:rsid w:val="00920BE9"/>
    <w:rsid w:val="009229B6"/>
    <w:rsid w:val="009229EB"/>
    <w:rsid w:val="00922CF2"/>
    <w:rsid w:val="00923227"/>
    <w:rsid w:val="009232AB"/>
    <w:rsid w:val="009234A9"/>
    <w:rsid w:val="0092486A"/>
    <w:rsid w:val="00924BC3"/>
    <w:rsid w:val="00925988"/>
    <w:rsid w:val="009259B9"/>
    <w:rsid w:val="009262FB"/>
    <w:rsid w:val="009306C2"/>
    <w:rsid w:val="00931A21"/>
    <w:rsid w:val="00931CA8"/>
    <w:rsid w:val="00934D06"/>
    <w:rsid w:val="009351A5"/>
    <w:rsid w:val="0093693B"/>
    <w:rsid w:val="00937188"/>
    <w:rsid w:val="00937E14"/>
    <w:rsid w:val="00941A07"/>
    <w:rsid w:val="00941AEC"/>
    <w:rsid w:val="00943B49"/>
    <w:rsid w:val="00943E33"/>
    <w:rsid w:val="009441DB"/>
    <w:rsid w:val="00944C1E"/>
    <w:rsid w:val="0094503E"/>
    <w:rsid w:val="0094508F"/>
    <w:rsid w:val="00945B37"/>
    <w:rsid w:val="00945DE2"/>
    <w:rsid w:val="00946208"/>
    <w:rsid w:val="00946613"/>
    <w:rsid w:val="009472DD"/>
    <w:rsid w:val="00950C13"/>
    <w:rsid w:val="00950C45"/>
    <w:rsid w:val="00952AE2"/>
    <w:rsid w:val="009531A7"/>
    <w:rsid w:val="00953872"/>
    <w:rsid w:val="00956023"/>
    <w:rsid w:val="009575BD"/>
    <w:rsid w:val="00960D52"/>
    <w:rsid w:val="009617C8"/>
    <w:rsid w:val="009619CE"/>
    <w:rsid w:val="00962105"/>
    <w:rsid w:val="00962831"/>
    <w:rsid w:val="00962BEC"/>
    <w:rsid w:val="00963462"/>
    <w:rsid w:val="00963F41"/>
    <w:rsid w:val="0096412E"/>
    <w:rsid w:val="00965529"/>
    <w:rsid w:val="00965F00"/>
    <w:rsid w:val="009660F4"/>
    <w:rsid w:val="00966476"/>
    <w:rsid w:val="0096684D"/>
    <w:rsid w:val="009674C2"/>
    <w:rsid w:val="00967B97"/>
    <w:rsid w:val="009718B3"/>
    <w:rsid w:val="00972034"/>
    <w:rsid w:val="0097284F"/>
    <w:rsid w:val="0097349F"/>
    <w:rsid w:val="00973C85"/>
    <w:rsid w:val="00974CB5"/>
    <w:rsid w:val="00975527"/>
    <w:rsid w:val="00975ED9"/>
    <w:rsid w:val="009770DF"/>
    <w:rsid w:val="00977D2F"/>
    <w:rsid w:val="009802EC"/>
    <w:rsid w:val="009809FB"/>
    <w:rsid w:val="0098180B"/>
    <w:rsid w:val="00981B53"/>
    <w:rsid w:val="009834C8"/>
    <w:rsid w:val="00983EE2"/>
    <w:rsid w:val="0098471E"/>
    <w:rsid w:val="009849FF"/>
    <w:rsid w:val="00985E2C"/>
    <w:rsid w:val="00986287"/>
    <w:rsid w:val="009862C6"/>
    <w:rsid w:val="00986F62"/>
    <w:rsid w:val="009900E0"/>
    <w:rsid w:val="009908BE"/>
    <w:rsid w:val="00991907"/>
    <w:rsid w:val="00991938"/>
    <w:rsid w:val="00991C58"/>
    <w:rsid w:val="009925C1"/>
    <w:rsid w:val="00992CC3"/>
    <w:rsid w:val="00994588"/>
    <w:rsid w:val="00994B6C"/>
    <w:rsid w:val="00994D21"/>
    <w:rsid w:val="009952AF"/>
    <w:rsid w:val="009957CE"/>
    <w:rsid w:val="00995DB5"/>
    <w:rsid w:val="00995E54"/>
    <w:rsid w:val="00997412"/>
    <w:rsid w:val="00997E47"/>
    <w:rsid w:val="009A0D87"/>
    <w:rsid w:val="009A14E1"/>
    <w:rsid w:val="009A229F"/>
    <w:rsid w:val="009A298B"/>
    <w:rsid w:val="009A3433"/>
    <w:rsid w:val="009A3AF8"/>
    <w:rsid w:val="009A492E"/>
    <w:rsid w:val="009A4FD3"/>
    <w:rsid w:val="009A60C5"/>
    <w:rsid w:val="009A638C"/>
    <w:rsid w:val="009A67E7"/>
    <w:rsid w:val="009A729A"/>
    <w:rsid w:val="009B12E1"/>
    <w:rsid w:val="009B1668"/>
    <w:rsid w:val="009B230E"/>
    <w:rsid w:val="009B3233"/>
    <w:rsid w:val="009B3BAA"/>
    <w:rsid w:val="009B40F7"/>
    <w:rsid w:val="009B623B"/>
    <w:rsid w:val="009B6B22"/>
    <w:rsid w:val="009B6CC1"/>
    <w:rsid w:val="009B7725"/>
    <w:rsid w:val="009B7E24"/>
    <w:rsid w:val="009C0798"/>
    <w:rsid w:val="009C07AC"/>
    <w:rsid w:val="009C0E13"/>
    <w:rsid w:val="009C0E24"/>
    <w:rsid w:val="009C1667"/>
    <w:rsid w:val="009C2DA6"/>
    <w:rsid w:val="009C31F0"/>
    <w:rsid w:val="009C3A0C"/>
    <w:rsid w:val="009C45BA"/>
    <w:rsid w:val="009C4941"/>
    <w:rsid w:val="009C49CF"/>
    <w:rsid w:val="009C4E7A"/>
    <w:rsid w:val="009C5A80"/>
    <w:rsid w:val="009C5BC3"/>
    <w:rsid w:val="009C63E1"/>
    <w:rsid w:val="009C658B"/>
    <w:rsid w:val="009C6B5C"/>
    <w:rsid w:val="009C6E67"/>
    <w:rsid w:val="009C7698"/>
    <w:rsid w:val="009C7833"/>
    <w:rsid w:val="009C7843"/>
    <w:rsid w:val="009C7C16"/>
    <w:rsid w:val="009D0257"/>
    <w:rsid w:val="009D0CF1"/>
    <w:rsid w:val="009D1DD2"/>
    <w:rsid w:val="009D25BD"/>
    <w:rsid w:val="009D3776"/>
    <w:rsid w:val="009D3D6F"/>
    <w:rsid w:val="009D42F6"/>
    <w:rsid w:val="009D4371"/>
    <w:rsid w:val="009D59C2"/>
    <w:rsid w:val="009D5D5F"/>
    <w:rsid w:val="009D6807"/>
    <w:rsid w:val="009D6979"/>
    <w:rsid w:val="009D780A"/>
    <w:rsid w:val="009E041A"/>
    <w:rsid w:val="009E177A"/>
    <w:rsid w:val="009E215E"/>
    <w:rsid w:val="009E2192"/>
    <w:rsid w:val="009E29A3"/>
    <w:rsid w:val="009E363B"/>
    <w:rsid w:val="009E364A"/>
    <w:rsid w:val="009E45F6"/>
    <w:rsid w:val="009E537B"/>
    <w:rsid w:val="009E5A39"/>
    <w:rsid w:val="009E6838"/>
    <w:rsid w:val="009E7258"/>
    <w:rsid w:val="009E7660"/>
    <w:rsid w:val="009E7694"/>
    <w:rsid w:val="009E7766"/>
    <w:rsid w:val="009F0473"/>
    <w:rsid w:val="009F0B08"/>
    <w:rsid w:val="009F0B2A"/>
    <w:rsid w:val="009F2D02"/>
    <w:rsid w:val="009F2F8B"/>
    <w:rsid w:val="009F5376"/>
    <w:rsid w:val="009F5677"/>
    <w:rsid w:val="009F5706"/>
    <w:rsid w:val="009F63E8"/>
    <w:rsid w:val="009F688B"/>
    <w:rsid w:val="009F6BDA"/>
    <w:rsid w:val="009F7037"/>
    <w:rsid w:val="009F768E"/>
    <w:rsid w:val="009F7835"/>
    <w:rsid w:val="009F7A26"/>
    <w:rsid w:val="00A000D0"/>
    <w:rsid w:val="00A01228"/>
    <w:rsid w:val="00A01C36"/>
    <w:rsid w:val="00A020AF"/>
    <w:rsid w:val="00A0213F"/>
    <w:rsid w:val="00A03CBA"/>
    <w:rsid w:val="00A05305"/>
    <w:rsid w:val="00A054DD"/>
    <w:rsid w:val="00A05882"/>
    <w:rsid w:val="00A06E76"/>
    <w:rsid w:val="00A06EC4"/>
    <w:rsid w:val="00A071BF"/>
    <w:rsid w:val="00A10359"/>
    <w:rsid w:val="00A106D5"/>
    <w:rsid w:val="00A1189B"/>
    <w:rsid w:val="00A11FD0"/>
    <w:rsid w:val="00A139F5"/>
    <w:rsid w:val="00A15156"/>
    <w:rsid w:val="00A166AD"/>
    <w:rsid w:val="00A17951"/>
    <w:rsid w:val="00A17FE9"/>
    <w:rsid w:val="00A20510"/>
    <w:rsid w:val="00A209D1"/>
    <w:rsid w:val="00A225C3"/>
    <w:rsid w:val="00A227D4"/>
    <w:rsid w:val="00A23000"/>
    <w:rsid w:val="00A249E4"/>
    <w:rsid w:val="00A260C3"/>
    <w:rsid w:val="00A2617A"/>
    <w:rsid w:val="00A264DC"/>
    <w:rsid w:val="00A27427"/>
    <w:rsid w:val="00A2788A"/>
    <w:rsid w:val="00A32603"/>
    <w:rsid w:val="00A33CBA"/>
    <w:rsid w:val="00A3437E"/>
    <w:rsid w:val="00A35E21"/>
    <w:rsid w:val="00A35E51"/>
    <w:rsid w:val="00A36FBD"/>
    <w:rsid w:val="00A3782D"/>
    <w:rsid w:val="00A378CA"/>
    <w:rsid w:val="00A37C55"/>
    <w:rsid w:val="00A37D91"/>
    <w:rsid w:val="00A40E80"/>
    <w:rsid w:val="00A449E2"/>
    <w:rsid w:val="00A44F43"/>
    <w:rsid w:val="00A460F5"/>
    <w:rsid w:val="00A46421"/>
    <w:rsid w:val="00A477E0"/>
    <w:rsid w:val="00A50108"/>
    <w:rsid w:val="00A50C69"/>
    <w:rsid w:val="00A50F28"/>
    <w:rsid w:val="00A510E5"/>
    <w:rsid w:val="00A52565"/>
    <w:rsid w:val="00A53C38"/>
    <w:rsid w:val="00A5403C"/>
    <w:rsid w:val="00A54A0A"/>
    <w:rsid w:val="00A5567C"/>
    <w:rsid w:val="00A57AEE"/>
    <w:rsid w:val="00A609A4"/>
    <w:rsid w:val="00A62959"/>
    <w:rsid w:val="00A65376"/>
    <w:rsid w:val="00A65FB2"/>
    <w:rsid w:val="00A673A8"/>
    <w:rsid w:val="00A67544"/>
    <w:rsid w:val="00A67F2B"/>
    <w:rsid w:val="00A70026"/>
    <w:rsid w:val="00A70F74"/>
    <w:rsid w:val="00A719E3"/>
    <w:rsid w:val="00A71F0D"/>
    <w:rsid w:val="00A7314E"/>
    <w:rsid w:val="00A74560"/>
    <w:rsid w:val="00A74B02"/>
    <w:rsid w:val="00A75DBA"/>
    <w:rsid w:val="00A75EFC"/>
    <w:rsid w:val="00A77323"/>
    <w:rsid w:val="00A803E9"/>
    <w:rsid w:val="00A80EB4"/>
    <w:rsid w:val="00A82353"/>
    <w:rsid w:val="00A82527"/>
    <w:rsid w:val="00A82D07"/>
    <w:rsid w:val="00A84941"/>
    <w:rsid w:val="00A84BBF"/>
    <w:rsid w:val="00A854A6"/>
    <w:rsid w:val="00A85E49"/>
    <w:rsid w:val="00A864B0"/>
    <w:rsid w:val="00A91631"/>
    <w:rsid w:val="00A918A3"/>
    <w:rsid w:val="00A91949"/>
    <w:rsid w:val="00A93274"/>
    <w:rsid w:val="00A93603"/>
    <w:rsid w:val="00A94199"/>
    <w:rsid w:val="00A94880"/>
    <w:rsid w:val="00A974A9"/>
    <w:rsid w:val="00AA06EB"/>
    <w:rsid w:val="00AA3F71"/>
    <w:rsid w:val="00AA3FB2"/>
    <w:rsid w:val="00AA4E06"/>
    <w:rsid w:val="00AA5CCB"/>
    <w:rsid w:val="00AA7639"/>
    <w:rsid w:val="00AA7B25"/>
    <w:rsid w:val="00AB00E7"/>
    <w:rsid w:val="00AB02A2"/>
    <w:rsid w:val="00AB137E"/>
    <w:rsid w:val="00AB1523"/>
    <w:rsid w:val="00AB2197"/>
    <w:rsid w:val="00AB2B5F"/>
    <w:rsid w:val="00AB2DE1"/>
    <w:rsid w:val="00AB31A5"/>
    <w:rsid w:val="00AB3826"/>
    <w:rsid w:val="00AB3C9A"/>
    <w:rsid w:val="00AB53A6"/>
    <w:rsid w:val="00AC109F"/>
    <w:rsid w:val="00AC10FF"/>
    <w:rsid w:val="00AC2BFF"/>
    <w:rsid w:val="00AC2CAE"/>
    <w:rsid w:val="00AC2DFA"/>
    <w:rsid w:val="00AC475E"/>
    <w:rsid w:val="00AC5F4F"/>
    <w:rsid w:val="00AC6055"/>
    <w:rsid w:val="00AC72BE"/>
    <w:rsid w:val="00AC7D8E"/>
    <w:rsid w:val="00AC7E79"/>
    <w:rsid w:val="00AD05B4"/>
    <w:rsid w:val="00AD2DB9"/>
    <w:rsid w:val="00AD2E5C"/>
    <w:rsid w:val="00AD3235"/>
    <w:rsid w:val="00AD43F6"/>
    <w:rsid w:val="00AD6804"/>
    <w:rsid w:val="00AD6909"/>
    <w:rsid w:val="00AD6A73"/>
    <w:rsid w:val="00AE1449"/>
    <w:rsid w:val="00AE457A"/>
    <w:rsid w:val="00AE4FEB"/>
    <w:rsid w:val="00AE50AD"/>
    <w:rsid w:val="00AE548F"/>
    <w:rsid w:val="00AE59FC"/>
    <w:rsid w:val="00AE5EF2"/>
    <w:rsid w:val="00AE7DE7"/>
    <w:rsid w:val="00AF0345"/>
    <w:rsid w:val="00AF0441"/>
    <w:rsid w:val="00AF086E"/>
    <w:rsid w:val="00AF212F"/>
    <w:rsid w:val="00AF21E5"/>
    <w:rsid w:val="00AF2258"/>
    <w:rsid w:val="00AF236B"/>
    <w:rsid w:val="00AF321D"/>
    <w:rsid w:val="00AF4D09"/>
    <w:rsid w:val="00AF4DC6"/>
    <w:rsid w:val="00AF5174"/>
    <w:rsid w:val="00AF5F56"/>
    <w:rsid w:val="00AF658C"/>
    <w:rsid w:val="00AF7BA7"/>
    <w:rsid w:val="00B00E7B"/>
    <w:rsid w:val="00B02055"/>
    <w:rsid w:val="00B0282C"/>
    <w:rsid w:val="00B03BBB"/>
    <w:rsid w:val="00B03ED5"/>
    <w:rsid w:val="00B050EF"/>
    <w:rsid w:val="00B05248"/>
    <w:rsid w:val="00B05F80"/>
    <w:rsid w:val="00B065C2"/>
    <w:rsid w:val="00B06818"/>
    <w:rsid w:val="00B06900"/>
    <w:rsid w:val="00B06EF2"/>
    <w:rsid w:val="00B07548"/>
    <w:rsid w:val="00B114DC"/>
    <w:rsid w:val="00B11771"/>
    <w:rsid w:val="00B11C20"/>
    <w:rsid w:val="00B12050"/>
    <w:rsid w:val="00B12761"/>
    <w:rsid w:val="00B12C54"/>
    <w:rsid w:val="00B13EE9"/>
    <w:rsid w:val="00B14516"/>
    <w:rsid w:val="00B15F55"/>
    <w:rsid w:val="00B16C33"/>
    <w:rsid w:val="00B202AA"/>
    <w:rsid w:val="00B20D47"/>
    <w:rsid w:val="00B20E7B"/>
    <w:rsid w:val="00B22C7F"/>
    <w:rsid w:val="00B22F37"/>
    <w:rsid w:val="00B231D0"/>
    <w:rsid w:val="00B23FCF"/>
    <w:rsid w:val="00B243C8"/>
    <w:rsid w:val="00B24CC6"/>
    <w:rsid w:val="00B24F95"/>
    <w:rsid w:val="00B24FA1"/>
    <w:rsid w:val="00B24FDF"/>
    <w:rsid w:val="00B250FA"/>
    <w:rsid w:val="00B25ABD"/>
    <w:rsid w:val="00B2621D"/>
    <w:rsid w:val="00B2676C"/>
    <w:rsid w:val="00B26B0B"/>
    <w:rsid w:val="00B26F85"/>
    <w:rsid w:val="00B27BDF"/>
    <w:rsid w:val="00B3120E"/>
    <w:rsid w:val="00B31B5C"/>
    <w:rsid w:val="00B33109"/>
    <w:rsid w:val="00B333A7"/>
    <w:rsid w:val="00B33743"/>
    <w:rsid w:val="00B33E70"/>
    <w:rsid w:val="00B33FAA"/>
    <w:rsid w:val="00B340D3"/>
    <w:rsid w:val="00B34395"/>
    <w:rsid w:val="00B34869"/>
    <w:rsid w:val="00B3733C"/>
    <w:rsid w:val="00B405B7"/>
    <w:rsid w:val="00B41DB3"/>
    <w:rsid w:val="00B42042"/>
    <w:rsid w:val="00B43E98"/>
    <w:rsid w:val="00B43EAD"/>
    <w:rsid w:val="00B440B7"/>
    <w:rsid w:val="00B4441F"/>
    <w:rsid w:val="00B46C96"/>
    <w:rsid w:val="00B503E5"/>
    <w:rsid w:val="00B50EC1"/>
    <w:rsid w:val="00B51CC6"/>
    <w:rsid w:val="00B52459"/>
    <w:rsid w:val="00B533A1"/>
    <w:rsid w:val="00B53C06"/>
    <w:rsid w:val="00B545FC"/>
    <w:rsid w:val="00B55464"/>
    <w:rsid w:val="00B5595A"/>
    <w:rsid w:val="00B570A4"/>
    <w:rsid w:val="00B60465"/>
    <w:rsid w:val="00B61810"/>
    <w:rsid w:val="00B61AB3"/>
    <w:rsid w:val="00B62563"/>
    <w:rsid w:val="00B62D8A"/>
    <w:rsid w:val="00B632A0"/>
    <w:rsid w:val="00B63C2A"/>
    <w:rsid w:val="00B641C8"/>
    <w:rsid w:val="00B64728"/>
    <w:rsid w:val="00B6513C"/>
    <w:rsid w:val="00B658EA"/>
    <w:rsid w:val="00B67032"/>
    <w:rsid w:val="00B67702"/>
    <w:rsid w:val="00B6785C"/>
    <w:rsid w:val="00B67B47"/>
    <w:rsid w:val="00B67D69"/>
    <w:rsid w:val="00B67EE7"/>
    <w:rsid w:val="00B711CF"/>
    <w:rsid w:val="00B71B7A"/>
    <w:rsid w:val="00B7218B"/>
    <w:rsid w:val="00B748CB"/>
    <w:rsid w:val="00B76B75"/>
    <w:rsid w:val="00B76D23"/>
    <w:rsid w:val="00B776A8"/>
    <w:rsid w:val="00B77FC3"/>
    <w:rsid w:val="00B805AB"/>
    <w:rsid w:val="00B80F30"/>
    <w:rsid w:val="00B81518"/>
    <w:rsid w:val="00B81B74"/>
    <w:rsid w:val="00B820C6"/>
    <w:rsid w:val="00B828C8"/>
    <w:rsid w:val="00B83CF7"/>
    <w:rsid w:val="00B84568"/>
    <w:rsid w:val="00B84B57"/>
    <w:rsid w:val="00B84DE9"/>
    <w:rsid w:val="00B86F13"/>
    <w:rsid w:val="00B912A7"/>
    <w:rsid w:val="00B917FB"/>
    <w:rsid w:val="00B9186A"/>
    <w:rsid w:val="00B91F44"/>
    <w:rsid w:val="00B92054"/>
    <w:rsid w:val="00B93726"/>
    <w:rsid w:val="00B93D82"/>
    <w:rsid w:val="00B93DA2"/>
    <w:rsid w:val="00B954B6"/>
    <w:rsid w:val="00B95AC8"/>
    <w:rsid w:val="00B95C79"/>
    <w:rsid w:val="00B95DE0"/>
    <w:rsid w:val="00B96C27"/>
    <w:rsid w:val="00BA071D"/>
    <w:rsid w:val="00BA12BA"/>
    <w:rsid w:val="00BA1A8A"/>
    <w:rsid w:val="00BA32B7"/>
    <w:rsid w:val="00BA3620"/>
    <w:rsid w:val="00BA3C9B"/>
    <w:rsid w:val="00BA452B"/>
    <w:rsid w:val="00BA47BA"/>
    <w:rsid w:val="00BA4D8B"/>
    <w:rsid w:val="00BA5B3A"/>
    <w:rsid w:val="00BA7747"/>
    <w:rsid w:val="00BA780B"/>
    <w:rsid w:val="00BB0F1C"/>
    <w:rsid w:val="00BB10AA"/>
    <w:rsid w:val="00BB2170"/>
    <w:rsid w:val="00BB2974"/>
    <w:rsid w:val="00BB2E15"/>
    <w:rsid w:val="00BB38F6"/>
    <w:rsid w:val="00BB395B"/>
    <w:rsid w:val="00BB3E19"/>
    <w:rsid w:val="00BB59DE"/>
    <w:rsid w:val="00BB68E3"/>
    <w:rsid w:val="00BC0751"/>
    <w:rsid w:val="00BC09F2"/>
    <w:rsid w:val="00BC1956"/>
    <w:rsid w:val="00BC19F5"/>
    <w:rsid w:val="00BC3513"/>
    <w:rsid w:val="00BC4BBD"/>
    <w:rsid w:val="00BC5FCE"/>
    <w:rsid w:val="00BC6C22"/>
    <w:rsid w:val="00BC7E1E"/>
    <w:rsid w:val="00BD03DD"/>
    <w:rsid w:val="00BD0524"/>
    <w:rsid w:val="00BD0E0A"/>
    <w:rsid w:val="00BD22A5"/>
    <w:rsid w:val="00BD342E"/>
    <w:rsid w:val="00BD57BC"/>
    <w:rsid w:val="00BD61FA"/>
    <w:rsid w:val="00BD6D59"/>
    <w:rsid w:val="00BD7576"/>
    <w:rsid w:val="00BE0337"/>
    <w:rsid w:val="00BE03DB"/>
    <w:rsid w:val="00BE0E1D"/>
    <w:rsid w:val="00BE2280"/>
    <w:rsid w:val="00BE3AEF"/>
    <w:rsid w:val="00BE4B65"/>
    <w:rsid w:val="00BE7E2A"/>
    <w:rsid w:val="00BF05DA"/>
    <w:rsid w:val="00BF18FA"/>
    <w:rsid w:val="00BF1C3E"/>
    <w:rsid w:val="00BF2C8D"/>
    <w:rsid w:val="00BF2CD6"/>
    <w:rsid w:val="00BF3784"/>
    <w:rsid w:val="00BF43D1"/>
    <w:rsid w:val="00BF5483"/>
    <w:rsid w:val="00BF5975"/>
    <w:rsid w:val="00BF6B62"/>
    <w:rsid w:val="00C001A4"/>
    <w:rsid w:val="00C015FD"/>
    <w:rsid w:val="00C01CD8"/>
    <w:rsid w:val="00C02A10"/>
    <w:rsid w:val="00C03616"/>
    <w:rsid w:val="00C04882"/>
    <w:rsid w:val="00C05172"/>
    <w:rsid w:val="00C05AF2"/>
    <w:rsid w:val="00C07705"/>
    <w:rsid w:val="00C07E86"/>
    <w:rsid w:val="00C109B5"/>
    <w:rsid w:val="00C10CBD"/>
    <w:rsid w:val="00C113BF"/>
    <w:rsid w:val="00C130C5"/>
    <w:rsid w:val="00C131F4"/>
    <w:rsid w:val="00C134D2"/>
    <w:rsid w:val="00C13A5E"/>
    <w:rsid w:val="00C14351"/>
    <w:rsid w:val="00C14493"/>
    <w:rsid w:val="00C1529C"/>
    <w:rsid w:val="00C157C6"/>
    <w:rsid w:val="00C158F3"/>
    <w:rsid w:val="00C15B04"/>
    <w:rsid w:val="00C16289"/>
    <w:rsid w:val="00C17350"/>
    <w:rsid w:val="00C20137"/>
    <w:rsid w:val="00C20F3A"/>
    <w:rsid w:val="00C2187A"/>
    <w:rsid w:val="00C221AF"/>
    <w:rsid w:val="00C22B8B"/>
    <w:rsid w:val="00C22EBF"/>
    <w:rsid w:val="00C23ED7"/>
    <w:rsid w:val="00C2423A"/>
    <w:rsid w:val="00C24677"/>
    <w:rsid w:val="00C254B3"/>
    <w:rsid w:val="00C25BBA"/>
    <w:rsid w:val="00C270C7"/>
    <w:rsid w:val="00C304C9"/>
    <w:rsid w:val="00C30E56"/>
    <w:rsid w:val="00C30E77"/>
    <w:rsid w:val="00C3179F"/>
    <w:rsid w:val="00C33252"/>
    <w:rsid w:val="00C34276"/>
    <w:rsid w:val="00C34476"/>
    <w:rsid w:val="00C36C1E"/>
    <w:rsid w:val="00C36C74"/>
    <w:rsid w:val="00C405FF"/>
    <w:rsid w:val="00C410EE"/>
    <w:rsid w:val="00C41148"/>
    <w:rsid w:val="00C416B3"/>
    <w:rsid w:val="00C417D3"/>
    <w:rsid w:val="00C420EE"/>
    <w:rsid w:val="00C423D1"/>
    <w:rsid w:val="00C4285E"/>
    <w:rsid w:val="00C42913"/>
    <w:rsid w:val="00C43066"/>
    <w:rsid w:val="00C43350"/>
    <w:rsid w:val="00C433E1"/>
    <w:rsid w:val="00C437F3"/>
    <w:rsid w:val="00C43DC3"/>
    <w:rsid w:val="00C44913"/>
    <w:rsid w:val="00C453BA"/>
    <w:rsid w:val="00C45C56"/>
    <w:rsid w:val="00C46392"/>
    <w:rsid w:val="00C472DD"/>
    <w:rsid w:val="00C47436"/>
    <w:rsid w:val="00C52CFA"/>
    <w:rsid w:val="00C53E10"/>
    <w:rsid w:val="00C53FDC"/>
    <w:rsid w:val="00C54BDF"/>
    <w:rsid w:val="00C54D25"/>
    <w:rsid w:val="00C553BE"/>
    <w:rsid w:val="00C55E5D"/>
    <w:rsid w:val="00C564FC"/>
    <w:rsid w:val="00C576CC"/>
    <w:rsid w:val="00C579BE"/>
    <w:rsid w:val="00C602D7"/>
    <w:rsid w:val="00C60419"/>
    <w:rsid w:val="00C60E95"/>
    <w:rsid w:val="00C618FB"/>
    <w:rsid w:val="00C62387"/>
    <w:rsid w:val="00C62513"/>
    <w:rsid w:val="00C630BF"/>
    <w:rsid w:val="00C63DA0"/>
    <w:rsid w:val="00C64FD2"/>
    <w:rsid w:val="00C65414"/>
    <w:rsid w:val="00C66118"/>
    <w:rsid w:val="00C66CAB"/>
    <w:rsid w:val="00C670EC"/>
    <w:rsid w:val="00C67369"/>
    <w:rsid w:val="00C675FC"/>
    <w:rsid w:val="00C7207C"/>
    <w:rsid w:val="00C72C85"/>
    <w:rsid w:val="00C72FFC"/>
    <w:rsid w:val="00C7306A"/>
    <w:rsid w:val="00C73FFA"/>
    <w:rsid w:val="00C76A82"/>
    <w:rsid w:val="00C775C9"/>
    <w:rsid w:val="00C77A3D"/>
    <w:rsid w:val="00C80F1F"/>
    <w:rsid w:val="00C80F86"/>
    <w:rsid w:val="00C8103B"/>
    <w:rsid w:val="00C816EE"/>
    <w:rsid w:val="00C81791"/>
    <w:rsid w:val="00C82563"/>
    <w:rsid w:val="00C82B1C"/>
    <w:rsid w:val="00C82BF1"/>
    <w:rsid w:val="00C83911"/>
    <w:rsid w:val="00C83A61"/>
    <w:rsid w:val="00C8440F"/>
    <w:rsid w:val="00C84C50"/>
    <w:rsid w:val="00C84C63"/>
    <w:rsid w:val="00C8563C"/>
    <w:rsid w:val="00C857B2"/>
    <w:rsid w:val="00C86BA3"/>
    <w:rsid w:val="00C87BB8"/>
    <w:rsid w:val="00C91E60"/>
    <w:rsid w:val="00C93108"/>
    <w:rsid w:val="00C93DAF"/>
    <w:rsid w:val="00C94EE0"/>
    <w:rsid w:val="00C9637D"/>
    <w:rsid w:val="00C968D0"/>
    <w:rsid w:val="00CA0038"/>
    <w:rsid w:val="00CA0DE6"/>
    <w:rsid w:val="00CA227B"/>
    <w:rsid w:val="00CA2BB1"/>
    <w:rsid w:val="00CA3359"/>
    <w:rsid w:val="00CA4A95"/>
    <w:rsid w:val="00CA4D45"/>
    <w:rsid w:val="00CA4E37"/>
    <w:rsid w:val="00CA5FD6"/>
    <w:rsid w:val="00CA7367"/>
    <w:rsid w:val="00CA7917"/>
    <w:rsid w:val="00CA792F"/>
    <w:rsid w:val="00CB0194"/>
    <w:rsid w:val="00CB05B5"/>
    <w:rsid w:val="00CB05C3"/>
    <w:rsid w:val="00CB0B8D"/>
    <w:rsid w:val="00CB0E4A"/>
    <w:rsid w:val="00CB0FFA"/>
    <w:rsid w:val="00CB1769"/>
    <w:rsid w:val="00CB2084"/>
    <w:rsid w:val="00CB261F"/>
    <w:rsid w:val="00CB27EB"/>
    <w:rsid w:val="00CB2AEA"/>
    <w:rsid w:val="00CB5EDE"/>
    <w:rsid w:val="00CB6ABC"/>
    <w:rsid w:val="00CB7038"/>
    <w:rsid w:val="00CB7D5F"/>
    <w:rsid w:val="00CC0472"/>
    <w:rsid w:val="00CC1461"/>
    <w:rsid w:val="00CC14F2"/>
    <w:rsid w:val="00CC20F6"/>
    <w:rsid w:val="00CC23B3"/>
    <w:rsid w:val="00CC2898"/>
    <w:rsid w:val="00CC2A6E"/>
    <w:rsid w:val="00CC2D2D"/>
    <w:rsid w:val="00CC3517"/>
    <w:rsid w:val="00CC44D1"/>
    <w:rsid w:val="00CC4D36"/>
    <w:rsid w:val="00CC57DA"/>
    <w:rsid w:val="00CC6A55"/>
    <w:rsid w:val="00CC6FE5"/>
    <w:rsid w:val="00CC786F"/>
    <w:rsid w:val="00CC7A70"/>
    <w:rsid w:val="00CD07CF"/>
    <w:rsid w:val="00CD0FE4"/>
    <w:rsid w:val="00CD1482"/>
    <w:rsid w:val="00CD3992"/>
    <w:rsid w:val="00CD3FDF"/>
    <w:rsid w:val="00CD425E"/>
    <w:rsid w:val="00CD48AE"/>
    <w:rsid w:val="00CD74A7"/>
    <w:rsid w:val="00CE02EA"/>
    <w:rsid w:val="00CE03D6"/>
    <w:rsid w:val="00CE0834"/>
    <w:rsid w:val="00CE1F27"/>
    <w:rsid w:val="00CE22BF"/>
    <w:rsid w:val="00CE262B"/>
    <w:rsid w:val="00CE312F"/>
    <w:rsid w:val="00CE3636"/>
    <w:rsid w:val="00CE36FA"/>
    <w:rsid w:val="00CE42D0"/>
    <w:rsid w:val="00CE4C80"/>
    <w:rsid w:val="00CE4D32"/>
    <w:rsid w:val="00CE5395"/>
    <w:rsid w:val="00CE5C4D"/>
    <w:rsid w:val="00CE6418"/>
    <w:rsid w:val="00CE68FE"/>
    <w:rsid w:val="00CE74DE"/>
    <w:rsid w:val="00CF004D"/>
    <w:rsid w:val="00CF1482"/>
    <w:rsid w:val="00CF16BD"/>
    <w:rsid w:val="00CF16E7"/>
    <w:rsid w:val="00CF1702"/>
    <w:rsid w:val="00CF17F2"/>
    <w:rsid w:val="00CF37D4"/>
    <w:rsid w:val="00CF4174"/>
    <w:rsid w:val="00CF46D3"/>
    <w:rsid w:val="00CF57A5"/>
    <w:rsid w:val="00CF6167"/>
    <w:rsid w:val="00CF681F"/>
    <w:rsid w:val="00CF6B30"/>
    <w:rsid w:val="00CF7AED"/>
    <w:rsid w:val="00D00930"/>
    <w:rsid w:val="00D00A81"/>
    <w:rsid w:val="00D01CBC"/>
    <w:rsid w:val="00D0282C"/>
    <w:rsid w:val="00D032AD"/>
    <w:rsid w:val="00D040D5"/>
    <w:rsid w:val="00D04635"/>
    <w:rsid w:val="00D04A5A"/>
    <w:rsid w:val="00D04F20"/>
    <w:rsid w:val="00D058AF"/>
    <w:rsid w:val="00D06D80"/>
    <w:rsid w:val="00D07B42"/>
    <w:rsid w:val="00D104AD"/>
    <w:rsid w:val="00D104F0"/>
    <w:rsid w:val="00D125E2"/>
    <w:rsid w:val="00D138CB"/>
    <w:rsid w:val="00D13EBF"/>
    <w:rsid w:val="00D141E4"/>
    <w:rsid w:val="00D14457"/>
    <w:rsid w:val="00D14F56"/>
    <w:rsid w:val="00D15DC3"/>
    <w:rsid w:val="00D167FD"/>
    <w:rsid w:val="00D16EBE"/>
    <w:rsid w:val="00D171D7"/>
    <w:rsid w:val="00D1779C"/>
    <w:rsid w:val="00D17CB1"/>
    <w:rsid w:val="00D20493"/>
    <w:rsid w:val="00D20804"/>
    <w:rsid w:val="00D20848"/>
    <w:rsid w:val="00D22CDF"/>
    <w:rsid w:val="00D22F5A"/>
    <w:rsid w:val="00D24502"/>
    <w:rsid w:val="00D24BCB"/>
    <w:rsid w:val="00D26400"/>
    <w:rsid w:val="00D31818"/>
    <w:rsid w:val="00D31900"/>
    <w:rsid w:val="00D31BBF"/>
    <w:rsid w:val="00D31DF4"/>
    <w:rsid w:val="00D33135"/>
    <w:rsid w:val="00D33F95"/>
    <w:rsid w:val="00D359E5"/>
    <w:rsid w:val="00D36EFA"/>
    <w:rsid w:val="00D37405"/>
    <w:rsid w:val="00D378A4"/>
    <w:rsid w:val="00D37B89"/>
    <w:rsid w:val="00D413B3"/>
    <w:rsid w:val="00D41991"/>
    <w:rsid w:val="00D428E4"/>
    <w:rsid w:val="00D432A0"/>
    <w:rsid w:val="00D44537"/>
    <w:rsid w:val="00D4599A"/>
    <w:rsid w:val="00D46504"/>
    <w:rsid w:val="00D46807"/>
    <w:rsid w:val="00D47511"/>
    <w:rsid w:val="00D50A52"/>
    <w:rsid w:val="00D50D5F"/>
    <w:rsid w:val="00D51130"/>
    <w:rsid w:val="00D53A7A"/>
    <w:rsid w:val="00D548CB"/>
    <w:rsid w:val="00D54DB3"/>
    <w:rsid w:val="00D5767D"/>
    <w:rsid w:val="00D60BB5"/>
    <w:rsid w:val="00D60D4A"/>
    <w:rsid w:val="00D6117F"/>
    <w:rsid w:val="00D6156F"/>
    <w:rsid w:val="00D61B9C"/>
    <w:rsid w:val="00D61F8B"/>
    <w:rsid w:val="00D62027"/>
    <w:rsid w:val="00D62AEB"/>
    <w:rsid w:val="00D6482E"/>
    <w:rsid w:val="00D64A31"/>
    <w:rsid w:val="00D650CC"/>
    <w:rsid w:val="00D66C41"/>
    <w:rsid w:val="00D702F7"/>
    <w:rsid w:val="00D710DD"/>
    <w:rsid w:val="00D7186C"/>
    <w:rsid w:val="00D7199D"/>
    <w:rsid w:val="00D73978"/>
    <w:rsid w:val="00D7464D"/>
    <w:rsid w:val="00D76B1E"/>
    <w:rsid w:val="00D81106"/>
    <w:rsid w:val="00D83171"/>
    <w:rsid w:val="00D841EE"/>
    <w:rsid w:val="00D8464E"/>
    <w:rsid w:val="00D847AD"/>
    <w:rsid w:val="00D84FE3"/>
    <w:rsid w:val="00D853B6"/>
    <w:rsid w:val="00D8589E"/>
    <w:rsid w:val="00D86388"/>
    <w:rsid w:val="00D86638"/>
    <w:rsid w:val="00D876DF"/>
    <w:rsid w:val="00D87B17"/>
    <w:rsid w:val="00D90697"/>
    <w:rsid w:val="00D908F6"/>
    <w:rsid w:val="00D90A19"/>
    <w:rsid w:val="00D916EC"/>
    <w:rsid w:val="00D92C05"/>
    <w:rsid w:val="00D932CF"/>
    <w:rsid w:val="00D95162"/>
    <w:rsid w:val="00D9569D"/>
    <w:rsid w:val="00D95A08"/>
    <w:rsid w:val="00DA089E"/>
    <w:rsid w:val="00DA1D84"/>
    <w:rsid w:val="00DA2C86"/>
    <w:rsid w:val="00DA461A"/>
    <w:rsid w:val="00DA4EFD"/>
    <w:rsid w:val="00DA6FF1"/>
    <w:rsid w:val="00DA7E4A"/>
    <w:rsid w:val="00DB0049"/>
    <w:rsid w:val="00DB076B"/>
    <w:rsid w:val="00DB24FC"/>
    <w:rsid w:val="00DB3159"/>
    <w:rsid w:val="00DB427B"/>
    <w:rsid w:val="00DB4486"/>
    <w:rsid w:val="00DB4729"/>
    <w:rsid w:val="00DB54D4"/>
    <w:rsid w:val="00DB5E95"/>
    <w:rsid w:val="00DB5F8C"/>
    <w:rsid w:val="00DB7364"/>
    <w:rsid w:val="00DB75D5"/>
    <w:rsid w:val="00DC08B2"/>
    <w:rsid w:val="00DC122A"/>
    <w:rsid w:val="00DC130A"/>
    <w:rsid w:val="00DC145D"/>
    <w:rsid w:val="00DC1E1F"/>
    <w:rsid w:val="00DC4F44"/>
    <w:rsid w:val="00DC53CE"/>
    <w:rsid w:val="00DC5F54"/>
    <w:rsid w:val="00DC724F"/>
    <w:rsid w:val="00DC782E"/>
    <w:rsid w:val="00DC7F67"/>
    <w:rsid w:val="00DC7F96"/>
    <w:rsid w:val="00DD0104"/>
    <w:rsid w:val="00DD23C0"/>
    <w:rsid w:val="00DD24A3"/>
    <w:rsid w:val="00DD4827"/>
    <w:rsid w:val="00DD4E1B"/>
    <w:rsid w:val="00DD543B"/>
    <w:rsid w:val="00DD5736"/>
    <w:rsid w:val="00DD5CED"/>
    <w:rsid w:val="00DD60BD"/>
    <w:rsid w:val="00DD714C"/>
    <w:rsid w:val="00DD7B1D"/>
    <w:rsid w:val="00DE0A41"/>
    <w:rsid w:val="00DE0E93"/>
    <w:rsid w:val="00DE1B5E"/>
    <w:rsid w:val="00DE3B26"/>
    <w:rsid w:val="00DE3F8D"/>
    <w:rsid w:val="00DE45FA"/>
    <w:rsid w:val="00DE4B79"/>
    <w:rsid w:val="00DE5AD7"/>
    <w:rsid w:val="00DE77A4"/>
    <w:rsid w:val="00DF22A9"/>
    <w:rsid w:val="00DF35BD"/>
    <w:rsid w:val="00DF3B73"/>
    <w:rsid w:val="00DF4FA6"/>
    <w:rsid w:val="00DF5180"/>
    <w:rsid w:val="00DF5591"/>
    <w:rsid w:val="00DF5694"/>
    <w:rsid w:val="00DF5900"/>
    <w:rsid w:val="00DF5FF5"/>
    <w:rsid w:val="00DF612A"/>
    <w:rsid w:val="00DF721A"/>
    <w:rsid w:val="00DF731F"/>
    <w:rsid w:val="00DF7363"/>
    <w:rsid w:val="00DF78A8"/>
    <w:rsid w:val="00DF7A76"/>
    <w:rsid w:val="00E014BC"/>
    <w:rsid w:val="00E01793"/>
    <w:rsid w:val="00E02A66"/>
    <w:rsid w:val="00E02A7E"/>
    <w:rsid w:val="00E05672"/>
    <w:rsid w:val="00E06770"/>
    <w:rsid w:val="00E06CD5"/>
    <w:rsid w:val="00E070BF"/>
    <w:rsid w:val="00E07E55"/>
    <w:rsid w:val="00E10155"/>
    <w:rsid w:val="00E1052F"/>
    <w:rsid w:val="00E11547"/>
    <w:rsid w:val="00E1368C"/>
    <w:rsid w:val="00E13C6E"/>
    <w:rsid w:val="00E1422A"/>
    <w:rsid w:val="00E14597"/>
    <w:rsid w:val="00E14A1E"/>
    <w:rsid w:val="00E160EC"/>
    <w:rsid w:val="00E16173"/>
    <w:rsid w:val="00E161CD"/>
    <w:rsid w:val="00E16A61"/>
    <w:rsid w:val="00E17869"/>
    <w:rsid w:val="00E17B38"/>
    <w:rsid w:val="00E20127"/>
    <w:rsid w:val="00E202AD"/>
    <w:rsid w:val="00E20632"/>
    <w:rsid w:val="00E20D1B"/>
    <w:rsid w:val="00E20F37"/>
    <w:rsid w:val="00E228DB"/>
    <w:rsid w:val="00E2337A"/>
    <w:rsid w:val="00E23F32"/>
    <w:rsid w:val="00E24B32"/>
    <w:rsid w:val="00E25A3E"/>
    <w:rsid w:val="00E260F8"/>
    <w:rsid w:val="00E2629C"/>
    <w:rsid w:val="00E279AB"/>
    <w:rsid w:val="00E27E38"/>
    <w:rsid w:val="00E27EB6"/>
    <w:rsid w:val="00E300BE"/>
    <w:rsid w:val="00E30226"/>
    <w:rsid w:val="00E305B7"/>
    <w:rsid w:val="00E30BC3"/>
    <w:rsid w:val="00E30D16"/>
    <w:rsid w:val="00E320EE"/>
    <w:rsid w:val="00E332FB"/>
    <w:rsid w:val="00E335DE"/>
    <w:rsid w:val="00E3596A"/>
    <w:rsid w:val="00E377F0"/>
    <w:rsid w:val="00E40E6A"/>
    <w:rsid w:val="00E419B4"/>
    <w:rsid w:val="00E41BBE"/>
    <w:rsid w:val="00E433E5"/>
    <w:rsid w:val="00E43B1D"/>
    <w:rsid w:val="00E45F5F"/>
    <w:rsid w:val="00E461C6"/>
    <w:rsid w:val="00E4662C"/>
    <w:rsid w:val="00E468F7"/>
    <w:rsid w:val="00E4693B"/>
    <w:rsid w:val="00E4718D"/>
    <w:rsid w:val="00E4734C"/>
    <w:rsid w:val="00E50318"/>
    <w:rsid w:val="00E50A34"/>
    <w:rsid w:val="00E510EE"/>
    <w:rsid w:val="00E52174"/>
    <w:rsid w:val="00E522A8"/>
    <w:rsid w:val="00E54176"/>
    <w:rsid w:val="00E5535B"/>
    <w:rsid w:val="00E5536D"/>
    <w:rsid w:val="00E55638"/>
    <w:rsid w:val="00E55CD9"/>
    <w:rsid w:val="00E5616D"/>
    <w:rsid w:val="00E56336"/>
    <w:rsid w:val="00E56F94"/>
    <w:rsid w:val="00E57615"/>
    <w:rsid w:val="00E57E90"/>
    <w:rsid w:val="00E61513"/>
    <w:rsid w:val="00E62426"/>
    <w:rsid w:val="00E6409E"/>
    <w:rsid w:val="00E64799"/>
    <w:rsid w:val="00E65DB2"/>
    <w:rsid w:val="00E668AE"/>
    <w:rsid w:val="00E66A24"/>
    <w:rsid w:val="00E66A4B"/>
    <w:rsid w:val="00E672B8"/>
    <w:rsid w:val="00E6749E"/>
    <w:rsid w:val="00E71052"/>
    <w:rsid w:val="00E723DA"/>
    <w:rsid w:val="00E72CA0"/>
    <w:rsid w:val="00E72EE8"/>
    <w:rsid w:val="00E74542"/>
    <w:rsid w:val="00E75C64"/>
    <w:rsid w:val="00E7637B"/>
    <w:rsid w:val="00E7710E"/>
    <w:rsid w:val="00E771E2"/>
    <w:rsid w:val="00E773EA"/>
    <w:rsid w:val="00E775EC"/>
    <w:rsid w:val="00E777ED"/>
    <w:rsid w:val="00E802B8"/>
    <w:rsid w:val="00E80934"/>
    <w:rsid w:val="00E823EB"/>
    <w:rsid w:val="00E83ED1"/>
    <w:rsid w:val="00E85797"/>
    <w:rsid w:val="00E864FC"/>
    <w:rsid w:val="00E87395"/>
    <w:rsid w:val="00E87498"/>
    <w:rsid w:val="00E9020B"/>
    <w:rsid w:val="00E9193F"/>
    <w:rsid w:val="00E92B28"/>
    <w:rsid w:val="00E92B6F"/>
    <w:rsid w:val="00E94525"/>
    <w:rsid w:val="00E94C69"/>
    <w:rsid w:val="00E95C38"/>
    <w:rsid w:val="00E979A7"/>
    <w:rsid w:val="00EA01DC"/>
    <w:rsid w:val="00EA095E"/>
    <w:rsid w:val="00EA0BEA"/>
    <w:rsid w:val="00EA0FDB"/>
    <w:rsid w:val="00EA13D3"/>
    <w:rsid w:val="00EA161E"/>
    <w:rsid w:val="00EA2C69"/>
    <w:rsid w:val="00EA2EA3"/>
    <w:rsid w:val="00EA30BF"/>
    <w:rsid w:val="00EA3136"/>
    <w:rsid w:val="00EA368F"/>
    <w:rsid w:val="00EA415A"/>
    <w:rsid w:val="00EA4BD3"/>
    <w:rsid w:val="00EA5082"/>
    <w:rsid w:val="00EA5D7B"/>
    <w:rsid w:val="00EA6520"/>
    <w:rsid w:val="00EA6CCE"/>
    <w:rsid w:val="00EA7FD3"/>
    <w:rsid w:val="00EB01BE"/>
    <w:rsid w:val="00EB39F1"/>
    <w:rsid w:val="00EB3AF7"/>
    <w:rsid w:val="00EB4724"/>
    <w:rsid w:val="00EB75D2"/>
    <w:rsid w:val="00EC029A"/>
    <w:rsid w:val="00EC0568"/>
    <w:rsid w:val="00EC14F8"/>
    <w:rsid w:val="00EC19E9"/>
    <w:rsid w:val="00EC1C08"/>
    <w:rsid w:val="00EC28B1"/>
    <w:rsid w:val="00EC3317"/>
    <w:rsid w:val="00EC35E2"/>
    <w:rsid w:val="00EC3849"/>
    <w:rsid w:val="00EC3A50"/>
    <w:rsid w:val="00EC3DE3"/>
    <w:rsid w:val="00EC545F"/>
    <w:rsid w:val="00EC5600"/>
    <w:rsid w:val="00EC58B1"/>
    <w:rsid w:val="00EC77E0"/>
    <w:rsid w:val="00EC7B9A"/>
    <w:rsid w:val="00ED0363"/>
    <w:rsid w:val="00ED03F0"/>
    <w:rsid w:val="00ED1A87"/>
    <w:rsid w:val="00ED1C3C"/>
    <w:rsid w:val="00ED2C00"/>
    <w:rsid w:val="00ED35C5"/>
    <w:rsid w:val="00ED4BA1"/>
    <w:rsid w:val="00ED4C0C"/>
    <w:rsid w:val="00ED5003"/>
    <w:rsid w:val="00ED5491"/>
    <w:rsid w:val="00ED56B7"/>
    <w:rsid w:val="00ED6FE9"/>
    <w:rsid w:val="00ED740F"/>
    <w:rsid w:val="00ED78C4"/>
    <w:rsid w:val="00ED7B84"/>
    <w:rsid w:val="00EE0800"/>
    <w:rsid w:val="00EE112A"/>
    <w:rsid w:val="00EE1C09"/>
    <w:rsid w:val="00EE361C"/>
    <w:rsid w:val="00EE3E41"/>
    <w:rsid w:val="00EE4706"/>
    <w:rsid w:val="00EE4818"/>
    <w:rsid w:val="00EE498C"/>
    <w:rsid w:val="00EE4DE4"/>
    <w:rsid w:val="00EE5077"/>
    <w:rsid w:val="00EE59AC"/>
    <w:rsid w:val="00EE5A0E"/>
    <w:rsid w:val="00EE5D5E"/>
    <w:rsid w:val="00EE5FF5"/>
    <w:rsid w:val="00EE6113"/>
    <w:rsid w:val="00EE6F63"/>
    <w:rsid w:val="00EE7059"/>
    <w:rsid w:val="00EE7B07"/>
    <w:rsid w:val="00EF0FE0"/>
    <w:rsid w:val="00EF1041"/>
    <w:rsid w:val="00EF1D4A"/>
    <w:rsid w:val="00EF1EE8"/>
    <w:rsid w:val="00EF20EB"/>
    <w:rsid w:val="00EF2254"/>
    <w:rsid w:val="00EF27C7"/>
    <w:rsid w:val="00EF2B59"/>
    <w:rsid w:val="00EF2E6F"/>
    <w:rsid w:val="00EF3496"/>
    <w:rsid w:val="00EF34B8"/>
    <w:rsid w:val="00EF4085"/>
    <w:rsid w:val="00EF42EC"/>
    <w:rsid w:val="00EF450E"/>
    <w:rsid w:val="00EF4BC3"/>
    <w:rsid w:val="00EF5039"/>
    <w:rsid w:val="00EF53D9"/>
    <w:rsid w:val="00EF54E5"/>
    <w:rsid w:val="00EF643D"/>
    <w:rsid w:val="00EF6578"/>
    <w:rsid w:val="00EF7478"/>
    <w:rsid w:val="00F00362"/>
    <w:rsid w:val="00F00757"/>
    <w:rsid w:val="00F00C95"/>
    <w:rsid w:val="00F00CF9"/>
    <w:rsid w:val="00F02C08"/>
    <w:rsid w:val="00F03352"/>
    <w:rsid w:val="00F033A3"/>
    <w:rsid w:val="00F038F4"/>
    <w:rsid w:val="00F0739D"/>
    <w:rsid w:val="00F110F2"/>
    <w:rsid w:val="00F11C49"/>
    <w:rsid w:val="00F120A0"/>
    <w:rsid w:val="00F1283A"/>
    <w:rsid w:val="00F1589F"/>
    <w:rsid w:val="00F15CE8"/>
    <w:rsid w:val="00F1636F"/>
    <w:rsid w:val="00F166D0"/>
    <w:rsid w:val="00F16DF8"/>
    <w:rsid w:val="00F16EFD"/>
    <w:rsid w:val="00F2045F"/>
    <w:rsid w:val="00F20FB0"/>
    <w:rsid w:val="00F2108E"/>
    <w:rsid w:val="00F21888"/>
    <w:rsid w:val="00F21F72"/>
    <w:rsid w:val="00F23031"/>
    <w:rsid w:val="00F23481"/>
    <w:rsid w:val="00F234E1"/>
    <w:rsid w:val="00F240E2"/>
    <w:rsid w:val="00F25230"/>
    <w:rsid w:val="00F253A4"/>
    <w:rsid w:val="00F254FB"/>
    <w:rsid w:val="00F271E3"/>
    <w:rsid w:val="00F2788A"/>
    <w:rsid w:val="00F30FEE"/>
    <w:rsid w:val="00F32CEF"/>
    <w:rsid w:val="00F336F6"/>
    <w:rsid w:val="00F34230"/>
    <w:rsid w:val="00F34580"/>
    <w:rsid w:val="00F34A18"/>
    <w:rsid w:val="00F34B1D"/>
    <w:rsid w:val="00F34DEF"/>
    <w:rsid w:val="00F355C8"/>
    <w:rsid w:val="00F35622"/>
    <w:rsid w:val="00F35732"/>
    <w:rsid w:val="00F35F2A"/>
    <w:rsid w:val="00F40459"/>
    <w:rsid w:val="00F41122"/>
    <w:rsid w:val="00F41F7F"/>
    <w:rsid w:val="00F4225C"/>
    <w:rsid w:val="00F42E21"/>
    <w:rsid w:val="00F44187"/>
    <w:rsid w:val="00F445EE"/>
    <w:rsid w:val="00F44CC8"/>
    <w:rsid w:val="00F45236"/>
    <w:rsid w:val="00F47095"/>
    <w:rsid w:val="00F478FB"/>
    <w:rsid w:val="00F501F6"/>
    <w:rsid w:val="00F502DD"/>
    <w:rsid w:val="00F510AE"/>
    <w:rsid w:val="00F51772"/>
    <w:rsid w:val="00F51877"/>
    <w:rsid w:val="00F53C55"/>
    <w:rsid w:val="00F55C62"/>
    <w:rsid w:val="00F570D2"/>
    <w:rsid w:val="00F5798C"/>
    <w:rsid w:val="00F601B2"/>
    <w:rsid w:val="00F60315"/>
    <w:rsid w:val="00F61451"/>
    <w:rsid w:val="00F61FA7"/>
    <w:rsid w:val="00F6316A"/>
    <w:rsid w:val="00F64C99"/>
    <w:rsid w:val="00F6512B"/>
    <w:rsid w:val="00F65A6C"/>
    <w:rsid w:val="00F66783"/>
    <w:rsid w:val="00F66C06"/>
    <w:rsid w:val="00F67F33"/>
    <w:rsid w:val="00F7041A"/>
    <w:rsid w:val="00F705E4"/>
    <w:rsid w:val="00F716BF"/>
    <w:rsid w:val="00F7294A"/>
    <w:rsid w:val="00F72DDF"/>
    <w:rsid w:val="00F732B4"/>
    <w:rsid w:val="00F73FAF"/>
    <w:rsid w:val="00F74159"/>
    <w:rsid w:val="00F74399"/>
    <w:rsid w:val="00F74D64"/>
    <w:rsid w:val="00F750AA"/>
    <w:rsid w:val="00F751B9"/>
    <w:rsid w:val="00F75D7E"/>
    <w:rsid w:val="00F76B05"/>
    <w:rsid w:val="00F76B51"/>
    <w:rsid w:val="00F8196C"/>
    <w:rsid w:val="00F8226B"/>
    <w:rsid w:val="00F823BC"/>
    <w:rsid w:val="00F83449"/>
    <w:rsid w:val="00F8400A"/>
    <w:rsid w:val="00F848D2"/>
    <w:rsid w:val="00F854CF"/>
    <w:rsid w:val="00F8567D"/>
    <w:rsid w:val="00F860BE"/>
    <w:rsid w:val="00F867D2"/>
    <w:rsid w:val="00F86952"/>
    <w:rsid w:val="00F87838"/>
    <w:rsid w:val="00F90A22"/>
    <w:rsid w:val="00F913DE"/>
    <w:rsid w:val="00F92D23"/>
    <w:rsid w:val="00F931E8"/>
    <w:rsid w:val="00F9491A"/>
    <w:rsid w:val="00F94BA1"/>
    <w:rsid w:val="00F94C4E"/>
    <w:rsid w:val="00F9512F"/>
    <w:rsid w:val="00F95A47"/>
    <w:rsid w:val="00F9672A"/>
    <w:rsid w:val="00F96FFC"/>
    <w:rsid w:val="00F971DE"/>
    <w:rsid w:val="00F97613"/>
    <w:rsid w:val="00F97750"/>
    <w:rsid w:val="00FA0063"/>
    <w:rsid w:val="00FA0EC8"/>
    <w:rsid w:val="00FA10BE"/>
    <w:rsid w:val="00FA17DA"/>
    <w:rsid w:val="00FA2291"/>
    <w:rsid w:val="00FA282E"/>
    <w:rsid w:val="00FA2DE5"/>
    <w:rsid w:val="00FA33F7"/>
    <w:rsid w:val="00FA34F5"/>
    <w:rsid w:val="00FA4298"/>
    <w:rsid w:val="00FA7F77"/>
    <w:rsid w:val="00FB0311"/>
    <w:rsid w:val="00FB099A"/>
    <w:rsid w:val="00FB1B88"/>
    <w:rsid w:val="00FB23CE"/>
    <w:rsid w:val="00FB2824"/>
    <w:rsid w:val="00FB3140"/>
    <w:rsid w:val="00FB4786"/>
    <w:rsid w:val="00FB4C7F"/>
    <w:rsid w:val="00FB5252"/>
    <w:rsid w:val="00FB550C"/>
    <w:rsid w:val="00FB560E"/>
    <w:rsid w:val="00FB6705"/>
    <w:rsid w:val="00FB6B79"/>
    <w:rsid w:val="00FC0D04"/>
    <w:rsid w:val="00FC15D2"/>
    <w:rsid w:val="00FC209D"/>
    <w:rsid w:val="00FC24A2"/>
    <w:rsid w:val="00FC2A53"/>
    <w:rsid w:val="00FC45DE"/>
    <w:rsid w:val="00FC4DA0"/>
    <w:rsid w:val="00FC58B5"/>
    <w:rsid w:val="00FC5AD9"/>
    <w:rsid w:val="00FC5F84"/>
    <w:rsid w:val="00FC68C4"/>
    <w:rsid w:val="00FC6FD8"/>
    <w:rsid w:val="00FD07DE"/>
    <w:rsid w:val="00FD09E1"/>
    <w:rsid w:val="00FD0E3A"/>
    <w:rsid w:val="00FD0E6E"/>
    <w:rsid w:val="00FD1EE4"/>
    <w:rsid w:val="00FD3FE2"/>
    <w:rsid w:val="00FD55AD"/>
    <w:rsid w:val="00FD5979"/>
    <w:rsid w:val="00FD5EAC"/>
    <w:rsid w:val="00FD6829"/>
    <w:rsid w:val="00FD6C9E"/>
    <w:rsid w:val="00FE093D"/>
    <w:rsid w:val="00FE11D5"/>
    <w:rsid w:val="00FE2655"/>
    <w:rsid w:val="00FE2D3F"/>
    <w:rsid w:val="00FE34F7"/>
    <w:rsid w:val="00FE37F6"/>
    <w:rsid w:val="00FE39F5"/>
    <w:rsid w:val="00FE3AD1"/>
    <w:rsid w:val="00FE3B40"/>
    <w:rsid w:val="00FE45D7"/>
    <w:rsid w:val="00FE5282"/>
    <w:rsid w:val="00FE62F0"/>
    <w:rsid w:val="00FE644B"/>
    <w:rsid w:val="00FE651C"/>
    <w:rsid w:val="00FE7E41"/>
    <w:rsid w:val="00FF0488"/>
    <w:rsid w:val="00FF287E"/>
    <w:rsid w:val="00FF2C03"/>
    <w:rsid w:val="00FF34C4"/>
    <w:rsid w:val="00FF36BB"/>
    <w:rsid w:val="00FF3D0E"/>
    <w:rsid w:val="00FF3D66"/>
    <w:rsid w:val="00FF4C88"/>
    <w:rsid w:val="00FF5CA5"/>
    <w:rsid w:val="00FF66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0D1"/>
  </w:style>
  <w:style w:type="paragraph" w:styleId="1">
    <w:name w:val="heading 1"/>
    <w:basedOn w:val="a"/>
    <w:next w:val="a"/>
    <w:link w:val="10"/>
    <w:qFormat/>
    <w:rsid w:val="005B0D7D"/>
    <w:pPr>
      <w:keepNext/>
      <w:spacing w:before="240" w:after="60" w:line="240" w:lineRule="auto"/>
      <w:outlineLvl w:val="0"/>
    </w:pPr>
    <w:rPr>
      <w:rFonts w:ascii="Arial" w:eastAsia="Batang" w:hAnsi="Arial" w:cs="Arial"/>
      <w:b/>
      <w:bCs/>
      <w:kern w:val="32"/>
      <w:sz w:val="32"/>
      <w:szCs w:val="32"/>
      <w:lang w:eastAsia="ko-KR"/>
    </w:rPr>
  </w:style>
  <w:style w:type="paragraph" w:styleId="2">
    <w:name w:val="heading 2"/>
    <w:basedOn w:val="a"/>
    <w:next w:val="a"/>
    <w:link w:val="20"/>
    <w:qFormat/>
    <w:rsid w:val="005B0D7D"/>
    <w:pPr>
      <w:keepNext/>
      <w:spacing w:before="240" w:after="60" w:line="240" w:lineRule="auto"/>
      <w:outlineLvl w:val="1"/>
    </w:pPr>
    <w:rPr>
      <w:rFonts w:ascii="Arial" w:eastAsia="Batang" w:hAnsi="Arial" w:cs="Arial"/>
      <w:b/>
      <w:bCs/>
      <w:i/>
      <w:iCs/>
      <w:sz w:val="28"/>
      <w:szCs w:val="28"/>
      <w:lang w:eastAsia="ko-KR"/>
    </w:rPr>
  </w:style>
  <w:style w:type="paragraph" w:styleId="3">
    <w:name w:val="heading 3"/>
    <w:basedOn w:val="a"/>
    <w:next w:val="a"/>
    <w:link w:val="30"/>
    <w:qFormat/>
    <w:rsid w:val="005B0D7D"/>
    <w:pPr>
      <w:keepNext/>
      <w:spacing w:before="240" w:after="60" w:line="240" w:lineRule="auto"/>
      <w:outlineLvl w:val="2"/>
    </w:pPr>
    <w:rPr>
      <w:rFonts w:ascii="Arial" w:eastAsia="Batang" w:hAnsi="Arial" w:cs="Arial"/>
      <w:b/>
      <w:bCs/>
      <w:sz w:val="26"/>
      <w:szCs w:val="26"/>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430D1"/>
    <w:pPr>
      <w:tabs>
        <w:tab w:val="center" w:pos="4677"/>
        <w:tab w:val="right" w:pos="9355"/>
      </w:tabs>
      <w:spacing w:after="0" w:line="240" w:lineRule="auto"/>
    </w:pPr>
  </w:style>
  <w:style w:type="character" w:customStyle="1" w:styleId="a4">
    <w:name w:val="Верхний колонтитул Знак"/>
    <w:basedOn w:val="a0"/>
    <w:link w:val="a3"/>
    <w:rsid w:val="000430D1"/>
  </w:style>
  <w:style w:type="character" w:customStyle="1" w:styleId="10">
    <w:name w:val="Заголовок 1 Знак"/>
    <w:basedOn w:val="a0"/>
    <w:link w:val="1"/>
    <w:rsid w:val="005B0D7D"/>
    <w:rPr>
      <w:rFonts w:ascii="Arial" w:eastAsia="Batang" w:hAnsi="Arial" w:cs="Arial"/>
      <w:b/>
      <w:bCs/>
      <w:kern w:val="32"/>
      <w:sz w:val="32"/>
      <w:szCs w:val="32"/>
      <w:lang w:eastAsia="ko-KR"/>
    </w:rPr>
  </w:style>
  <w:style w:type="character" w:customStyle="1" w:styleId="20">
    <w:name w:val="Заголовок 2 Знак"/>
    <w:basedOn w:val="a0"/>
    <w:link w:val="2"/>
    <w:rsid w:val="005B0D7D"/>
    <w:rPr>
      <w:rFonts w:ascii="Arial" w:eastAsia="Batang" w:hAnsi="Arial" w:cs="Arial"/>
      <w:b/>
      <w:bCs/>
      <w:i/>
      <w:iCs/>
      <w:sz w:val="28"/>
      <w:szCs w:val="28"/>
      <w:lang w:eastAsia="ko-KR"/>
    </w:rPr>
  </w:style>
  <w:style w:type="character" w:customStyle="1" w:styleId="30">
    <w:name w:val="Заголовок 3 Знак"/>
    <w:basedOn w:val="a0"/>
    <w:link w:val="3"/>
    <w:rsid w:val="005B0D7D"/>
    <w:rPr>
      <w:rFonts w:ascii="Arial" w:eastAsia="Batang" w:hAnsi="Arial" w:cs="Arial"/>
      <w:b/>
      <w:bCs/>
      <w:sz w:val="26"/>
      <w:szCs w:val="26"/>
      <w:lang w:eastAsia="ko-KR"/>
    </w:rPr>
  </w:style>
  <w:style w:type="numbering" w:customStyle="1" w:styleId="11">
    <w:name w:val="Нет списка1"/>
    <w:next w:val="a2"/>
    <w:semiHidden/>
    <w:rsid w:val="005B0D7D"/>
  </w:style>
  <w:style w:type="paragraph" w:styleId="a5">
    <w:name w:val="footer"/>
    <w:basedOn w:val="a"/>
    <w:link w:val="a6"/>
    <w:rsid w:val="005B0D7D"/>
    <w:pPr>
      <w:tabs>
        <w:tab w:val="center" w:pos="4677"/>
        <w:tab w:val="right" w:pos="9355"/>
      </w:tabs>
      <w:spacing w:after="0" w:line="240" w:lineRule="auto"/>
    </w:pPr>
    <w:rPr>
      <w:rFonts w:ascii="Times New Roman" w:eastAsia="Batang" w:hAnsi="Times New Roman" w:cs="Times New Roman"/>
      <w:sz w:val="24"/>
      <w:szCs w:val="24"/>
      <w:lang w:eastAsia="ko-KR"/>
    </w:rPr>
  </w:style>
  <w:style w:type="character" w:customStyle="1" w:styleId="a6">
    <w:name w:val="Нижний колонтитул Знак"/>
    <w:basedOn w:val="a0"/>
    <w:link w:val="a5"/>
    <w:rsid w:val="005B0D7D"/>
    <w:rPr>
      <w:rFonts w:ascii="Times New Roman" w:eastAsia="Batang" w:hAnsi="Times New Roman" w:cs="Times New Roman"/>
      <w:sz w:val="24"/>
      <w:szCs w:val="24"/>
      <w:lang w:eastAsia="ko-KR"/>
    </w:rPr>
  </w:style>
  <w:style w:type="character" w:styleId="a7">
    <w:name w:val="page number"/>
    <w:rsid w:val="005B0D7D"/>
    <w:rPr>
      <w:rFonts w:cs="Times New Roman"/>
    </w:rPr>
  </w:style>
  <w:style w:type="paragraph" w:styleId="a8">
    <w:name w:val="Document Map"/>
    <w:basedOn w:val="a"/>
    <w:link w:val="a9"/>
    <w:semiHidden/>
    <w:rsid w:val="005B0D7D"/>
    <w:pPr>
      <w:shd w:val="clear" w:color="auto" w:fill="000080"/>
      <w:spacing w:after="0" w:line="240" w:lineRule="auto"/>
    </w:pPr>
    <w:rPr>
      <w:rFonts w:ascii="Tahoma" w:eastAsia="Batang" w:hAnsi="Tahoma" w:cs="Tahoma"/>
      <w:sz w:val="20"/>
      <w:szCs w:val="20"/>
      <w:lang w:eastAsia="ko-KR"/>
    </w:rPr>
  </w:style>
  <w:style w:type="character" w:customStyle="1" w:styleId="a9">
    <w:name w:val="Схема документа Знак"/>
    <w:basedOn w:val="a0"/>
    <w:link w:val="a8"/>
    <w:semiHidden/>
    <w:rsid w:val="005B0D7D"/>
    <w:rPr>
      <w:rFonts w:ascii="Tahoma" w:eastAsia="Batang" w:hAnsi="Tahoma" w:cs="Tahoma"/>
      <w:sz w:val="20"/>
      <w:szCs w:val="20"/>
      <w:shd w:val="clear" w:color="auto" w:fill="000080"/>
      <w:lang w:eastAsia="ko-KR"/>
    </w:rPr>
  </w:style>
  <w:style w:type="table" w:styleId="aa">
    <w:name w:val="Table Grid"/>
    <w:basedOn w:val="a1"/>
    <w:rsid w:val="005B0D7D"/>
    <w:pPr>
      <w:spacing w:after="0" w:line="240" w:lineRule="auto"/>
    </w:pPr>
    <w:rPr>
      <w:rFonts w:ascii="Times New Roman" w:eastAsia="Batang"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rsid w:val="005B0D7D"/>
    <w:pPr>
      <w:spacing w:after="0" w:line="240" w:lineRule="auto"/>
      <w:jc w:val="both"/>
    </w:pPr>
    <w:rPr>
      <w:rFonts w:ascii="Verdana" w:eastAsia="Batang" w:hAnsi="Verdana" w:cs="Times New Roman"/>
      <w:sz w:val="20"/>
      <w:szCs w:val="20"/>
      <w:lang w:eastAsia="ru-RU"/>
    </w:rPr>
  </w:style>
  <w:style w:type="character" w:customStyle="1" w:styleId="ac">
    <w:name w:val="Основной текст Знак"/>
    <w:basedOn w:val="a0"/>
    <w:link w:val="ab"/>
    <w:rsid w:val="005B0D7D"/>
    <w:rPr>
      <w:rFonts w:ascii="Verdana" w:eastAsia="Batang" w:hAnsi="Verdana" w:cs="Times New Roman"/>
      <w:sz w:val="20"/>
      <w:szCs w:val="20"/>
      <w:lang w:eastAsia="ru-RU"/>
    </w:rPr>
  </w:style>
  <w:style w:type="character" w:customStyle="1" w:styleId="FontStyle92">
    <w:name w:val="Font Style92"/>
    <w:rsid w:val="005B0D7D"/>
    <w:rPr>
      <w:rFonts w:ascii="Times New Roman" w:hAnsi="Times New Roman"/>
      <w:sz w:val="24"/>
    </w:rPr>
  </w:style>
  <w:style w:type="paragraph" w:customStyle="1" w:styleId="12">
    <w:name w:val="Абзац списка1"/>
    <w:basedOn w:val="a"/>
    <w:rsid w:val="005B0D7D"/>
    <w:pPr>
      <w:spacing w:after="0" w:line="240" w:lineRule="auto"/>
      <w:ind w:left="720"/>
      <w:contextualSpacing/>
    </w:pPr>
    <w:rPr>
      <w:rFonts w:ascii="Times New Roman" w:eastAsia="Batang" w:hAnsi="Times New Roman" w:cs="Times New Roman"/>
      <w:sz w:val="20"/>
      <w:szCs w:val="20"/>
      <w:lang w:eastAsia="ru-RU"/>
    </w:rPr>
  </w:style>
  <w:style w:type="paragraph" w:customStyle="1" w:styleId="13">
    <w:name w:val="Без интервала1"/>
    <w:link w:val="NoSpacingChar1"/>
    <w:rsid w:val="005B0D7D"/>
    <w:pPr>
      <w:widowControl w:val="0"/>
      <w:autoSpaceDE w:val="0"/>
      <w:autoSpaceDN w:val="0"/>
      <w:adjustRightInd w:val="0"/>
      <w:spacing w:after="0" w:line="240" w:lineRule="auto"/>
      <w:ind w:left="57"/>
      <w:jc w:val="both"/>
    </w:pPr>
    <w:rPr>
      <w:rFonts w:ascii="Times New Roman" w:eastAsia="Batang" w:hAnsi="Times New Roman" w:cs="Times New Roman"/>
      <w:sz w:val="24"/>
      <w:szCs w:val="24"/>
      <w:lang w:eastAsia="ru-RU"/>
    </w:rPr>
  </w:style>
  <w:style w:type="character" w:customStyle="1" w:styleId="NoSpacingChar1">
    <w:name w:val="No Spacing Char1"/>
    <w:link w:val="13"/>
    <w:locked/>
    <w:rsid w:val="005B0D7D"/>
    <w:rPr>
      <w:rFonts w:ascii="Times New Roman" w:eastAsia="Batang" w:hAnsi="Times New Roman" w:cs="Times New Roman"/>
      <w:sz w:val="24"/>
      <w:szCs w:val="24"/>
      <w:lang w:eastAsia="ru-RU"/>
    </w:rPr>
  </w:style>
  <w:style w:type="paragraph" w:customStyle="1" w:styleId="ConsPlusNormal">
    <w:name w:val="ConsPlusNormal"/>
    <w:link w:val="ConsPlusNormal0"/>
    <w:rsid w:val="005B0D7D"/>
    <w:pPr>
      <w:widowControl w:val="0"/>
      <w:autoSpaceDE w:val="0"/>
      <w:autoSpaceDN w:val="0"/>
      <w:adjustRightInd w:val="0"/>
      <w:spacing w:after="0" w:line="240" w:lineRule="auto"/>
      <w:ind w:firstLine="720"/>
    </w:pPr>
    <w:rPr>
      <w:rFonts w:ascii="Arial" w:eastAsia="Batang" w:hAnsi="Arial" w:cs="Arial"/>
      <w:sz w:val="20"/>
      <w:szCs w:val="20"/>
      <w:lang w:eastAsia="ru-RU"/>
    </w:rPr>
  </w:style>
  <w:style w:type="character" w:customStyle="1" w:styleId="ConsPlusNormal0">
    <w:name w:val="ConsPlusNormal Знак"/>
    <w:link w:val="ConsPlusNormal"/>
    <w:locked/>
    <w:rsid w:val="005B0D7D"/>
    <w:rPr>
      <w:rFonts w:ascii="Arial" w:eastAsia="Batang" w:hAnsi="Arial" w:cs="Arial"/>
      <w:sz w:val="20"/>
      <w:szCs w:val="20"/>
      <w:lang w:eastAsia="ru-RU"/>
    </w:rPr>
  </w:style>
  <w:style w:type="character" w:customStyle="1" w:styleId="FontStyle17">
    <w:name w:val="Font Style17"/>
    <w:rsid w:val="005B0D7D"/>
    <w:rPr>
      <w:rFonts w:ascii="Times New Roman" w:hAnsi="Times New Roman"/>
      <w:sz w:val="26"/>
    </w:rPr>
  </w:style>
  <w:style w:type="paragraph" w:styleId="14">
    <w:name w:val="toc 1"/>
    <w:basedOn w:val="a"/>
    <w:next w:val="a"/>
    <w:autoRedefine/>
    <w:rsid w:val="005B0D7D"/>
    <w:pPr>
      <w:spacing w:after="0" w:line="240" w:lineRule="auto"/>
    </w:pPr>
    <w:rPr>
      <w:rFonts w:ascii="Times New Roman" w:eastAsia="Batang" w:hAnsi="Times New Roman" w:cs="Times New Roman"/>
      <w:sz w:val="24"/>
      <w:szCs w:val="24"/>
      <w:lang w:eastAsia="ko-KR"/>
    </w:rPr>
  </w:style>
  <w:style w:type="paragraph" w:styleId="21">
    <w:name w:val="toc 2"/>
    <w:basedOn w:val="a"/>
    <w:next w:val="a"/>
    <w:autoRedefine/>
    <w:rsid w:val="005B0D7D"/>
    <w:pPr>
      <w:tabs>
        <w:tab w:val="right" w:leader="dot" w:pos="9345"/>
      </w:tabs>
      <w:spacing w:after="0" w:line="240" w:lineRule="auto"/>
      <w:ind w:firstLine="284"/>
    </w:pPr>
    <w:rPr>
      <w:rFonts w:ascii="Times New Roman" w:eastAsia="Batang" w:hAnsi="Times New Roman" w:cs="Times New Roman"/>
      <w:sz w:val="24"/>
      <w:szCs w:val="24"/>
      <w:lang w:eastAsia="ko-KR"/>
    </w:rPr>
  </w:style>
  <w:style w:type="paragraph" w:styleId="31">
    <w:name w:val="toc 3"/>
    <w:basedOn w:val="a"/>
    <w:next w:val="a"/>
    <w:autoRedefine/>
    <w:rsid w:val="005B0D7D"/>
    <w:pPr>
      <w:spacing w:after="0" w:line="240" w:lineRule="auto"/>
      <w:ind w:left="480"/>
    </w:pPr>
    <w:rPr>
      <w:rFonts w:ascii="Times New Roman" w:eastAsia="Batang" w:hAnsi="Times New Roman" w:cs="Times New Roman"/>
      <w:sz w:val="24"/>
      <w:szCs w:val="24"/>
      <w:lang w:eastAsia="ko-KR"/>
    </w:rPr>
  </w:style>
  <w:style w:type="character" w:styleId="ad">
    <w:name w:val="Hyperlink"/>
    <w:rsid w:val="005B0D7D"/>
    <w:rPr>
      <w:color w:val="0000FF"/>
      <w:u w:val="single"/>
    </w:rPr>
  </w:style>
  <w:style w:type="paragraph" w:styleId="ae">
    <w:name w:val="footnote text"/>
    <w:basedOn w:val="a"/>
    <w:link w:val="af"/>
    <w:semiHidden/>
    <w:rsid w:val="005B0D7D"/>
    <w:pPr>
      <w:spacing w:after="0" w:line="240" w:lineRule="auto"/>
    </w:pPr>
    <w:rPr>
      <w:rFonts w:ascii="Times New Roman" w:eastAsia="Batang" w:hAnsi="Times New Roman" w:cs="Times New Roman"/>
      <w:sz w:val="20"/>
      <w:szCs w:val="20"/>
      <w:lang w:eastAsia="ko-KR"/>
    </w:rPr>
  </w:style>
  <w:style w:type="character" w:customStyle="1" w:styleId="af">
    <w:name w:val="Текст сноски Знак"/>
    <w:basedOn w:val="a0"/>
    <w:link w:val="ae"/>
    <w:semiHidden/>
    <w:rsid w:val="005B0D7D"/>
    <w:rPr>
      <w:rFonts w:ascii="Times New Roman" w:eastAsia="Batang" w:hAnsi="Times New Roman" w:cs="Times New Roman"/>
      <w:sz w:val="20"/>
      <w:szCs w:val="20"/>
      <w:lang w:eastAsia="ko-KR"/>
    </w:rPr>
  </w:style>
  <w:style w:type="character" w:styleId="af0">
    <w:name w:val="footnote reference"/>
    <w:semiHidden/>
    <w:rsid w:val="005B0D7D"/>
    <w:rPr>
      <w:vertAlign w:val="superscript"/>
    </w:rPr>
  </w:style>
  <w:style w:type="paragraph" w:styleId="af1">
    <w:name w:val="Body Text Indent"/>
    <w:basedOn w:val="a"/>
    <w:link w:val="af2"/>
    <w:rsid w:val="005B0D7D"/>
    <w:pPr>
      <w:spacing w:after="120" w:line="240" w:lineRule="auto"/>
      <w:ind w:left="283"/>
    </w:pPr>
    <w:rPr>
      <w:rFonts w:ascii="Times New Roman" w:eastAsia="Batang" w:hAnsi="Times New Roman" w:cs="Times New Roman"/>
      <w:sz w:val="24"/>
      <w:szCs w:val="24"/>
      <w:lang w:eastAsia="ko-KR"/>
    </w:rPr>
  </w:style>
  <w:style w:type="character" w:customStyle="1" w:styleId="af2">
    <w:name w:val="Основной текст с отступом Знак"/>
    <w:basedOn w:val="a0"/>
    <w:link w:val="af1"/>
    <w:rsid w:val="005B0D7D"/>
    <w:rPr>
      <w:rFonts w:ascii="Times New Roman" w:eastAsia="Batang" w:hAnsi="Times New Roman" w:cs="Times New Roman"/>
      <w:sz w:val="24"/>
      <w:szCs w:val="24"/>
      <w:lang w:eastAsia="ko-KR"/>
    </w:rPr>
  </w:style>
  <w:style w:type="paragraph" w:styleId="22">
    <w:name w:val="Body Text Indent 2"/>
    <w:basedOn w:val="a"/>
    <w:link w:val="23"/>
    <w:rsid w:val="005B0D7D"/>
    <w:pPr>
      <w:spacing w:after="120" w:line="480" w:lineRule="auto"/>
      <w:ind w:left="283"/>
    </w:pPr>
    <w:rPr>
      <w:rFonts w:ascii="Times New Roman" w:eastAsia="Batang" w:hAnsi="Times New Roman" w:cs="Times New Roman"/>
      <w:sz w:val="24"/>
      <w:szCs w:val="24"/>
      <w:lang w:eastAsia="ru-RU"/>
    </w:rPr>
  </w:style>
  <w:style w:type="character" w:customStyle="1" w:styleId="23">
    <w:name w:val="Основной текст с отступом 2 Знак"/>
    <w:basedOn w:val="a0"/>
    <w:link w:val="22"/>
    <w:rsid w:val="005B0D7D"/>
    <w:rPr>
      <w:rFonts w:ascii="Times New Roman" w:eastAsia="Batang" w:hAnsi="Times New Roman" w:cs="Times New Roman"/>
      <w:sz w:val="24"/>
      <w:szCs w:val="24"/>
      <w:lang w:eastAsia="ru-RU"/>
    </w:rPr>
  </w:style>
  <w:style w:type="paragraph" w:styleId="af3">
    <w:name w:val="Title"/>
    <w:basedOn w:val="a"/>
    <w:link w:val="af4"/>
    <w:qFormat/>
    <w:rsid w:val="005B0D7D"/>
    <w:pPr>
      <w:spacing w:after="0" w:line="240" w:lineRule="auto"/>
      <w:jc w:val="center"/>
    </w:pPr>
    <w:rPr>
      <w:rFonts w:ascii="Times New Roman" w:eastAsia="Batang" w:hAnsi="Times New Roman" w:cs="Times New Roman"/>
      <w:b/>
      <w:sz w:val="32"/>
      <w:szCs w:val="20"/>
      <w:lang w:eastAsia="ru-RU"/>
    </w:rPr>
  </w:style>
  <w:style w:type="character" w:customStyle="1" w:styleId="af4">
    <w:name w:val="Название Знак"/>
    <w:basedOn w:val="a0"/>
    <w:link w:val="af3"/>
    <w:rsid w:val="005B0D7D"/>
    <w:rPr>
      <w:rFonts w:ascii="Times New Roman" w:eastAsia="Batang" w:hAnsi="Times New Roman" w:cs="Times New Roman"/>
      <w:b/>
      <w:sz w:val="32"/>
      <w:szCs w:val="20"/>
      <w:lang w:eastAsia="ru-RU"/>
    </w:rPr>
  </w:style>
  <w:style w:type="paragraph" w:customStyle="1" w:styleId="15">
    <w:name w:val="Абзац списка1"/>
    <w:basedOn w:val="a"/>
    <w:rsid w:val="005B0D7D"/>
    <w:pPr>
      <w:ind w:left="720"/>
      <w:contextualSpacing/>
    </w:pPr>
    <w:rPr>
      <w:rFonts w:ascii="Calibri" w:eastAsia="Batang" w:hAnsi="Calibri" w:cs="Times New Roman"/>
      <w:lang w:eastAsia="ru-RU"/>
    </w:rPr>
  </w:style>
  <w:style w:type="character" w:customStyle="1" w:styleId="FontStyle58">
    <w:name w:val="Font Style58"/>
    <w:rsid w:val="005B0D7D"/>
    <w:rPr>
      <w:rFonts w:ascii="Times New Roman" w:hAnsi="Times New Roman"/>
      <w:sz w:val="22"/>
    </w:rPr>
  </w:style>
  <w:style w:type="paragraph" w:customStyle="1" w:styleId="Style13">
    <w:name w:val="Style13"/>
    <w:basedOn w:val="a"/>
    <w:rsid w:val="005B0D7D"/>
    <w:pPr>
      <w:widowControl w:val="0"/>
      <w:autoSpaceDE w:val="0"/>
      <w:autoSpaceDN w:val="0"/>
      <w:adjustRightInd w:val="0"/>
      <w:spacing w:after="0" w:line="240" w:lineRule="auto"/>
    </w:pPr>
    <w:rPr>
      <w:rFonts w:ascii="Times New Roman" w:eastAsia="Batang" w:hAnsi="Times New Roman" w:cs="Times New Roman"/>
      <w:sz w:val="24"/>
      <w:szCs w:val="24"/>
      <w:lang w:eastAsia="ru-RU"/>
    </w:rPr>
  </w:style>
  <w:style w:type="paragraph" w:customStyle="1" w:styleId="Style22">
    <w:name w:val="Style22"/>
    <w:basedOn w:val="a"/>
    <w:rsid w:val="005B0D7D"/>
    <w:pPr>
      <w:widowControl w:val="0"/>
      <w:autoSpaceDE w:val="0"/>
      <w:autoSpaceDN w:val="0"/>
      <w:adjustRightInd w:val="0"/>
      <w:spacing w:after="0" w:line="275" w:lineRule="exact"/>
      <w:jc w:val="both"/>
    </w:pPr>
    <w:rPr>
      <w:rFonts w:ascii="Times New Roman" w:eastAsia="Batang" w:hAnsi="Times New Roman" w:cs="Times New Roman"/>
      <w:sz w:val="24"/>
      <w:szCs w:val="24"/>
      <w:lang w:eastAsia="ru-RU"/>
    </w:rPr>
  </w:style>
  <w:style w:type="paragraph" w:customStyle="1" w:styleId="af5">
    <w:name w:val="Абзац"/>
    <w:basedOn w:val="a"/>
    <w:link w:val="af6"/>
    <w:rsid w:val="005B0D7D"/>
    <w:pPr>
      <w:spacing w:before="120" w:after="60" w:line="240" w:lineRule="auto"/>
      <w:ind w:firstLine="567"/>
      <w:jc w:val="both"/>
    </w:pPr>
    <w:rPr>
      <w:rFonts w:ascii="Times New Roman" w:eastAsia="Batang" w:hAnsi="Times New Roman" w:cs="Times New Roman"/>
      <w:sz w:val="24"/>
      <w:szCs w:val="24"/>
      <w:lang w:eastAsia="ru-RU"/>
    </w:rPr>
  </w:style>
  <w:style w:type="character" w:customStyle="1" w:styleId="af6">
    <w:name w:val="Абзац Знак"/>
    <w:link w:val="af5"/>
    <w:locked/>
    <w:rsid w:val="005B0D7D"/>
    <w:rPr>
      <w:rFonts w:ascii="Times New Roman" w:eastAsia="Batang" w:hAnsi="Times New Roman" w:cs="Times New Roman"/>
      <w:sz w:val="24"/>
      <w:szCs w:val="24"/>
      <w:lang w:eastAsia="ru-RU"/>
    </w:rPr>
  </w:style>
  <w:style w:type="paragraph" w:styleId="af7">
    <w:name w:val="Balloon Text"/>
    <w:basedOn w:val="a"/>
    <w:link w:val="af8"/>
    <w:rsid w:val="005B0D7D"/>
    <w:pPr>
      <w:spacing w:after="0" w:line="240" w:lineRule="auto"/>
    </w:pPr>
    <w:rPr>
      <w:rFonts w:ascii="Tahoma" w:eastAsia="Batang" w:hAnsi="Tahoma" w:cs="Times New Roman"/>
      <w:sz w:val="16"/>
      <w:szCs w:val="16"/>
      <w:lang w:eastAsia="ko-KR"/>
    </w:rPr>
  </w:style>
  <w:style w:type="character" w:customStyle="1" w:styleId="af8">
    <w:name w:val="Текст выноски Знак"/>
    <w:basedOn w:val="a0"/>
    <w:link w:val="af7"/>
    <w:rsid w:val="005B0D7D"/>
    <w:rPr>
      <w:rFonts w:ascii="Tahoma" w:eastAsia="Batang" w:hAnsi="Tahoma" w:cs="Times New Roman"/>
      <w:sz w:val="16"/>
      <w:szCs w:val="16"/>
      <w:lang w:eastAsia="ko-KR"/>
    </w:rPr>
  </w:style>
  <w:style w:type="paragraph" w:customStyle="1" w:styleId="16">
    <w:name w:val="Заголовок оглавления1"/>
    <w:basedOn w:val="1"/>
    <w:next w:val="a"/>
    <w:rsid w:val="005B0D7D"/>
    <w:pPr>
      <w:keepLines/>
      <w:spacing w:before="480" w:after="0" w:line="276" w:lineRule="auto"/>
      <w:outlineLvl w:val="9"/>
    </w:pPr>
    <w:rPr>
      <w:rFonts w:ascii="Cambria" w:hAnsi="Cambria" w:cs="Times New Roman"/>
      <w:color w:val="365F91"/>
      <w:kern w:val="0"/>
      <w:sz w:val="28"/>
      <w:szCs w:val="28"/>
      <w:lang w:eastAsia="ru-RU"/>
    </w:rPr>
  </w:style>
  <w:style w:type="paragraph" w:customStyle="1" w:styleId="af9">
    <w:name w:val="Знак Знак Знак"/>
    <w:basedOn w:val="a"/>
    <w:rsid w:val="005B0D7D"/>
    <w:pPr>
      <w:spacing w:before="100" w:beforeAutospacing="1" w:after="100" w:afterAutospacing="1" w:line="240" w:lineRule="auto"/>
    </w:pPr>
    <w:rPr>
      <w:rFonts w:ascii="Tahoma" w:eastAsia="Batang" w:hAnsi="Tahoma" w:cs="Tahoma"/>
      <w:sz w:val="20"/>
      <w:szCs w:val="20"/>
      <w:lang w:val="en-US"/>
    </w:rPr>
  </w:style>
  <w:style w:type="character" w:customStyle="1" w:styleId="FontStyle15">
    <w:name w:val="Font Style15"/>
    <w:rsid w:val="005B0D7D"/>
    <w:rPr>
      <w:rFonts w:ascii="Times New Roman" w:hAnsi="Times New Roman"/>
      <w:sz w:val="26"/>
    </w:rPr>
  </w:style>
  <w:style w:type="character" w:customStyle="1" w:styleId="HeaderChar">
    <w:name w:val="Header Char"/>
    <w:locked/>
    <w:rsid w:val="005B0D7D"/>
    <w:rPr>
      <w:rFonts w:cs="Times New Roman"/>
    </w:rPr>
  </w:style>
  <w:style w:type="character" w:customStyle="1" w:styleId="NoSpacingChar">
    <w:name w:val="No Spacing Char"/>
    <w:link w:val="17"/>
    <w:locked/>
    <w:rsid w:val="005B0D7D"/>
    <w:rPr>
      <w:rFonts w:eastAsia="Times New Roman" w:cs="Times New Roman"/>
    </w:rPr>
  </w:style>
  <w:style w:type="paragraph" w:customStyle="1" w:styleId="17">
    <w:name w:val="Без интервала1"/>
    <w:link w:val="NoSpacingChar"/>
    <w:rsid w:val="005B0D7D"/>
    <w:pPr>
      <w:spacing w:after="0" w:line="240" w:lineRule="auto"/>
    </w:pPr>
    <w:rPr>
      <w:rFonts w:eastAsia="Times New Roman" w:cs="Times New Roman"/>
    </w:rPr>
  </w:style>
  <w:style w:type="paragraph" w:customStyle="1" w:styleId="24">
    <w:name w:val="Без интервала2"/>
    <w:rsid w:val="005B0D7D"/>
    <w:pPr>
      <w:spacing w:after="0" w:line="240" w:lineRule="auto"/>
    </w:pPr>
    <w:rPr>
      <w:rFonts w:ascii="Calibri" w:eastAsia="Batang" w:hAnsi="Calibri" w:cs="Times New Roman"/>
    </w:rPr>
  </w:style>
  <w:style w:type="paragraph" w:styleId="afa">
    <w:name w:val="Plain Text"/>
    <w:basedOn w:val="a"/>
    <w:link w:val="afb"/>
    <w:rsid w:val="005B0D7D"/>
    <w:pPr>
      <w:spacing w:after="0" w:line="240" w:lineRule="auto"/>
    </w:pPr>
    <w:rPr>
      <w:rFonts w:ascii="Courier New" w:eastAsia="Batang" w:hAnsi="Courier New" w:cs="Courier New"/>
      <w:sz w:val="20"/>
      <w:szCs w:val="20"/>
      <w:lang w:eastAsia="ru-RU"/>
    </w:rPr>
  </w:style>
  <w:style w:type="character" w:customStyle="1" w:styleId="afb">
    <w:name w:val="Текст Знак"/>
    <w:basedOn w:val="a0"/>
    <w:link w:val="afa"/>
    <w:rsid w:val="005B0D7D"/>
    <w:rPr>
      <w:rFonts w:ascii="Courier New" w:eastAsia="Batang" w:hAnsi="Courier New" w:cs="Courier New"/>
      <w:sz w:val="20"/>
      <w:szCs w:val="20"/>
      <w:lang w:eastAsia="ru-RU"/>
    </w:rPr>
  </w:style>
  <w:style w:type="paragraph" w:customStyle="1" w:styleId="S">
    <w:name w:val="S_Обычный"/>
    <w:basedOn w:val="a"/>
    <w:link w:val="S0"/>
    <w:rsid w:val="005B0D7D"/>
    <w:pPr>
      <w:spacing w:after="0" w:line="360" w:lineRule="auto"/>
      <w:ind w:firstLine="709"/>
      <w:jc w:val="both"/>
    </w:pPr>
    <w:rPr>
      <w:rFonts w:ascii="Times New Roman" w:eastAsia="Batang" w:hAnsi="Times New Roman" w:cs="Times New Roman"/>
      <w:sz w:val="24"/>
      <w:szCs w:val="24"/>
      <w:lang w:eastAsia="ko-KR"/>
    </w:rPr>
  </w:style>
  <w:style w:type="character" w:customStyle="1" w:styleId="S0">
    <w:name w:val="S_Обычный Знак"/>
    <w:link w:val="S"/>
    <w:locked/>
    <w:rsid w:val="005B0D7D"/>
    <w:rPr>
      <w:rFonts w:ascii="Times New Roman" w:eastAsia="Batang" w:hAnsi="Times New Roman" w:cs="Times New Roman"/>
      <w:sz w:val="24"/>
      <w:szCs w:val="24"/>
      <w:lang w:eastAsia="ko-KR"/>
    </w:rPr>
  </w:style>
  <w:style w:type="character" w:styleId="afc">
    <w:name w:val="Emphasis"/>
    <w:qFormat/>
    <w:rsid w:val="005B0D7D"/>
    <w:rPr>
      <w:rFonts w:cs="Times New Roman"/>
      <w:i/>
      <w:iCs/>
    </w:rPr>
  </w:style>
  <w:style w:type="paragraph" w:styleId="4">
    <w:name w:val="toc 4"/>
    <w:basedOn w:val="a"/>
    <w:next w:val="a"/>
    <w:autoRedefine/>
    <w:rsid w:val="005B0D7D"/>
    <w:pPr>
      <w:spacing w:after="100"/>
      <w:ind w:left="660"/>
    </w:pPr>
    <w:rPr>
      <w:rFonts w:ascii="Calibri" w:eastAsia="Batang" w:hAnsi="Calibri" w:cs="Times New Roman"/>
      <w:lang w:eastAsia="ru-RU"/>
    </w:rPr>
  </w:style>
  <w:style w:type="paragraph" w:styleId="5">
    <w:name w:val="toc 5"/>
    <w:basedOn w:val="a"/>
    <w:next w:val="a"/>
    <w:autoRedefine/>
    <w:rsid w:val="005B0D7D"/>
    <w:pPr>
      <w:spacing w:after="100"/>
      <w:ind w:left="880"/>
    </w:pPr>
    <w:rPr>
      <w:rFonts w:ascii="Calibri" w:eastAsia="Batang" w:hAnsi="Calibri" w:cs="Times New Roman"/>
      <w:lang w:eastAsia="ru-RU"/>
    </w:rPr>
  </w:style>
  <w:style w:type="paragraph" w:styleId="6">
    <w:name w:val="toc 6"/>
    <w:basedOn w:val="a"/>
    <w:next w:val="a"/>
    <w:autoRedefine/>
    <w:rsid w:val="005B0D7D"/>
    <w:pPr>
      <w:spacing w:after="100"/>
      <w:ind w:left="1100"/>
    </w:pPr>
    <w:rPr>
      <w:rFonts w:ascii="Calibri" w:eastAsia="Batang" w:hAnsi="Calibri" w:cs="Times New Roman"/>
      <w:lang w:eastAsia="ru-RU"/>
    </w:rPr>
  </w:style>
  <w:style w:type="paragraph" w:styleId="7">
    <w:name w:val="toc 7"/>
    <w:basedOn w:val="a"/>
    <w:next w:val="a"/>
    <w:autoRedefine/>
    <w:rsid w:val="005B0D7D"/>
    <w:pPr>
      <w:spacing w:after="100"/>
      <w:ind w:left="1320"/>
    </w:pPr>
    <w:rPr>
      <w:rFonts w:ascii="Calibri" w:eastAsia="Batang" w:hAnsi="Calibri" w:cs="Times New Roman"/>
      <w:lang w:eastAsia="ru-RU"/>
    </w:rPr>
  </w:style>
  <w:style w:type="paragraph" w:styleId="8">
    <w:name w:val="toc 8"/>
    <w:basedOn w:val="a"/>
    <w:next w:val="a"/>
    <w:autoRedefine/>
    <w:rsid w:val="005B0D7D"/>
    <w:pPr>
      <w:spacing w:after="100"/>
      <w:ind w:left="1540"/>
    </w:pPr>
    <w:rPr>
      <w:rFonts w:ascii="Calibri" w:eastAsia="Batang" w:hAnsi="Calibri" w:cs="Times New Roman"/>
      <w:lang w:eastAsia="ru-RU"/>
    </w:rPr>
  </w:style>
  <w:style w:type="paragraph" w:styleId="9">
    <w:name w:val="toc 9"/>
    <w:basedOn w:val="a"/>
    <w:next w:val="a"/>
    <w:autoRedefine/>
    <w:rsid w:val="005B0D7D"/>
    <w:pPr>
      <w:spacing w:after="100"/>
      <w:ind w:left="1760"/>
    </w:pPr>
    <w:rPr>
      <w:rFonts w:ascii="Calibri" w:eastAsia="Batang" w:hAnsi="Calibri" w:cs="Times New Roman"/>
      <w:lang w:eastAsia="ru-RU"/>
    </w:rPr>
  </w:style>
  <w:style w:type="paragraph" w:styleId="afd">
    <w:name w:val="Normal (Web)"/>
    <w:basedOn w:val="a"/>
    <w:rsid w:val="005B0D7D"/>
    <w:pPr>
      <w:spacing w:before="100" w:beforeAutospacing="1" w:after="100" w:afterAutospacing="1" w:line="240" w:lineRule="auto"/>
    </w:pPr>
    <w:rPr>
      <w:rFonts w:ascii="Times New Roman" w:eastAsia="Batang" w:hAnsi="Times New Roman" w:cs="Times New Roman"/>
      <w:sz w:val="24"/>
      <w:szCs w:val="24"/>
      <w:lang w:eastAsia="ru-RU"/>
    </w:rPr>
  </w:style>
  <w:style w:type="character" w:styleId="afe">
    <w:name w:val="endnote reference"/>
    <w:rsid w:val="005B0D7D"/>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0D1"/>
  </w:style>
  <w:style w:type="paragraph" w:styleId="1">
    <w:name w:val="heading 1"/>
    <w:basedOn w:val="a"/>
    <w:next w:val="a"/>
    <w:link w:val="10"/>
    <w:qFormat/>
    <w:rsid w:val="005B0D7D"/>
    <w:pPr>
      <w:keepNext/>
      <w:spacing w:before="240" w:after="60" w:line="240" w:lineRule="auto"/>
      <w:outlineLvl w:val="0"/>
    </w:pPr>
    <w:rPr>
      <w:rFonts w:ascii="Arial" w:eastAsia="Batang" w:hAnsi="Arial" w:cs="Arial"/>
      <w:b/>
      <w:bCs/>
      <w:kern w:val="32"/>
      <w:sz w:val="32"/>
      <w:szCs w:val="32"/>
      <w:lang w:eastAsia="ko-KR"/>
    </w:rPr>
  </w:style>
  <w:style w:type="paragraph" w:styleId="2">
    <w:name w:val="heading 2"/>
    <w:basedOn w:val="a"/>
    <w:next w:val="a"/>
    <w:link w:val="20"/>
    <w:qFormat/>
    <w:rsid w:val="005B0D7D"/>
    <w:pPr>
      <w:keepNext/>
      <w:spacing w:before="240" w:after="60" w:line="240" w:lineRule="auto"/>
      <w:outlineLvl w:val="1"/>
    </w:pPr>
    <w:rPr>
      <w:rFonts w:ascii="Arial" w:eastAsia="Batang" w:hAnsi="Arial" w:cs="Arial"/>
      <w:b/>
      <w:bCs/>
      <w:i/>
      <w:iCs/>
      <w:sz w:val="28"/>
      <w:szCs w:val="28"/>
      <w:lang w:eastAsia="ko-KR"/>
    </w:rPr>
  </w:style>
  <w:style w:type="paragraph" w:styleId="3">
    <w:name w:val="heading 3"/>
    <w:basedOn w:val="a"/>
    <w:next w:val="a"/>
    <w:link w:val="30"/>
    <w:qFormat/>
    <w:rsid w:val="005B0D7D"/>
    <w:pPr>
      <w:keepNext/>
      <w:spacing w:before="240" w:after="60" w:line="240" w:lineRule="auto"/>
      <w:outlineLvl w:val="2"/>
    </w:pPr>
    <w:rPr>
      <w:rFonts w:ascii="Arial" w:eastAsia="Batang" w:hAnsi="Arial" w:cs="Arial"/>
      <w:b/>
      <w:bCs/>
      <w:sz w:val="26"/>
      <w:szCs w:val="26"/>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430D1"/>
    <w:pPr>
      <w:tabs>
        <w:tab w:val="center" w:pos="4677"/>
        <w:tab w:val="right" w:pos="9355"/>
      </w:tabs>
      <w:spacing w:after="0" w:line="240" w:lineRule="auto"/>
    </w:pPr>
  </w:style>
  <w:style w:type="character" w:customStyle="1" w:styleId="a4">
    <w:name w:val="Верхний колонтитул Знак"/>
    <w:basedOn w:val="a0"/>
    <w:link w:val="a3"/>
    <w:rsid w:val="000430D1"/>
  </w:style>
  <w:style w:type="character" w:customStyle="1" w:styleId="10">
    <w:name w:val="Заголовок 1 Знак"/>
    <w:basedOn w:val="a0"/>
    <w:link w:val="1"/>
    <w:rsid w:val="005B0D7D"/>
    <w:rPr>
      <w:rFonts w:ascii="Arial" w:eastAsia="Batang" w:hAnsi="Arial" w:cs="Arial"/>
      <w:b/>
      <w:bCs/>
      <w:kern w:val="32"/>
      <w:sz w:val="32"/>
      <w:szCs w:val="32"/>
      <w:lang w:eastAsia="ko-KR"/>
    </w:rPr>
  </w:style>
  <w:style w:type="character" w:customStyle="1" w:styleId="20">
    <w:name w:val="Заголовок 2 Знак"/>
    <w:basedOn w:val="a0"/>
    <w:link w:val="2"/>
    <w:rsid w:val="005B0D7D"/>
    <w:rPr>
      <w:rFonts w:ascii="Arial" w:eastAsia="Batang" w:hAnsi="Arial" w:cs="Arial"/>
      <w:b/>
      <w:bCs/>
      <w:i/>
      <w:iCs/>
      <w:sz w:val="28"/>
      <w:szCs w:val="28"/>
      <w:lang w:eastAsia="ko-KR"/>
    </w:rPr>
  </w:style>
  <w:style w:type="character" w:customStyle="1" w:styleId="30">
    <w:name w:val="Заголовок 3 Знак"/>
    <w:basedOn w:val="a0"/>
    <w:link w:val="3"/>
    <w:rsid w:val="005B0D7D"/>
    <w:rPr>
      <w:rFonts w:ascii="Arial" w:eastAsia="Batang" w:hAnsi="Arial" w:cs="Arial"/>
      <w:b/>
      <w:bCs/>
      <w:sz w:val="26"/>
      <w:szCs w:val="26"/>
      <w:lang w:eastAsia="ko-KR"/>
    </w:rPr>
  </w:style>
  <w:style w:type="numbering" w:customStyle="1" w:styleId="11">
    <w:name w:val="Нет списка1"/>
    <w:next w:val="a2"/>
    <w:semiHidden/>
    <w:rsid w:val="005B0D7D"/>
  </w:style>
  <w:style w:type="paragraph" w:styleId="a5">
    <w:name w:val="footer"/>
    <w:basedOn w:val="a"/>
    <w:link w:val="a6"/>
    <w:rsid w:val="005B0D7D"/>
    <w:pPr>
      <w:tabs>
        <w:tab w:val="center" w:pos="4677"/>
        <w:tab w:val="right" w:pos="9355"/>
      </w:tabs>
      <w:spacing w:after="0" w:line="240" w:lineRule="auto"/>
    </w:pPr>
    <w:rPr>
      <w:rFonts w:ascii="Times New Roman" w:eastAsia="Batang" w:hAnsi="Times New Roman" w:cs="Times New Roman"/>
      <w:sz w:val="24"/>
      <w:szCs w:val="24"/>
      <w:lang w:eastAsia="ko-KR"/>
    </w:rPr>
  </w:style>
  <w:style w:type="character" w:customStyle="1" w:styleId="a6">
    <w:name w:val="Нижний колонтитул Знак"/>
    <w:basedOn w:val="a0"/>
    <w:link w:val="a5"/>
    <w:rsid w:val="005B0D7D"/>
    <w:rPr>
      <w:rFonts w:ascii="Times New Roman" w:eastAsia="Batang" w:hAnsi="Times New Roman" w:cs="Times New Roman"/>
      <w:sz w:val="24"/>
      <w:szCs w:val="24"/>
      <w:lang w:eastAsia="ko-KR"/>
    </w:rPr>
  </w:style>
  <w:style w:type="character" w:styleId="a7">
    <w:name w:val="page number"/>
    <w:rsid w:val="005B0D7D"/>
    <w:rPr>
      <w:rFonts w:cs="Times New Roman"/>
    </w:rPr>
  </w:style>
  <w:style w:type="paragraph" w:styleId="a8">
    <w:name w:val="Document Map"/>
    <w:basedOn w:val="a"/>
    <w:link w:val="a9"/>
    <w:semiHidden/>
    <w:rsid w:val="005B0D7D"/>
    <w:pPr>
      <w:shd w:val="clear" w:color="auto" w:fill="000080"/>
      <w:spacing w:after="0" w:line="240" w:lineRule="auto"/>
    </w:pPr>
    <w:rPr>
      <w:rFonts w:ascii="Tahoma" w:eastAsia="Batang" w:hAnsi="Tahoma" w:cs="Tahoma"/>
      <w:sz w:val="20"/>
      <w:szCs w:val="20"/>
      <w:lang w:eastAsia="ko-KR"/>
    </w:rPr>
  </w:style>
  <w:style w:type="character" w:customStyle="1" w:styleId="a9">
    <w:name w:val="Схема документа Знак"/>
    <w:basedOn w:val="a0"/>
    <w:link w:val="a8"/>
    <w:semiHidden/>
    <w:rsid w:val="005B0D7D"/>
    <w:rPr>
      <w:rFonts w:ascii="Tahoma" w:eastAsia="Batang" w:hAnsi="Tahoma" w:cs="Tahoma"/>
      <w:sz w:val="20"/>
      <w:szCs w:val="20"/>
      <w:shd w:val="clear" w:color="auto" w:fill="000080"/>
      <w:lang w:eastAsia="ko-KR"/>
    </w:rPr>
  </w:style>
  <w:style w:type="table" w:styleId="aa">
    <w:name w:val="Table Grid"/>
    <w:basedOn w:val="a1"/>
    <w:rsid w:val="005B0D7D"/>
    <w:pPr>
      <w:spacing w:after="0" w:line="240" w:lineRule="auto"/>
    </w:pPr>
    <w:rPr>
      <w:rFonts w:ascii="Times New Roman" w:eastAsia="Batang"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rsid w:val="005B0D7D"/>
    <w:pPr>
      <w:spacing w:after="0" w:line="240" w:lineRule="auto"/>
      <w:jc w:val="both"/>
    </w:pPr>
    <w:rPr>
      <w:rFonts w:ascii="Verdana" w:eastAsia="Batang" w:hAnsi="Verdana" w:cs="Times New Roman"/>
      <w:sz w:val="20"/>
      <w:szCs w:val="20"/>
      <w:lang w:eastAsia="ru-RU"/>
    </w:rPr>
  </w:style>
  <w:style w:type="character" w:customStyle="1" w:styleId="ac">
    <w:name w:val="Основной текст Знак"/>
    <w:basedOn w:val="a0"/>
    <w:link w:val="ab"/>
    <w:rsid w:val="005B0D7D"/>
    <w:rPr>
      <w:rFonts w:ascii="Verdana" w:eastAsia="Batang" w:hAnsi="Verdana" w:cs="Times New Roman"/>
      <w:sz w:val="20"/>
      <w:szCs w:val="20"/>
      <w:lang w:eastAsia="ru-RU"/>
    </w:rPr>
  </w:style>
  <w:style w:type="character" w:customStyle="1" w:styleId="FontStyle92">
    <w:name w:val="Font Style92"/>
    <w:rsid w:val="005B0D7D"/>
    <w:rPr>
      <w:rFonts w:ascii="Times New Roman" w:hAnsi="Times New Roman"/>
      <w:sz w:val="24"/>
    </w:rPr>
  </w:style>
  <w:style w:type="paragraph" w:customStyle="1" w:styleId="12">
    <w:name w:val="Абзац списка1"/>
    <w:basedOn w:val="a"/>
    <w:rsid w:val="005B0D7D"/>
    <w:pPr>
      <w:spacing w:after="0" w:line="240" w:lineRule="auto"/>
      <w:ind w:left="720"/>
      <w:contextualSpacing/>
    </w:pPr>
    <w:rPr>
      <w:rFonts w:ascii="Times New Roman" w:eastAsia="Batang" w:hAnsi="Times New Roman" w:cs="Times New Roman"/>
      <w:sz w:val="20"/>
      <w:szCs w:val="20"/>
      <w:lang w:eastAsia="ru-RU"/>
    </w:rPr>
  </w:style>
  <w:style w:type="paragraph" w:customStyle="1" w:styleId="13">
    <w:name w:val="Без интервала1"/>
    <w:link w:val="NoSpacingChar1"/>
    <w:rsid w:val="005B0D7D"/>
    <w:pPr>
      <w:widowControl w:val="0"/>
      <w:autoSpaceDE w:val="0"/>
      <w:autoSpaceDN w:val="0"/>
      <w:adjustRightInd w:val="0"/>
      <w:spacing w:after="0" w:line="240" w:lineRule="auto"/>
      <w:ind w:left="57"/>
      <w:jc w:val="both"/>
    </w:pPr>
    <w:rPr>
      <w:rFonts w:ascii="Times New Roman" w:eastAsia="Batang" w:hAnsi="Times New Roman" w:cs="Times New Roman"/>
      <w:sz w:val="24"/>
      <w:szCs w:val="24"/>
      <w:lang w:eastAsia="ru-RU"/>
    </w:rPr>
  </w:style>
  <w:style w:type="character" w:customStyle="1" w:styleId="NoSpacingChar1">
    <w:name w:val="No Spacing Char1"/>
    <w:link w:val="13"/>
    <w:locked/>
    <w:rsid w:val="005B0D7D"/>
    <w:rPr>
      <w:rFonts w:ascii="Times New Roman" w:eastAsia="Batang" w:hAnsi="Times New Roman" w:cs="Times New Roman"/>
      <w:sz w:val="24"/>
      <w:szCs w:val="24"/>
      <w:lang w:eastAsia="ru-RU"/>
    </w:rPr>
  </w:style>
  <w:style w:type="paragraph" w:customStyle="1" w:styleId="ConsPlusNormal">
    <w:name w:val="ConsPlusNormal"/>
    <w:link w:val="ConsPlusNormal0"/>
    <w:rsid w:val="005B0D7D"/>
    <w:pPr>
      <w:widowControl w:val="0"/>
      <w:autoSpaceDE w:val="0"/>
      <w:autoSpaceDN w:val="0"/>
      <w:adjustRightInd w:val="0"/>
      <w:spacing w:after="0" w:line="240" w:lineRule="auto"/>
      <w:ind w:firstLine="720"/>
    </w:pPr>
    <w:rPr>
      <w:rFonts w:ascii="Arial" w:eastAsia="Batang" w:hAnsi="Arial" w:cs="Arial"/>
      <w:sz w:val="20"/>
      <w:szCs w:val="20"/>
      <w:lang w:eastAsia="ru-RU"/>
    </w:rPr>
  </w:style>
  <w:style w:type="character" w:customStyle="1" w:styleId="ConsPlusNormal0">
    <w:name w:val="ConsPlusNormal Знак"/>
    <w:link w:val="ConsPlusNormal"/>
    <w:locked/>
    <w:rsid w:val="005B0D7D"/>
    <w:rPr>
      <w:rFonts w:ascii="Arial" w:eastAsia="Batang" w:hAnsi="Arial" w:cs="Arial"/>
      <w:sz w:val="20"/>
      <w:szCs w:val="20"/>
      <w:lang w:eastAsia="ru-RU"/>
    </w:rPr>
  </w:style>
  <w:style w:type="character" w:customStyle="1" w:styleId="FontStyle17">
    <w:name w:val="Font Style17"/>
    <w:rsid w:val="005B0D7D"/>
    <w:rPr>
      <w:rFonts w:ascii="Times New Roman" w:hAnsi="Times New Roman"/>
      <w:sz w:val="26"/>
    </w:rPr>
  </w:style>
  <w:style w:type="paragraph" w:styleId="14">
    <w:name w:val="toc 1"/>
    <w:basedOn w:val="a"/>
    <w:next w:val="a"/>
    <w:autoRedefine/>
    <w:rsid w:val="005B0D7D"/>
    <w:pPr>
      <w:spacing w:after="0" w:line="240" w:lineRule="auto"/>
    </w:pPr>
    <w:rPr>
      <w:rFonts w:ascii="Times New Roman" w:eastAsia="Batang" w:hAnsi="Times New Roman" w:cs="Times New Roman"/>
      <w:sz w:val="24"/>
      <w:szCs w:val="24"/>
      <w:lang w:eastAsia="ko-KR"/>
    </w:rPr>
  </w:style>
  <w:style w:type="paragraph" w:styleId="21">
    <w:name w:val="toc 2"/>
    <w:basedOn w:val="a"/>
    <w:next w:val="a"/>
    <w:autoRedefine/>
    <w:rsid w:val="005B0D7D"/>
    <w:pPr>
      <w:tabs>
        <w:tab w:val="right" w:leader="dot" w:pos="9345"/>
      </w:tabs>
      <w:spacing w:after="0" w:line="240" w:lineRule="auto"/>
      <w:ind w:firstLine="284"/>
    </w:pPr>
    <w:rPr>
      <w:rFonts w:ascii="Times New Roman" w:eastAsia="Batang" w:hAnsi="Times New Roman" w:cs="Times New Roman"/>
      <w:sz w:val="24"/>
      <w:szCs w:val="24"/>
      <w:lang w:eastAsia="ko-KR"/>
    </w:rPr>
  </w:style>
  <w:style w:type="paragraph" w:styleId="31">
    <w:name w:val="toc 3"/>
    <w:basedOn w:val="a"/>
    <w:next w:val="a"/>
    <w:autoRedefine/>
    <w:rsid w:val="005B0D7D"/>
    <w:pPr>
      <w:spacing w:after="0" w:line="240" w:lineRule="auto"/>
      <w:ind w:left="480"/>
    </w:pPr>
    <w:rPr>
      <w:rFonts w:ascii="Times New Roman" w:eastAsia="Batang" w:hAnsi="Times New Roman" w:cs="Times New Roman"/>
      <w:sz w:val="24"/>
      <w:szCs w:val="24"/>
      <w:lang w:eastAsia="ko-KR"/>
    </w:rPr>
  </w:style>
  <w:style w:type="character" w:styleId="ad">
    <w:name w:val="Hyperlink"/>
    <w:rsid w:val="005B0D7D"/>
    <w:rPr>
      <w:color w:val="0000FF"/>
      <w:u w:val="single"/>
    </w:rPr>
  </w:style>
  <w:style w:type="paragraph" w:styleId="ae">
    <w:name w:val="footnote text"/>
    <w:basedOn w:val="a"/>
    <w:link w:val="af"/>
    <w:semiHidden/>
    <w:rsid w:val="005B0D7D"/>
    <w:pPr>
      <w:spacing w:after="0" w:line="240" w:lineRule="auto"/>
    </w:pPr>
    <w:rPr>
      <w:rFonts w:ascii="Times New Roman" w:eastAsia="Batang" w:hAnsi="Times New Roman" w:cs="Times New Roman"/>
      <w:sz w:val="20"/>
      <w:szCs w:val="20"/>
      <w:lang w:eastAsia="ko-KR"/>
    </w:rPr>
  </w:style>
  <w:style w:type="character" w:customStyle="1" w:styleId="af">
    <w:name w:val="Текст сноски Знак"/>
    <w:basedOn w:val="a0"/>
    <w:link w:val="ae"/>
    <w:semiHidden/>
    <w:rsid w:val="005B0D7D"/>
    <w:rPr>
      <w:rFonts w:ascii="Times New Roman" w:eastAsia="Batang" w:hAnsi="Times New Roman" w:cs="Times New Roman"/>
      <w:sz w:val="20"/>
      <w:szCs w:val="20"/>
      <w:lang w:eastAsia="ko-KR"/>
    </w:rPr>
  </w:style>
  <w:style w:type="character" w:styleId="af0">
    <w:name w:val="footnote reference"/>
    <w:semiHidden/>
    <w:rsid w:val="005B0D7D"/>
    <w:rPr>
      <w:vertAlign w:val="superscript"/>
    </w:rPr>
  </w:style>
  <w:style w:type="paragraph" w:styleId="af1">
    <w:name w:val="Body Text Indent"/>
    <w:basedOn w:val="a"/>
    <w:link w:val="af2"/>
    <w:rsid w:val="005B0D7D"/>
    <w:pPr>
      <w:spacing w:after="120" w:line="240" w:lineRule="auto"/>
      <w:ind w:left="283"/>
    </w:pPr>
    <w:rPr>
      <w:rFonts w:ascii="Times New Roman" w:eastAsia="Batang" w:hAnsi="Times New Roman" w:cs="Times New Roman"/>
      <w:sz w:val="24"/>
      <w:szCs w:val="24"/>
      <w:lang w:eastAsia="ko-KR"/>
    </w:rPr>
  </w:style>
  <w:style w:type="character" w:customStyle="1" w:styleId="af2">
    <w:name w:val="Основной текст с отступом Знак"/>
    <w:basedOn w:val="a0"/>
    <w:link w:val="af1"/>
    <w:rsid w:val="005B0D7D"/>
    <w:rPr>
      <w:rFonts w:ascii="Times New Roman" w:eastAsia="Batang" w:hAnsi="Times New Roman" w:cs="Times New Roman"/>
      <w:sz w:val="24"/>
      <w:szCs w:val="24"/>
      <w:lang w:eastAsia="ko-KR"/>
    </w:rPr>
  </w:style>
  <w:style w:type="paragraph" w:styleId="22">
    <w:name w:val="Body Text Indent 2"/>
    <w:basedOn w:val="a"/>
    <w:link w:val="23"/>
    <w:rsid w:val="005B0D7D"/>
    <w:pPr>
      <w:spacing w:after="120" w:line="480" w:lineRule="auto"/>
      <w:ind w:left="283"/>
    </w:pPr>
    <w:rPr>
      <w:rFonts w:ascii="Times New Roman" w:eastAsia="Batang" w:hAnsi="Times New Roman" w:cs="Times New Roman"/>
      <w:sz w:val="24"/>
      <w:szCs w:val="24"/>
      <w:lang w:eastAsia="ru-RU"/>
    </w:rPr>
  </w:style>
  <w:style w:type="character" w:customStyle="1" w:styleId="23">
    <w:name w:val="Основной текст с отступом 2 Знак"/>
    <w:basedOn w:val="a0"/>
    <w:link w:val="22"/>
    <w:rsid w:val="005B0D7D"/>
    <w:rPr>
      <w:rFonts w:ascii="Times New Roman" w:eastAsia="Batang" w:hAnsi="Times New Roman" w:cs="Times New Roman"/>
      <w:sz w:val="24"/>
      <w:szCs w:val="24"/>
      <w:lang w:eastAsia="ru-RU"/>
    </w:rPr>
  </w:style>
  <w:style w:type="paragraph" w:styleId="af3">
    <w:name w:val="Title"/>
    <w:basedOn w:val="a"/>
    <w:link w:val="af4"/>
    <w:qFormat/>
    <w:rsid w:val="005B0D7D"/>
    <w:pPr>
      <w:spacing w:after="0" w:line="240" w:lineRule="auto"/>
      <w:jc w:val="center"/>
    </w:pPr>
    <w:rPr>
      <w:rFonts w:ascii="Times New Roman" w:eastAsia="Batang" w:hAnsi="Times New Roman" w:cs="Times New Roman"/>
      <w:b/>
      <w:sz w:val="32"/>
      <w:szCs w:val="20"/>
      <w:lang w:eastAsia="ru-RU"/>
    </w:rPr>
  </w:style>
  <w:style w:type="character" w:customStyle="1" w:styleId="af4">
    <w:name w:val="Название Знак"/>
    <w:basedOn w:val="a0"/>
    <w:link w:val="af3"/>
    <w:rsid w:val="005B0D7D"/>
    <w:rPr>
      <w:rFonts w:ascii="Times New Roman" w:eastAsia="Batang" w:hAnsi="Times New Roman" w:cs="Times New Roman"/>
      <w:b/>
      <w:sz w:val="32"/>
      <w:szCs w:val="20"/>
      <w:lang w:eastAsia="ru-RU"/>
    </w:rPr>
  </w:style>
  <w:style w:type="paragraph" w:customStyle="1" w:styleId="15">
    <w:name w:val="Абзац списка1"/>
    <w:basedOn w:val="a"/>
    <w:rsid w:val="005B0D7D"/>
    <w:pPr>
      <w:ind w:left="720"/>
      <w:contextualSpacing/>
    </w:pPr>
    <w:rPr>
      <w:rFonts w:ascii="Calibri" w:eastAsia="Batang" w:hAnsi="Calibri" w:cs="Times New Roman"/>
      <w:lang w:eastAsia="ru-RU"/>
    </w:rPr>
  </w:style>
  <w:style w:type="character" w:customStyle="1" w:styleId="FontStyle58">
    <w:name w:val="Font Style58"/>
    <w:rsid w:val="005B0D7D"/>
    <w:rPr>
      <w:rFonts w:ascii="Times New Roman" w:hAnsi="Times New Roman"/>
      <w:sz w:val="22"/>
    </w:rPr>
  </w:style>
  <w:style w:type="paragraph" w:customStyle="1" w:styleId="Style13">
    <w:name w:val="Style13"/>
    <w:basedOn w:val="a"/>
    <w:rsid w:val="005B0D7D"/>
    <w:pPr>
      <w:widowControl w:val="0"/>
      <w:autoSpaceDE w:val="0"/>
      <w:autoSpaceDN w:val="0"/>
      <w:adjustRightInd w:val="0"/>
      <w:spacing w:after="0" w:line="240" w:lineRule="auto"/>
    </w:pPr>
    <w:rPr>
      <w:rFonts w:ascii="Times New Roman" w:eastAsia="Batang" w:hAnsi="Times New Roman" w:cs="Times New Roman"/>
      <w:sz w:val="24"/>
      <w:szCs w:val="24"/>
      <w:lang w:eastAsia="ru-RU"/>
    </w:rPr>
  </w:style>
  <w:style w:type="paragraph" w:customStyle="1" w:styleId="Style22">
    <w:name w:val="Style22"/>
    <w:basedOn w:val="a"/>
    <w:rsid w:val="005B0D7D"/>
    <w:pPr>
      <w:widowControl w:val="0"/>
      <w:autoSpaceDE w:val="0"/>
      <w:autoSpaceDN w:val="0"/>
      <w:adjustRightInd w:val="0"/>
      <w:spacing w:after="0" w:line="275" w:lineRule="exact"/>
      <w:jc w:val="both"/>
    </w:pPr>
    <w:rPr>
      <w:rFonts w:ascii="Times New Roman" w:eastAsia="Batang" w:hAnsi="Times New Roman" w:cs="Times New Roman"/>
      <w:sz w:val="24"/>
      <w:szCs w:val="24"/>
      <w:lang w:eastAsia="ru-RU"/>
    </w:rPr>
  </w:style>
  <w:style w:type="paragraph" w:customStyle="1" w:styleId="af5">
    <w:name w:val="Абзац"/>
    <w:basedOn w:val="a"/>
    <w:link w:val="af6"/>
    <w:rsid w:val="005B0D7D"/>
    <w:pPr>
      <w:spacing w:before="120" w:after="60" w:line="240" w:lineRule="auto"/>
      <w:ind w:firstLine="567"/>
      <w:jc w:val="both"/>
    </w:pPr>
    <w:rPr>
      <w:rFonts w:ascii="Times New Roman" w:eastAsia="Batang" w:hAnsi="Times New Roman" w:cs="Times New Roman"/>
      <w:sz w:val="24"/>
      <w:szCs w:val="24"/>
      <w:lang w:eastAsia="ru-RU"/>
    </w:rPr>
  </w:style>
  <w:style w:type="character" w:customStyle="1" w:styleId="af6">
    <w:name w:val="Абзац Знак"/>
    <w:link w:val="af5"/>
    <w:locked/>
    <w:rsid w:val="005B0D7D"/>
    <w:rPr>
      <w:rFonts w:ascii="Times New Roman" w:eastAsia="Batang" w:hAnsi="Times New Roman" w:cs="Times New Roman"/>
      <w:sz w:val="24"/>
      <w:szCs w:val="24"/>
      <w:lang w:eastAsia="ru-RU"/>
    </w:rPr>
  </w:style>
  <w:style w:type="paragraph" w:styleId="af7">
    <w:name w:val="Balloon Text"/>
    <w:basedOn w:val="a"/>
    <w:link w:val="af8"/>
    <w:rsid w:val="005B0D7D"/>
    <w:pPr>
      <w:spacing w:after="0" w:line="240" w:lineRule="auto"/>
    </w:pPr>
    <w:rPr>
      <w:rFonts w:ascii="Tahoma" w:eastAsia="Batang" w:hAnsi="Tahoma" w:cs="Times New Roman"/>
      <w:sz w:val="16"/>
      <w:szCs w:val="16"/>
      <w:lang w:eastAsia="ko-KR"/>
    </w:rPr>
  </w:style>
  <w:style w:type="character" w:customStyle="1" w:styleId="af8">
    <w:name w:val="Текст выноски Знак"/>
    <w:basedOn w:val="a0"/>
    <w:link w:val="af7"/>
    <w:rsid w:val="005B0D7D"/>
    <w:rPr>
      <w:rFonts w:ascii="Tahoma" w:eastAsia="Batang" w:hAnsi="Tahoma" w:cs="Times New Roman"/>
      <w:sz w:val="16"/>
      <w:szCs w:val="16"/>
      <w:lang w:eastAsia="ko-KR"/>
    </w:rPr>
  </w:style>
  <w:style w:type="paragraph" w:customStyle="1" w:styleId="16">
    <w:name w:val="Заголовок оглавления1"/>
    <w:basedOn w:val="1"/>
    <w:next w:val="a"/>
    <w:rsid w:val="005B0D7D"/>
    <w:pPr>
      <w:keepLines/>
      <w:spacing w:before="480" w:after="0" w:line="276" w:lineRule="auto"/>
      <w:outlineLvl w:val="9"/>
    </w:pPr>
    <w:rPr>
      <w:rFonts w:ascii="Cambria" w:hAnsi="Cambria" w:cs="Times New Roman"/>
      <w:color w:val="365F91"/>
      <w:kern w:val="0"/>
      <w:sz w:val="28"/>
      <w:szCs w:val="28"/>
      <w:lang w:eastAsia="ru-RU"/>
    </w:rPr>
  </w:style>
  <w:style w:type="paragraph" w:customStyle="1" w:styleId="af9">
    <w:name w:val="Знак Знак Знак"/>
    <w:basedOn w:val="a"/>
    <w:rsid w:val="005B0D7D"/>
    <w:pPr>
      <w:spacing w:before="100" w:beforeAutospacing="1" w:after="100" w:afterAutospacing="1" w:line="240" w:lineRule="auto"/>
    </w:pPr>
    <w:rPr>
      <w:rFonts w:ascii="Tahoma" w:eastAsia="Batang" w:hAnsi="Tahoma" w:cs="Tahoma"/>
      <w:sz w:val="20"/>
      <w:szCs w:val="20"/>
      <w:lang w:val="en-US"/>
    </w:rPr>
  </w:style>
  <w:style w:type="character" w:customStyle="1" w:styleId="FontStyle15">
    <w:name w:val="Font Style15"/>
    <w:rsid w:val="005B0D7D"/>
    <w:rPr>
      <w:rFonts w:ascii="Times New Roman" w:hAnsi="Times New Roman"/>
      <w:sz w:val="26"/>
    </w:rPr>
  </w:style>
  <w:style w:type="character" w:customStyle="1" w:styleId="HeaderChar">
    <w:name w:val="Header Char"/>
    <w:locked/>
    <w:rsid w:val="005B0D7D"/>
    <w:rPr>
      <w:rFonts w:cs="Times New Roman"/>
    </w:rPr>
  </w:style>
  <w:style w:type="character" w:customStyle="1" w:styleId="NoSpacingChar">
    <w:name w:val="No Spacing Char"/>
    <w:link w:val="17"/>
    <w:locked/>
    <w:rsid w:val="005B0D7D"/>
    <w:rPr>
      <w:rFonts w:eastAsia="Times New Roman" w:cs="Times New Roman"/>
    </w:rPr>
  </w:style>
  <w:style w:type="paragraph" w:customStyle="1" w:styleId="17">
    <w:name w:val="Без интервала1"/>
    <w:link w:val="NoSpacingChar"/>
    <w:rsid w:val="005B0D7D"/>
    <w:pPr>
      <w:spacing w:after="0" w:line="240" w:lineRule="auto"/>
    </w:pPr>
    <w:rPr>
      <w:rFonts w:eastAsia="Times New Roman" w:cs="Times New Roman"/>
    </w:rPr>
  </w:style>
  <w:style w:type="paragraph" w:customStyle="1" w:styleId="24">
    <w:name w:val="Без интервала2"/>
    <w:rsid w:val="005B0D7D"/>
    <w:pPr>
      <w:spacing w:after="0" w:line="240" w:lineRule="auto"/>
    </w:pPr>
    <w:rPr>
      <w:rFonts w:ascii="Calibri" w:eastAsia="Batang" w:hAnsi="Calibri" w:cs="Times New Roman"/>
    </w:rPr>
  </w:style>
  <w:style w:type="paragraph" w:styleId="afa">
    <w:name w:val="Plain Text"/>
    <w:basedOn w:val="a"/>
    <w:link w:val="afb"/>
    <w:rsid w:val="005B0D7D"/>
    <w:pPr>
      <w:spacing w:after="0" w:line="240" w:lineRule="auto"/>
    </w:pPr>
    <w:rPr>
      <w:rFonts w:ascii="Courier New" w:eastAsia="Batang" w:hAnsi="Courier New" w:cs="Courier New"/>
      <w:sz w:val="20"/>
      <w:szCs w:val="20"/>
      <w:lang w:eastAsia="ru-RU"/>
    </w:rPr>
  </w:style>
  <w:style w:type="character" w:customStyle="1" w:styleId="afb">
    <w:name w:val="Текст Знак"/>
    <w:basedOn w:val="a0"/>
    <w:link w:val="afa"/>
    <w:rsid w:val="005B0D7D"/>
    <w:rPr>
      <w:rFonts w:ascii="Courier New" w:eastAsia="Batang" w:hAnsi="Courier New" w:cs="Courier New"/>
      <w:sz w:val="20"/>
      <w:szCs w:val="20"/>
      <w:lang w:eastAsia="ru-RU"/>
    </w:rPr>
  </w:style>
  <w:style w:type="paragraph" w:customStyle="1" w:styleId="S">
    <w:name w:val="S_Обычный"/>
    <w:basedOn w:val="a"/>
    <w:link w:val="S0"/>
    <w:rsid w:val="005B0D7D"/>
    <w:pPr>
      <w:spacing w:after="0" w:line="360" w:lineRule="auto"/>
      <w:ind w:firstLine="709"/>
      <w:jc w:val="both"/>
    </w:pPr>
    <w:rPr>
      <w:rFonts w:ascii="Times New Roman" w:eastAsia="Batang" w:hAnsi="Times New Roman" w:cs="Times New Roman"/>
      <w:sz w:val="24"/>
      <w:szCs w:val="24"/>
      <w:lang w:eastAsia="ko-KR"/>
    </w:rPr>
  </w:style>
  <w:style w:type="character" w:customStyle="1" w:styleId="S0">
    <w:name w:val="S_Обычный Знак"/>
    <w:link w:val="S"/>
    <w:locked/>
    <w:rsid w:val="005B0D7D"/>
    <w:rPr>
      <w:rFonts w:ascii="Times New Roman" w:eastAsia="Batang" w:hAnsi="Times New Roman" w:cs="Times New Roman"/>
      <w:sz w:val="24"/>
      <w:szCs w:val="24"/>
      <w:lang w:eastAsia="ko-KR"/>
    </w:rPr>
  </w:style>
  <w:style w:type="character" w:styleId="afc">
    <w:name w:val="Emphasis"/>
    <w:qFormat/>
    <w:rsid w:val="005B0D7D"/>
    <w:rPr>
      <w:rFonts w:cs="Times New Roman"/>
      <w:i/>
      <w:iCs/>
    </w:rPr>
  </w:style>
  <w:style w:type="paragraph" w:styleId="4">
    <w:name w:val="toc 4"/>
    <w:basedOn w:val="a"/>
    <w:next w:val="a"/>
    <w:autoRedefine/>
    <w:rsid w:val="005B0D7D"/>
    <w:pPr>
      <w:spacing w:after="100"/>
      <w:ind w:left="660"/>
    </w:pPr>
    <w:rPr>
      <w:rFonts w:ascii="Calibri" w:eastAsia="Batang" w:hAnsi="Calibri" w:cs="Times New Roman"/>
      <w:lang w:eastAsia="ru-RU"/>
    </w:rPr>
  </w:style>
  <w:style w:type="paragraph" w:styleId="5">
    <w:name w:val="toc 5"/>
    <w:basedOn w:val="a"/>
    <w:next w:val="a"/>
    <w:autoRedefine/>
    <w:rsid w:val="005B0D7D"/>
    <w:pPr>
      <w:spacing w:after="100"/>
      <w:ind w:left="880"/>
    </w:pPr>
    <w:rPr>
      <w:rFonts w:ascii="Calibri" w:eastAsia="Batang" w:hAnsi="Calibri" w:cs="Times New Roman"/>
      <w:lang w:eastAsia="ru-RU"/>
    </w:rPr>
  </w:style>
  <w:style w:type="paragraph" w:styleId="6">
    <w:name w:val="toc 6"/>
    <w:basedOn w:val="a"/>
    <w:next w:val="a"/>
    <w:autoRedefine/>
    <w:rsid w:val="005B0D7D"/>
    <w:pPr>
      <w:spacing w:after="100"/>
      <w:ind w:left="1100"/>
    </w:pPr>
    <w:rPr>
      <w:rFonts w:ascii="Calibri" w:eastAsia="Batang" w:hAnsi="Calibri" w:cs="Times New Roman"/>
      <w:lang w:eastAsia="ru-RU"/>
    </w:rPr>
  </w:style>
  <w:style w:type="paragraph" w:styleId="7">
    <w:name w:val="toc 7"/>
    <w:basedOn w:val="a"/>
    <w:next w:val="a"/>
    <w:autoRedefine/>
    <w:rsid w:val="005B0D7D"/>
    <w:pPr>
      <w:spacing w:after="100"/>
      <w:ind w:left="1320"/>
    </w:pPr>
    <w:rPr>
      <w:rFonts w:ascii="Calibri" w:eastAsia="Batang" w:hAnsi="Calibri" w:cs="Times New Roman"/>
      <w:lang w:eastAsia="ru-RU"/>
    </w:rPr>
  </w:style>
  <w:style w:type="paragraph" w:styleId="8">
    <w:name w:val="toc 8"/>
    <w:basedOn w:val="a"/>
    <w:next w:val="a"/>
    <w:autoRedefine/>
    <w:rsid w:val="005B0D7D"/>
    <w:pPr>
      <w:spacing w:after="100"/>
      <w:ind w:left="1540"/>
    </w:pPr>
    <w:rPr>
      <w:rFonts w:ascii="Calibri" w:eastAsia="Batang" w:hAnsi="Calibri" w:cs="Times New Roman"/>
      <w:lang w:eastAsia="ru-RU"/>
    </w:rPr>
  </w:style>
  <w:style w:type="paragraph" w:styleId="9">
    <w:name w:val="toc 9"/>
    <w:basedOn w:val="a"/>
    <w:next w:val="a"/>
    <w:autoRedefine/>
    <w:rsid w:val="005B0D7D"/>
    <w:pPr>
      <w:spacing w:after="100"/>
      <w:ind w:left="1760"/>
    </w:pPr>
    <w:rPr>
      <w:rFonts w:ascii="Calibri" w:eastAsia="Batang" w:hAnsi="Calibri" w:cs="Times New Roman"/>
      <w:lang w:eastAsia="ru-RU"/>
    </w:rPr>
  </w:style>
  <w:style w:type="paragraph" w:styleId="afd">
    <w:name w:val="Normal (Web)"/>
    <w:basedOn w:val="a"/>
    <w:rsid w:val="005B0D7D"/>
    <w:pPr>
      <w:spacing w:before="100" w:beforeAutospacing="1" w:after="100" w:afterAutospacing="1" w:line="240" w:lineRule="auto"/>
    </w:pPr>
    <w:rPr>
      <w:rFonts w:ascii="Times New Roman" w:eastAsia="Batang" w:hAnsi="Times New Roman" w:cs="Times New Roman"/>
      <w:sz w:val="24"/>
      <w:szCs w:val="24"/>
      <w:lang w:eastAsia="ru-RU"/>
    </w:rPr>
  </w:style>
  <w:style w:type="character" w:styleId="afe">
    <w:name w:val="endnote reference"/>
    <w:rsid w:val="005B0D7D"/>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61"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8" Type="http://schemas.openxmlformats.org/officeDocument/2006/relationships/image" Target="media/image1.jpeg"/><Relationship Id="rId51" Type="http://schemas.openxmlformats.org/officeDocument/2006/relationships/chart" Target="charts/chart43.xml"/><Relationship Id="rId3" Type="http://schemas.microsoft.com/office/2007/relationships/stylesWithEffects" Target="stylesWithEffect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0">
                  <a:schemeClr val="accent4">
                    <a:lumMod val="20000"/>
                    <a:lumOff val="80000"/>
                  </a:schemeClr>
                </a:gs>
                <a:gs pos="17999">
                  <a:srgbClr val="99CCFF"/>
                </a:gs>
                <a:gs pos="36000">
                  <a:srgbClr val="9966FF"/>
                </a:gs>
                <a:gs pos="61000">
                  <a:srgbClr val="CC99FF"/>
                </a:gs>
                <a:gs pos="82001">
                  <a:srgbClr val="99CCFF"/>
                </a:gs>
                <a:gs pos="100000">
                  <a:schemeClr val="accent4">
                    <a:lumMod val="75000"/>
                  </a:schemeClr>
                </a:gs>
              </a:gsLst>
              <a:lin ang="5400000" scaled="0"/>
            </a:gradFill>
          </c:spPr>
          <c:invertIfNegative val="0"/>
          <c:dLbls>
            <c:spPr>
              <a:noFill/>
              <a:ln w="23281">
                <a:noFill/>
              </a:ln>
            </c:spPr>
            <c:showLegendKey val="0"/>
            <c:showVal val="1"/>
            <c:showCatName val="0"/>
            <c:showSerName val="0"/>
            <c:showPercent val="0"/>
            <c:showBubbleSize val="0"/>
            <c:showLeaderLines val="0"/>
          </c:dLbls>
          <c:cat>
            <c:strRef>
              <c:f>Лист1!$A$2:$A$6</c:f>
              <c:strCache>
                <c:ptCount val="5"/>
                <c:pt idx="0">
                  <c:v>2010</c:v>
                </c:pt>
                <c:pt idx="1">
                  <c:v>2011</c:v>
                </c:pt>
                <c:pt idx="2">
                  <c:v>2012</c:v>
                </c:pt>
                <c:pt idx="3">
                  <c:v>2013</c:v>
                </c:pt>
                <c:pt idx="4">
                  <c:v>2014, 1 окт.</c:v>
                </c:pt>
              </c:strCache>
            </c:strRef>
          </c:cat>
          <c:val>
            <c:numRef>
              <c:f>Лист1!$B$2:$B$6</c:f>
              <c:numCache>
                <c:formatCode>General</c:formatCode>
                <c:ptCount val="5"/>
                <c:pt idx="0">
                  <c:v>80549</c:v>
                </c:pt>
                <c:pt idx="1">
                  <c:v>85029</c:v>
                </c:pt>
                <c:pt idx="2">
                  <c:v>90961</c:v>
                </c:pt>
                <c:pt idx="3">
                  <c:v>93493</c:v>
                </c:pt>
                <c:pt idx="4">
                  <c:v>96745</c:v>
                </c:pt>
              </c:numCache>
            </c:numRef>
          </c:val>
        </c:ser>
        <c:dLbls>
          <c:showLegendKey val="0"/>
          <c:showVal val="0"/>
          <c:showCatName val="0"/>
          <c:showSerName val="0"/>
          <c:showPercent val="0"/>
          <c:showBubbleSize val="0"/>
        </c:dLbls>
        <c:gapWidth val="150"/>
        <c:shape val="cylinder"/>
        <c:axId val="354363264"/>
        <c:axId val="354403456"/>
        <c:axId val="0"/>
      </c:bar3DChart>
      <c:catAx>
        <c:axId val="354363264"/>
        <c:scaling>
          <c:orientation val="minMax"/>
        </c:scaling>
        <c:delete val="0"/>
        <c:axPos val="b"/>
        <c:numFmt formatCode="General" sourceLinked="1"/>
        <c:majorTickMark val="out"/>
        <c:minorTickMark val="none"/>
        <c:tickLblPos val="nextTo"/>
        <c:crossAx val="354403456"/>
        <c:crosses val="autoZero"/>
        <c:auto val="1"/>
        <c:lblAlgn val="ctr"/>
        <c:lblOffset val="100"/>
        <c:noMultiLvlLbl val="0"/>
      </c:catAx>
      <c:valAx>
        <c:axId val="354403456"/>
        <c:scaling>
          <c:orientation val="minMax"/>
          <c:min val="40000"/>
        </c:scaling>
        <c:delete val="0"/>
        <c:axPos val="l"/>
        <c:majorGridlines/>
        <c:numFmt formatCode="General" sourceLinked="1"/>
        <c:majorTickMark val="out"/>
        <c:minorTickMark val="none"/>
        <c:tickLblPos val="nextTo"/>
        <c:crossAx val="354363264"/>
        <c:crosses val="autoZero"/>
        <c:crossBetween val="between"/>
      </c:valAx>
      <c:spPr>
        <a:noFill/>
        <a:ln w="23281">
          <a:noFill/>
        </a:ln>
      </c:spPr>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0">
                  <a:schemeClr val="accent4">
                    <a:lumMod val="20000"/>
                    <a:lumOff val="80000"/>
                  </a:schemeClr>
                </a:gs>
                <a:gs pos="17999">
                  <a:srgbClr val="99CCFF"/>
                </a:gs>
                <a:gs pos="36000">
                  <a:srgbClr val="9966FF"/>
                </a:gs>
                <a:gs pos="61000">
                  <a:srgbClr val="CC99FF"/>
                </a:gs>
                <a:gs pos="82001">
                  <a:srgbClr val="99CCFF"/>
                </a:gs>
                <a:gs pos="100000">
                  <a:schemeClr val="accent4">
                    <a:lumMod val="75000"/>
                  </a:schemeClr>
                </a:gs>
              </a:gsLst>
              <a:lin ang="5400000" scaled="0"/>
            </a:gradFill>
          </c:spPr>
          <c:invertIfNegative val="0"/>
          <c:dLbls>
            <c:spPr>
              <a:noFill/>
              <a:ln w="25424">
                <a:noFill/>
              </a:ln>
            </c:spPr>
            <c:showLegendKey val="0"/>
            <c:showVal val="1"/>
            <c:showCatName val="0"/>
            <c:showSerName val="0"/>
            <c:showPercent val="0"/>
            <c:showBubbleSize val="0"/>
            <c:showLeaderLines val="0"/>
          </c:dLbls>
          <c:cat>
            <c:strRef>
              <c:f>Лист1!$A$2:$A$5</c:f>
              <c:strCache>
                <c:ptCount val="4"/>
                <c:pt idx="0">
                  <c:v>2011/12</c:v>
                </c:pt>
                <c:pt idx="1">
                  <c:v>2012/13</c:v>
                </c:pt>
                <c:pt idx="2">
                  <c:v>2013/14</c:v>
                </c:pt>
                <c:pt idx="3">
                  <c:v>2014/15</c:v>
                </c:pt>
              </c:strCache>
            </c:strRef>
          </c:cat>
          <c:val>
            <c:numRef>
              <c:f>Лист1!$B$2:$B$5</c:f>
              <c:numCache>
                <c:formatCode>General</c:formatCode>
                <c:ptCount val="4"/>
                <c:pt idx="0">
                  <c:v>8830</c:v>
                </c:pt>
                <c:pt idx="1">
                  <c:v>9373</c:v>
                </c:pt>
                <c:pt idx="2">
                  <c:v>9945</c:v>
                </c:pt>
                <c:pt idx="3">
                  <c:v>10622</c:v>
                </c:pt>
              </c:numCache>
            </c:numRef>
          </c:val>
        </c:ser>
        <c:dLbls>
          <c:showLegendKey val="0"/>
          <c:showVal val="0"/>
          <c:showCatName val="0"/>
          <c:showSerName val="0"/>
          <c:showPercent val="0"/>
          <c:showBubbleSize val="0"/>
        </c:dLbls>
        <c:gapWidth val="150"/>
        <c:shape val="cylinder"/>
        <c:axId val="254274560"/>
        <c:axId val="254276352"/>
        <c:axId val="0"/>
      </c:bar3DChart>
      <c:catAx>
        <c:axId val="254274560"/>
        <c:scaling>
          <c:orientation val="minMax"/>
        </c:scaling>
        <c:delete val="0"/>
        <c:axPos val="b"/>
        <c:numFmt formatCode="General" sourceLinked="1"/>
        <c:majorTickMark val="out"/>
        <c:minorTickMark val="none"/>
        <c:tickLblPos val="nextTo"/>
        <c:crossAx val="254276352"/>
        <c:crosses val="autoZero"/>
        <c:auto val="1"/>
        <c:lblAlgn val="ctr"/>
        <c:lblOffset val="100"/>
        <c:noMultiLvlLbl val="0"/>
      </c:catAx>
      <c:valAx>
        <c:axId val="254276352"/>
        <c:scaling>
          <c:orientation val="minMax"/>
        </c:scaling>
        <c:delete val="0"/>
        <c:axPos val="l"/>
        <c:majorGridlines/>
        <c:numFmt formatCode="General" sourceLinked="1"/>
        <c:majorTickMark val="out"/>
        <c:minorTickMark val="none"/>
        <c:tickLblPos val="nextTo"/>
        <c:crossAx val="254274560"/>
        <c:crosses val="autoZero"/>
        <c:crossBetween val="between"/>
      </c:valAx>
      <c:spPr>
        <a:noFill/>
        <a:ln w="25424">
          <a:noFill/>
        </a:ln>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37997F"/>
                </a:gs>
                <a:gs pos="15428">
                  <a:srgbClr val="9BBB59">
                    <a:lumMod val="60000"/>
                    <a:lumOff val="40000"/>
                  </a:srgbClr>
                </a:gs>
                <a:gs pos="76000">
                  <a:srgbClr val="9BBB59">
                    <a:lumMod val="20000"/>
                    <a:lumOff val="80000"/>
                  </a:srgbClr>
                </a:gs>
                <a:gs pos="100000">
                  <a:srgbClr val="9BBB59"/>
                </a:gs>
              </a:gsLst>
              <a:lin ang="5400000" scaled="0"/>
            </a:gradFill>
          </c:spPr>
          <c:invertIfNegative val="0"/>
          <c:dLbls>
            <c:dLbl>
              <c:idx val="0"/>
              <c:layout>
                <c:manualLayout>
                  <c:x val="8.8593576965670072E-3"/>
                  <c:y val="0"/>
                </c:manualLayout>
              </c:layout>
              <c:spPr>
                <a:noFill/>
                <a:ln w="25417">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417">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417">
                  <a:noFill/>
                </a:ln>
              </c:spPr>
              <c:txPr>
                <a:bodyPr/>
                <a:lstStyle/>
                <a:p>
                  <a:pPr>
                    <a:defRPr/>
                  </a:pPr>
                  <a:endParaRPr lang="ru-RU"/>
                </a:p>
              </c:txPr>
              <c:showLegendKey val="0"/>
              <c:showVal val="1"/>
              <c:showCatName val="0"/>
              <c:showSerName val="0"/>
              <c:showPercent val="0"/>
              <c:showBubbleSize val="0"/>
            </c:dLbl>
            <c:spPr>
              <a:noFill/>
              <a:ln w="25417">
                <a:noFill/>
              </a:ln>
            </c:spPr>
            <c:showLegendKey val="0"/>
            <c:showVal val="1"/>
            <c:showCatName val="0"/>
            <c:showSerName val="0"/>
            <c:showPercent val="0"/>
            <c:showBubbleSize val="0"/>
            <c:showLeaderLines val="0"/>
          </c:dLbls>
          <c:cat>
            <c:strRef>
              <c:f>Лист1!$A$2:$A$4</c:f>
              <c:strCache>
                <c:ptCount val="3"/>
                <c:pt idx="0">
                  <c:v>2011/12</c:v>
                </c:pt>
                <c:pt idx="1">
                  <c:v>2012/13</c:v>
                </c:pt>
                <c:pt idx="2">
                  <c:v>2013/14</c:v>
                </c:pt>
              </c:strCache>
            </c:strRef>
          </c:cat>
          <c:val>
            <c:numRef>
              <c:f>Лист1!$B$2:$B$4</c:f>
              <c:numCache>
                <c:formatCode>General</c:formatCode>
                <c:ptCount val="3"/>
                <c:pt idx="0">
                  <c:v>48</c:v>
                </c:pt>
                <c:pt idx="1">
                  <c:v>46</c:v>
                </c:pt>
                <c:pt idx="2">
                  <c:v>48.8</c:v>
                </c:pt>
              </c:numCache>
            </c:numRef>
          </c:val>
        </c:ser>
        <c:dLbls>
          <c:showLegendKey val="0"/>
          <c:showVal val="0"/>
          <c:showCatName val="0"/>
          <c:showSerName val="0"/>
          <c:showPercent val="0"/>
          <c:showBubbleSize val="0"/>
        </c:dLbls>
        <c:gapWidth val="150"/>
        <c:shape val="pyramid"/>
        <c:axId val="254326656"/>
        <c:axId val="254328192"/>
        <c:axId val="0"/>
      </c:bar3DChart>
      <c:catAx>
        <c:axId val="254326656"/>
        <c:scaling>
          <c:orientation val="minMax"/>
        </c:scaling>
        <c:delete val="0"/>
        <c:axPos val="b"/>
        <c:numFmt formatCode="General" sourceLinked="1"/>
        <c:majorTickMark val="out"/>
        <c:minorTickMark val="none"/>
        <c:tickLblPos val="nextTo"/>
        <c:crossAx val="254328192"/>
        <c:crosses val="autoZero"/>
        <c:auto val="1"/>
        <c:lblAlgn val="ctr"/>
        <c:lblOffset val="100"/>
        <c:noMultiLvlLbl val="0"/>
      </c:catAx>
      <c:valAx>
        <c:axId val="254328192"/>
        <c:scaling>
          <c:orientation val="minMax"/>
          <c:min val="20"/>
        </c:scaling>
        <c:delete val="0"/>
        <c:axPos val="l"/>
        <c:majorGridlines/>
        <c:numFmt formatCode="General" sourceLinked="1"/>
        <c:majorTickMark val="out"/>
        <c:minorTickMark val="none"/>
        <c:tickLblPos val="nextTo"/>
        <c:crossAx val="254326656"/>
        <c:crosses val="autoZero"/>
        <c:crossBetween val="between"/>
      </c:valAx>
      <c:spPr>
        <a:noFill/>
        <a:ln w="25417">
          <a:noFill/>
        </a:ln>
      </c:spPr>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Обеспеченность больничными койками, ед. на 10 тыс. населения</c:v>
                </c:pt>
              </c:strCache>
            </c:strRef>
          </c:tx>
          <c:spPr>
            <a:gradFill>
              <a:gsLst>
                <a:gs pos="0">
                  <a:schemeClr val="accent2">
                    <a:lumMod val="60000"/>
                    <a:lumOff val="40000"/>
                  </a:schemeClr>
                </a:gs>
                <a:gs pos="4000">
                  <a:srgbClr val="00B050"/>
                </a:gs>
                <a:gs pos="76000">
                  <a:srgbClr val="8064A2">
                    <a:lumMod val="40000"/>
                    <a:lumOff val="60000"/>
                  </a:srgbClr>
                </a:gs>
                <a:gs pos="72063">
                  <a:schemeClr val="bg2">
                    <a:lumMod val="75000"/>
                  </a:schemeClr>
                </a:gs>
                <a:gs pos="100000">
                  <a:schemeClr val="bg2">
                    <a:lumMod val="50000"/>
                  </a:schemeClr>
                </a:gs>
              </a:gsLst>
              <a:lin ang="5400000" scaled="0"/>
            </a:gradFill>
          </c:spPr>
          <c:invertIfNegative val="0"/>
          <c:dLbls>
            <c:spPr>
              <a:noFill/>
              <a:ln w="25448">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116.9</c:v>
                </c:pt>
                <c:pt idx="1">
                  <c:v>110.2</c:v>
                </c:pt>
                <c:pt idx="2">
                  <c:v>115.2</c:v>
                </c:pt>
                <c:pt idx="3">
                  <c:v>114.6</c:v>
                </c:pt>
              </c:numCache>
            </c:numRef>
          </c:val>
        </c:ser>
        <c:dLbls>
          <c:showLegendKey val="0"/>
          <c:showVal val="0"/>
          <c:showCatName val="0"/>
          <c:showSerName val="0"/>
          <c:showPercent val="0"/>
          <c:showBubbleSize val="0"/>
        </c:dLbls>
        <c:gapWidth val="150"/>
        <c:shape val="cylinder"/>
        <c:axId val="254344576"/>
        <c:axId val="254469248"/>
        <c:axId val="0"/>
      </c:bar3DChart>
      <c:catAx>
        <c:axId val="254344576"/>
        <c:scaling>
          <c:orientation val="minMax"/>
        </c:scaling>
        <c:delete val="0"/>
        <c:axPos val="b"/>
        <c:numFmt formatCode="General" sourceLinked="1"/>
        <c:majorTickMark val="out"/>
        <c:minorTickMark val="none"/>
        <c:tickLblPos val="nextTo"/>
        <c:crossAx val="254469248"/>
        <c:crosses val="autoZero"/>
        <c:auto val="1"/>
        <c:lblAlgn val="ctr"/>
        <c:lblOffset val="100"/>
        <c:noMultiLvlLbl val="0"/>
      </c:catAx>
      <c:valAx>
        <c:axId val="254469248"/>
        <c:scaling>
          <c:orientation val="minMax"/>
        </c:scaling>
        <c:delete val="0"/>
        <c:axPos val="l"/>
        <c:majorGridlines/>
        <c:numFmt formatCode="General" sourceLinked="1"/>
        <c:majorTickMark val="out"/>
        <c:minorTickMark val="none"/>
        <c:tickLblPos val="nextTo"/>
        <c:crossAx val="254344576"/>
        <c:crosses val="autoZero"/>
        <c:crossBetween val="between"/>
      </c:valAx>
      <c:spPr>
        <a:noFill/>
        <a:ln w="25448">
          <a:noFill/>
        </a:ln>
      </c:spPr>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gradFill>
              <a:gsLst>
                <a:gs pos="0">
                  <a:schemeClr val="bg2">
                    <a:lumMod val="50000"/>
                  </a:schemeClr>
                </a:gs>
                <a:gs pos="4000">
                  <a:srgbClr val="FFFF00"/>
                </a:gs>
                <a:gs pos="76000">
                  <a:srgbClr val="8064A2">
                    <a:lumMod val="40000"/>
                    <a:lumOff val="60000"/>
                  </a:srgbClr>
                </a:gs>
                <a:gs pos="72063">
                  <a:srgbClr val="FFC000"/>
                </a:gs>
                <a:gs pos="100000">
                  <a:schemeClr val="accent6">
                    <a:lumMod val="75000"/>
                  </a:schemeClr>
                </a:gs>
              </a:gsLst>
              <a:lin ang="5400000" scaled="0"/>
            </a:gradFill>
          </c:spPr>
          <c:invertIfNegative val="0"/>
          <c:dLbls>
            <c:spPr>
              <a:noFill/>
              <a:ln w="25438">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327.39999999999998</c:v>
                </c:pt>
                <c:pt idx="1">
                  <c:v>331.1</c:v>
                </c:pt>
                <c:pt idx="2">
                  <c:v>342.1</c:v>
                </c:pt>
                <c:pt idx="3">
                  <c:v>327</c:v>
                </c:pt>
              </c:numCache>
            </c:numRef>
          </c:val>
        </c:ser>
        <c:dLbls>
          <c:showLegendKey val="0"/>
          <c:showVal val="0"/>
          <c:showCatName val="0"/>
          <c:showSerName val="0"/>
          <c:showPercent val="0"/>
          <c:showBubbleSize val="0"/>
        </c:dLbls>
        <c:gapWidth val="150"/>
        <c:shape val="cylinder"/>
        <c:axId val="254358656"/>
        <c:axId val="254360192"/>
        <c:axId val="0"/>
      </c:bar3DChart>
      <c:catAx>
        <c:axId val="254358656"/>
        <c:scaling>
          <c:orientation val="minMax"/>
        </c:scaling>
        <c:delete val="0"/>
        <c:axPos val="b"/>
        <c:numFmt formatCode="General" sourceLinked="1"/>
        <c:majorTickMark val="out"/>
        <c:minorTickMark val="none"/>
        <c:tickLblPos val="nextTo"/>
        <c:crossAx val="254360192"/>
        <c:crosses val="autoZero"/>
        <c:auto val="1"/>
        <c:lblAlgn val="ctr"/>
        <c:lblOffset val="100"/>
        <c:noMultiLvlLbl val="0"/>
      </c:catAx>
      <c:valAx>
        <c:axId val="254360192"/>
        <c:scaling>
          <c:orientation val="minMax"/>
        </c:scaling>
        <c:delete val="0"/>
        <c:axPos val="l"/>
        <c:majorGridlines/>
        <c:numFmt formatCode="General" sourceLinked="1"/>
        <c:majorTickMark val="out"/>
        <c:minorTickMark val="none"/>
        <c:tickLblPos val="nextTo"/>
        <c:crossAx val="254358656"/>
        <c:crosses val="autoZero"/>
        <c:crossBetween val="between"/>
      </c:valAx>
      <c:spPr>
        <a:noFill/>
        <a:ln w="25438">
          <a:noFill/>
        </a:ln>
      </c:spPr>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gradFill>
              <a:gsLst>
                <a:gs pos="0">
                  <a:schemeClr val="accent2"/>
                </a:gs>
                <a:gs pos="0">
                  <a:srgbClr val="FFFF00"/>
                </a:gs>
                <a:gs pos="76000">
                  <a:schemeClr val="accent2">
                    <a:lumMod val="75000"/>
                  </a:schemeClr>
                </a:gs>
                <a:gs pos="0">
                  <a:srgbClr val="FFC000"/>
                </a:gs>
                <a:gs pos="100000">
                  <a:srgbClr val="C5AFC4"/>
                </a:gs>
                <a:gs pos="100000">
                  <a:schemeClr val="accent1">
                    <a:lumMod val="75000"/>
                  </a:schemeClr>
                </a:gs>
              </a:gsLst>
              <a:lin ang="5400000" scaled="0"/>
            </a:gradFill>
          </c:spPr>
          <c:invertIfNegative val="0"/>
          <c:dLbls>
            <c:spPr>
              <a:noFill/>
              <a:ln w="25438">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146.1</c:v>
                </c:pt>
                <c:pt idx="1">
                  <c:v>140.9</c:v>
                </c:pt>
                <c:pt idx="2">
                  <c:v>133.5</c:v>
                </c:pt>
                <c:pt idx="3">
                  <c:v>137.80000000000001</c:v>
                </c:pt>
              </c:numCache>
            </c:numRef>
          </c:val>
        </c:ser>
        <c:dLbls>
          <c:showLegendKey val="0"/>
          <c:showVal val="0"/>
          <c:showCatName val="0"/>
          <c:showSerName val="0"/>
          <c:showPercent val="0"/>
          <c:showBubbleSize val="0"/>
        </c:dLbls>
        <c:gapWidth val="150"/>
        <c:shape val="cylinder"/>
        <c:axId val="254380672"/>
        <c:axId val="354574720"/>
        <c:axId val="0"/>
      </c:bar3DChart>
      <c:catAx>
        <c:axId val="254380672"/>
        <c:scaling>
          <c:orientation val="minMax"/>
        </c:scaling>
        <c:delete val="0"/>
        <c:axPos val="b"/>
        <c:numFmt formatCode="General" sourceLinked="1"/>
        <c:majorTickMark val="out"/>
        <c:minorTickMark val="none"/>
        <c:tickLblPos val="nextTo"/>
        <c:crossAx val="354574720"/>
        <c:crosses val="autoZero"/>
        <c:auto val="1"/>
        <c:lblAlgn val="ctr"/>
        <c:lblOffset val="100"/>
        <c:noMultiLvlLbl val="0"/>
      </c:catAx>
      <c:valAx>
        <c:axId val="354574720"/>
        <c:scaling>
          <c:orientation val="minMax"/>
        </c:scaling>
        <c:delete val="0"/>
        <c:axPos val="l"/>
        <c:majorGridlines/>
        <c:numFmt formatCode="General" sourceLinked="1"/>
        <c:majorTickMark val="out"/>
        <c:minorTickMark val="none"/>
        <c:tickLblPos val="nextTo"/>
        <c:crossAx val="254380672"/>
        <c:crosses val="autoZero"/>
        <c:crossBetween val="between"/>
      </c:valAx>
      <c:spPr>
        <a:noFill/>
        <a:ln w="25438">
          <a:noFill/>
        </a:ln>
      </c:spPr>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F79646">
                    <a:lumMod val="20000"/>
                    <a:lumOff val="80000"/>
                  </a:srgbClr>
                </a:gs>
                <a:gs pos="15428">
                  <a:srgbClr val="F79646">
                    <a:lumMod val="40000"/>
                    <a:lumOff val="60000"/>
                  </a:srgbClr>
                </a:gs>
                <a:gs pos="76000">
                  <a:srgbClr val="F79646">
                    <a:lumMod val="60000"/>
                    <a:lumOff val="40000"/>
                  </a:srgbClr>
                </a:gs>
                <a:gs pos="100000">
                  <a:srgbClr val="FF0000"/>
                </a:gs>
              </a:gsLst>
              <a:lin ang="5400000" scaled="0"/>
            </a:gradFill>
          </c:spPr>
          <c:invertIfNegative val="0"/>
          <c:dLbls>
            <c:dLbl>
              <c:idx val="0"/>
              <c:layout>
                <c:manualLayout>
                  <c:x val="8.8593576965670072E-3"/>
                  <c:y val="0"/>
                </c:manualLayout>
              </c:layout>
              <c:spPr>
                <a:noFill/>
                <a:ln w="25421">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421">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421">
                  <a:noFill/>
                </a:ln>
              </c:spPr>
              <c:txPr>
                <a:bodyPr/>
                <a:lstStyle/>
                <a:p>
                  <a:pPr>
                    <a:defRPr/>
                  </a:pPr>
                  <a:endParaRPr lang="ru-RU"/>
                </a:p>
              </c:txPr>
              <c:showLegendKey val="0"/>
              <c:showVal val="1"/>
              <c:showCatName val="0"/>
              <c:showSerName val="0"/>
              <c:showPercent val="0"/>
              <c:showBubbleSize val="0"/>
            </c:dLbl>
            <c:spPr>
              <a:noFill/>
              <a:ln w="25421">
                <a:noFill/>
              </a:ln>
            </c:spPr>
            <c:showLegendKey val="0"/>
            <c:showVal val="1"/>
            <c:showCatName val="0"/>
            <c:showSerName val="0"/>
            <c:showPercent val="0"/>
            <c:showBubbleSize val="0"/>
            <c:showLeaderLines val="0"/>
          </c:dLbls>
          <c:cat>
            <c:numRef>
              <c:f>Лист1!$A$2:$A$4</c:f>
              <c:numCache>
                <c:formatCode>General</c:formatCode>
                <c:ptCount val="3"/>
                <c:pt idx="0">
                  <c:v>2010</c:v>
                </c:pt>
                <c:pt idx="1">
                  <c:v>2011</c:v>
                </c:pt>
                <c:pt idx="2">
                  <c:v>2012</c:v>
                </c:pt>
              </c:numCache>
            </c:numRef>
          </c:cat>
          <c:val>
            <c:numRef>
              <c:f>Лист1!$B$2:$B$5</c:f>
              <c:numCache>
                <c:formatCode>General</c:formatCode>
                <c:ptCount val="4"/>
                <c:pt idx="0">
                  <c:v>322</c:v>
                </c:pt>
                <c:pt idx="1">
                  <c:v>334</c:v>
                </c:pt>
                <c:pt idx="2">
                  <c:v>320</c:v>
                </c:pt>
                <c:pt idx="3">
                  <c:v>347</c:v>
                </c:pt>
              </c:numCache>
            </c:numRef>
          </c:val>
        </c:ser>
        <c:dLbls>
          <c:showLegendKey val="0"/>
          <c:showVal val="0"/>
          <c:showCatName val="0"/>
          <c:showSerName val="0"/>
          <c:showPercent val="0"/>
          <c:showBubbleSize val="0"/>
        </c:dLbls>
        <c:gapWidth val="150"/>
        <c:shape val="cylinder"/>
        <c:axId val="354604544"/>
        <c:axId val="354606080"/>
        <c:axId val="0"/>
      </c:bar3DChart>
      <c:catAx>
        <c:axId val="354604544"/>
        <c:scaling>
          <c:orientation val="minMax"/>
        </c:scaling>
        <c:delete val="0"/>
        <c:axPos val="b"/>
        <c:numFmt formatCode="General" sourceLinked="1"/>
        <c:majorTickMark val="out"/>
        <c:minorTickMark val="none"/>
        <c:tickLblPos val="nextTo"/>
        <c:crossAx val="354606080"/>
        <c:crosses val="autoZero"/>
        <c:auto val="1"/>
        <c:lblAlgn val="ctr"/>
        <c:lblOffset val="100"/>
        <c:noMultiLvlLbl val="0"/>
      </c:catAx>
      <c:valAx>
        <c:axId val="354606080"/>
        <c:scaling>
          <c:orientation val="minMax"/>
        </c:scaling>
        <c:delete val="0"/>
        <c:axPos val="l"/>
        <c:majorGridlines/>
        <c:numFmt formatCode="General" sourceLinked="1"/>
        <c:majorTickMark val="out"/>
        <c:minorTickMark val="none"/>
        <c:tickLblPos val="nextTo"/>
        <c:crossAx val="354604544"/>
        <c:crosses val="autoZero"/>
        <c:crossBetween val="between"/>
      </c:valAx>
      <c:spPr>
        <a:noFill/>
        <a:ln w="25421">
          <a:noFill/>
        </a:ln>
      </c:spPr>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C0504D">
                    <a:lumMod val="40000"/>
                    <a:lumOff val="60000"/>
                  </a:srgbClr>
                </a:gs>
                <a:gs pos="15428">
                  <a:srgbClr val="C0504D">
                    <a:lumMod val="40000"/>
                    <a:lumOff val="60000"/>
                  </a:srgbClr>
                </a:gs>
                <a:gs pos="76000">
                  <a:srgbClr val="C0504D">
                    <a:lumMod val="40000"/>
                    <a:lumOff val="60000"/>
                  </a:srgbClr>
                </a:gs>
                <a:gs pos="100000">
                  <a:srgbClr val="EEECE1">
                    <a:lumMod val="50000"/>
                  </a:srgbClr>
                </a:gs>
              </a:gsLst>
              <a:lin ang="5400000" scaled="0"/>
            </a:gradFill>
          </c:spPr>
          <c:invertIfNegative val="0"/>
          <c:dLbls>
            <c:dLbl>
              <c:idx val="0"/>
              <c:layout>
                <c:manualLayout>
                  <c:x val="8.8593576965670072E-3"/>
                  <c:y val="0"/>
                </c:manualLayout>
              </c:layout>
              <c:spPr>
                <a:noFill/>
                <a:ln w="25421">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421">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421">
                  <a:noFill/>
                </a:ln>
              </c:spPr>
              <c:txPr>
                <a:bodyPr/>
                <a:lstStyle/>
                <a:p>
                  <a:pPr>
                    <a:defRPr/>
                  </a:pPr>
                  <a:endParaRPr lang="ru-RU"/>
                </a:p>
              </c:txPr>
              <c:showLegendKey val="0"/>
              <c:showVal val="1"/>
              <c:showCatName val="0"/>
              <c:showSerName val="0"/>
              <c:showPercent val="0"/>
              <c:showBubbleSize val="0"/>
            </c:dLbl>
            <c:spPr>
              <a:noFill/>
              <a:ln w="25421">
                <a:noFill/>
              </a:ln>
            </c:spPr>
            <c:showLegendKey val="0"/>
            <c:showVal val="1"/>
            <c:showCatName val="0"/>
            <c:showSerName val="0"/>
            <c:showPercent val="0"/>
            <c:showBubbleSize val="0"/>
            <c:showLeaderLines val="0"/>
          </c:dLbls>
          <c:cat>
            <c:numRef>
              <c:f>Лист1!$A$2:$A$4</c:f>
              <c:numCache>
                <c:formatCode>General</c:formatCode>
                <c:ptCount val="3"/>
                <c:pt idx="0">
                  <c:v>2010</c:v>
                </c:pt>
                <c:pt idx="1">
                  <c:v>2011</c:v>
                </c:pt>
                <c:pt idx="2">
                  <c:v>2012</c:v>
                </c:pt>
              </c:numCache>
            </c:numRef>
          </c:cat>
          <c:val>
            <c:numRef>
              <c:f>Лист1!$B$2:$B$5</c:f>
              <c:numCache>
                <c:formatCode>General</c:formatCode>
                <c:ptCount val="4"/>
                <c:pt idx="0">
                  <c:v>116859</c:v>
                </c:pt>
                <c:pt idx="1">
                  <c:v>116986</c:v>
                </c:pt>
                <c:pt idx="2">
                  <c:v>104552</c:v>
                </c:pt>
                <c:pt idx="3">
                  <c:v>135231</c:v>
                </c:pt>
              </c:numCache>
            </c:numRef>
          </c:val>
        </c:ser>
        <c:dLbls>
          <c:showLegendKey val="0"/>
          <c:showVal val="0"/>
          <c:showCatName val="0"/>
          <c:showSerName val="0"/>
          <c:showPercent val="0"/>
          <c:showBubbleSize val="0"/>
        </c:dLbls>
        <c:gapWidth val="150"/>
        <c:shape val="pyramid"/>
        <c:axId val="355680640"/>
        <c:axId val="355682176"/>
        <c:axId val="0"/>
      </c:bar3DChart>
      <c:catAx>
        <c:axId val="355680640"/>
        <c:scaling>
          <c:orientation val="minMax"/>
        </c:scaling>
        <c:delete val="0"/>
        <c:axPos val="b"/>
        <c:numFmt formatCode="General" sourceLinked="1"/>
        <c:majorTickMark val="out"/>
        <c:minorTickMark val="none"/>
        <c:tickLblPos val="nextTo"/>
        <c:crossAx val="355682176"/>
        <c:crosses val="autoZero"/>
        <c:auto val="1"/>
        <c:lblAlgn val="ctr"/>
        <c:lblOffset val="100"/>
        <c:noMultiLvlLbl val="0"/>
      </c:catAx>
      <c:valAx>
        <c:axId val="355682176"/>
        <c:scaling>
          <c:orientation val="minMax"/>
        </c:scaling>
        <c:delete val="0"/>
        <c:axPos val="l"/>
        <c:majorGridlines/>
        <c:numFmt formatCode="General" sourceLinked="1"/>
        <c:majorTickMark val="out"/>
        <c:minorTickMark val="none"/>
        <c:tickLblPos val="nextTo"/>
        <c:crossAx val="355680640"/>
        <c:crosses val="autoZero"/>
        <c:crossBetween val="between"/>
      </c:valAx>
      <c:spPr>
        <a:noFill/>
        <a:ln w="25421">
          <a:noFill/>
        </a:ln>
      </c:spPr>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Количество пользователей</c:v>
                </c:pt>
              </c:strCache>
            </c:strRef>
          </c:tx>
          <c:dLbls>
            <c:spPr>
              <a:noFill/>
              <a:ln w="25406">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#,##0</c:formatCode>
                <c:ptCount val="4"/>
                <c:pt idx="0">
                  <c:v>11385</c:v>
                </c:pt>
                <c:pt idx="1">
                  <c:v>13342</c:v>
                </c:pt>
                <c:pt idx="2" formatCode="General">
                  <c:v>14959</c:v>
                </c:pt>
                <c:pt idx="3" formatCode="General">
                  <c:v>15819</c:v>
                </c:pt>
              </c:numCache>
            </c:numRef>
          </c:val>
          <c:smooth val="0"/>
        </c:ser>
        <c:ser>
          <c:idx val="1"/>
          <c:order val="1"/>
          <c:tx>
            <c:strRef>
              <c:f>Лист1!$C$1</c:f>
              <c:strCache>
                <c:ptCount val="1"/>
                <c:pt idx="0">
                  <c:v>Посещаемость</c:v>
                </c:pt>
              </c:strCache>
            </c:strRef>
          </c:tx>
          <c:marker>
            <c:spPr>
              <a:gradFill>
                <a:gsLst>
                  <a:gs pos="0">
                    <a:srgbClr val="8064A2">
                      <a:lumMod val="20000"/>
                      <a:lumOff val="80000"/>
                    </a:srgbClr>
                  </a:gs>
                  <a:gs pos="15428">
                    <a:srgbClr val="8064A2">
                      <a:lumMod val="40000"/>
                      <a:lumOff val="60000"/>
                    </a:srgbClr>
                  </a:gs>
                  <a:gs pos="76000">
                    <a:srgbClr val="8064A2">
                      <a:lumMod val="40000"/>
                      <a:lumOff val="60000"/>
                    </a:srgbClr>
                  </a:gs>
                  <a:gs pos="100000">
                    <a:srgbClr val="8064A2">
                      <a:lumMod val="75000"/>
                    </a:srgbClr>
                  </a:gs>
                </a:gsLst>
                <a:lin ang="5400000" scaled="0"/>
              </a:gradFill>
            </c:spPr>
          </c:marker>
          <c:dLbls>
            <c:spPr>
              <a:noFill/>
              <a:ln w="25406">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Лист1!$C$2:$C$5</c:f>
              <c:numCache>
                <c:formatCode>#,##0</c:formatCode>
                <c:ptCount val="4"/>
                <c:pt idx="0">
                  <c:v>80521</c:v>
                </c:pt>
                <c:pt idx="1">
                  <c:v>99009</c:v>
                </c:pt>
                <c:pt idx="2" formatCode="General">
                  <c:v>106938</c:v>
                </c:pt>
                <c:pt idx="3" formatCode="General">
                  <c:v>116506</c:v>
                </c:pt>
              </c:numCache>
            </c:numRef>
          </c:val>
          <c:smooth val="0"/>
        </c:ser>
        <c:ser>
          <c:idx val="2"/>
          <c:order val="2"/>
          <c:tx>
            <c:strRef>
              <c:f>Лист1!$D$1</c:f>
              <c:strCache>
                <c:ptCount val="1"/>
                <c:pt idx="0">
                  <c:v>Книговыдача</c:v>
                </c:pt>
              </c:strCache>
            </c:strRef>
          </c:tx>
          <c:dLbls>
            <c:spPr>
              <a:noFill/>
              <a:ln w="25406">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Лист1!$D$2:$D$5</c:f>
              <c:numCache>
                <c:formatCode>#,##0</c:formatCode>
                <c:ptCount val="4"/>
                <c:pt idx="0">
                  <c:v>221876</c:v>
                </c:pt>
                <c:pt idx="1">
                  <c:v>241993</c:v>
                </c:pt>
                <c:pt idx="2" formatCode="General">
                  <c:v>255198</c:v>
                </c:pt>
                <c:pt idx="3" formatCode="General">
                  <c:v>263006</c:v>
                </c:pt>
              </c:numCache>
            </c:numRef>
          </c:val>
          <c:smooth val="0"/>
        </c:ser>
        <c:dLbls>
          <c:showLegendKey val="0"/>
          <c:showVal val="0"/>
          <c:showCatName val="0"/>
          <c:showSerName val="0"/>
          <c:showPercent val="0"/>
          <c:showBubbleSize val="0"/>
        </c:dLbls>
        <c:marker val="1"/>
        <c:smooth val="0"/>
        <c:axId val="355745792"/>
        <c:axId val="355747328"/>
      </c:lineChart>
      <c:catAx>
        <c:axId val="355745792"/>
        <c:scaling>
          <c:orientation val="minMax"/>
        </c:scaling>
        <c:delete val="0"/>
        <c:axPos val="b"/>
        <c:numFmt formatCode="General" sourceLinked="1"/>
        <c:majorTickMark val="out"/>
        <c:minorTickMark val="none"/>
        <c:tickLblPos val="nextTo"/>
        <c:crossAx val="355747328"/>
        <c:crosses val="autoZero"/>
        <c:auto val="1"/>
        <c:lblAlgn val="ctr"/>
        <c:lblOffset val="100"/>
        <c:noMultiLvlLbl val="0"/>
      </c:catAx>
      <c:valAx>
        <c:axId val="355747328"/>
        <c:scaling>
          <c:orientation val="minMax"/>
        </c:scaling>
        <c:delete val="1"/>
        <c:axPos val="l"/>
        <c:majorGridlines/>
        <c:numFmt formatCode="#,##0" sourceLinked="1"/>
        <c:majorTickMark val="out"/>
        <c:minorTickMark val="none"/>
        <c:tickLblPos val="nextTo"/>
        <c:crossAx val="355745792"/>
        <c:crosses val="autoZero"/>
        <c:crossBetween val="between"/>
      </c:valAx>
    </c:plotArea>
    <c:legend>
      <c:legendPos val="b"/>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Столбец1</c:v>
                </c:pt>
              </c:strCache>
            </c:strRef>
          </c:tx>
          <c:spPr>
            <a:gradFill>
              <a:gsLst>
                <a:gs pos="0">
                  <a:srgbClr val="8064A2">
                    <a:lumMod val="20000"/>
                    <a:lumOff val="80000"/>
                  </a:srgbClr>
                </a:gs>
                <a:gs pos="15428">
                  <a:srgbClr val="8064A2">
                    <a:lumMod val="40000"/>
                    <a:lumOff val="60000"/>
                  </a:srgbClr>
                </a:gs>
                <a:gs pos="76000">
                  <a:srgbClr val="8064A2">
                    <a:lumMod val="40000"/>
                    <a:lumOff val="60000"/>
                  </a:srgbClr>
                </a:gs>
                <a:gs pos="100000">
                  <a:srgbClr val="8064A2">
                    <a:lumMod val="75000"/>
                  </a:srgbClr>
                </a:gs>
              </a:gsLst>
              <a:lin ang="5400000" scaled="0"/>
            </a:gradFill>
          </c:spPr>
          <c:invertIfNegative val="0"/>
          <c:dLbls>
            <c:dLbl>
              <c:idx val="0"/>
              <c:layout>
                <c:manualLayout>
                  <c:x val="8.8593576965670072E-3"/>
                  <c:y val="0"/>
                </c:manualLayout>
              </c:layout>
              <c:spPr>
                <a:noFill/>
                <a:ln w="25406">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406">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406">
                  <a:noFill/>
                </a:ln>
              </c:spPr>
              <c:txPr>
                <a:bodyPr/>
                <a:lstStyle/>
                <a:p>
                  <a:pPr>
                    <a:defRPr/>
                  </a:pPr>
                  <a:endParaRPr lang="ru-RU"/>
                </a:p>
              </c:txPr>
              <c:showLegendKey val="0"/>
              <c:showVal val="1"/>
              <c:showCatName val="0"/>
              <c:showSerName val="0"/>
              <c:showPercent val="0"/>
              <c:showBubbleSize val="0"/>
            </c:dLbl>
            <c:spPr>
              <a:noFill/>
              <a:ln w="25406">
                <a:noFill/>
              </a:ln>
            </c:spPr>
            <c:showLegendKey val="0"/>
            <c:showVal val="1"/>
            <c:showCatName val="0"/>
            <c:showSerName val="0"/>
            <c:showPercent val="0"/>
            <c:showBubbleSize val="0"/>
            <c:showLeaderLines val="0"/>
          </c:dLbls>
          <c:cat>
            <c:numRef>
              <c:f>Лист1!$A$2:$A$4</c:f>
              <c:numCache>
                <c:formatCode>General</c:formatCode>
                <c:ptCount val="3"/>
                <c:pt idx="0">
                  <c:v>2010</c:v>
                </c:pt>
                <c:pt idx="1">
                  <c:v>2011</c:v>
                </c:pt>
                <c:pt idx="2">
                  <c:v>2012</c:v>
                </c:pt>
              </c:numCache>
            </c:numRef>
          </c:cat>
          <c:val>
            <c:numRef>
              <c:f>Лист1!$B$2:$B$5</c:f>
              <c:numCache>
                <c:formatCode>General</c:formatCode>
                <c:ptCount val="4"/>
                <c:pt idx="0">
                  <c:v>323</c:v>
                </c:pt>
                <c:pt idx="1">
                  <c:v>370</c:v>
                </c:pt>
                <c:pt idx="2">
                  <c:v>428</c:v>
                </c:pt>
                <c:pt idx="3">
                  <c:v>505</c:v>
                </c:pt>
              </c:numCache>
            </c:numRef>
          </c:val>
        </c:ser>
        <c:dLbls>
          <c:showLegendKey val="0"/>
          <c:showVal val="0"/>
          <c:showCatName val="0"/>
          <c:showSerName val="0"/>
          <c:showPercent val="0"/>
          <c:showBubbleSize val="0"/>
        </c:dLbls>
        <c:gapWidth val="150"/>
        <c:shape val="cone"/>
        <c:axId val="360074240"/>
        <c:axId val="360076032"/>
        <c:axId val="355734400"/>
      </c:bar3DChart>
      <c:catAx>
        <c:axId val="360074240"/>
        <c:scaling>
          <c:orientation val="minMax"/>
        </c:scaling>
        <c:delete val="0"/>
        <c:axPos val="b"/>
        <c:numFmt formatCode="General" sourceLinked="1"/>
        <c:majorTickMark val="out"/>
        <c:minorTickMark val="none"/>
        <c:tickLblPos val="nextTo"/>
        <c:crossAx val="360076032"/>
        <c:crosses val="autoZero"/>
        <c:auto val="1"/>
        <c:lblAlgn val="ctr"/>
        <c:lblOffset val="100"/>
        <c:noMultiLvlLbl val="0"/>
      </c:catAx>
      <c:valAx>
        <c:axId val="360076032"/>
        <c:scaling>
          <c:orientation val="minMax"/>
        </c:scaling>
        <c:delete val="0"/>
        <c:axPos val="l"/>
        <c:majorGridlines/>
        <c:numFmt formatCode="General" sourceLinked="1"/>
        <c:majorTickMark val="out"/>
        <c:minorTickMark val="none"/>
        <c:tickLblPos val="nextTo"/>
        <c:crossAx val="360074240"/>
        <c:crosses val="autoZero"/>
        <c:crossBetween val="between"/>
      </c:valAx>
      <c:serAx>
        <c:axId val="355734400"/>
        <c:scaling>
          <c:orientation val="minMax"/>
        </c:scaling>
        <c:delete val="1"/>
        <c:axPos val="b"/>
        <c:majorTickMark val="out"/>
        <c:minorTickMark val="none"/>
        <c:tickLblPos val="nextTo"/>
        <c:crossAx val="360076032"/>
        <c:crosses val="autoZero"/>
      </c:serAx>
      <c:spPr>
        <a:noFill/>
        <a:ln w="25406">
          <a:noFill/>
        </a:ln>
      </c:spPr>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Столбец1</c:v>
                </c:pt>
              </c:strCache>
            </c:strRef>
          </c:tx>
          <c:spPr>
            <a:gradFill>
              <a:gsLst>
                <a:gs pos="0">
                  <a:srgbClr val="8064A2">
                    <a:lumMod val="20000"/>
                    <a:lumOff val="80000"/>
                  </a:srgbClr>
                </a:gs>
                <a:gs pos="15428">
                  <a:srgbClr val="1F497D">
                    <a:lumMod val="20000"/>
                    <a:lumOff val="80000"/>
                  </a:srgbClr>
                </a:gs>
                <a:gs pos="76000">
                  <a:srgbClr val="00B0F0"/>
                </a:gs>
                <a:gs pos="100000">
                  <a:srgbClr val="1F497D">
                    <a:lumMod val="75000"/>
                  </a:srgbClr>
                </a:gs>
              </a:gsLst>
              <a:lin ang="5400000" scaled="0"/>
            </a:gradFill>
          </c:spPr>
          <c:invertIfNegative val="0"/>
          <c:dLbls>
            <c:dLbl>
              <c:idx val="0"/>
              <c:layout>
                <c:manualLayout>
                  <c:x val="8.8593576965670072E-3"/>
                  <c:y val="0"/>
                </c:manualLayout>
              </c:layout>
              <c:spPr>
                <a:noFill/>
                <a:ln w="25362">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362">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362">
                  <a:noFill/>
                </a:ln>
              </c:spPr>
              <c:txPr>
                <a:bodyPr/>
                <a:lstStyle/>
                <a:p>
                  <a:pPr>
                    <a:defRPr/>
                  </a:pPr>
                  <a:endParaRPr lang="ru-RU"/>
                </a:p>
              </c:txPr>
              <c:showLegendKey val="0"/>
              <c:showVal val="1"/>
              <c:showCatName val="0"/>
              <c:showSerName val="0"/>
              <c:showPercent val="0"/>
              <c:showBubbleSize val="0"/>
            </c:dLbl>
            <c:spPr>
              <a:noFill/>
              <a:ln w="25362">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90</c:v>
                </c:pt>
                <c:pt idx="1">
                  <c:v>91</c:v>
                </c:pt>
                <c:pt idx="2">
                  <c:v>112.8</c:v>
                </c:pt>
              </c:numCache>
            </c:numRef>
          </c:val>
        </c:ser>
        <c:dLbls>
          <c:showLegendKey val="0"/>
          <c:showVal val="0"/>
          <c:showCatName val="0"/>
          <c:showSerName val="0"/>
          <c:showPercent val="0"/>
          <c:showBubbleSize val="0"/>
        </c:dLbls>
        <c:gapWidth val="150"/>
        <c:shape val="cylinder"/>
        <c:axId val="253824000"/>
        <c:axId val="253829888"/>
        <c:axId val="253792704"/>
      </c:bar3DChart>
      <c:catAx>
        <c:axId val="253824000"/>
        <c:scaling>
          <c:orientation val="minMax"/>
        </c:scaling>
        <c:delete val="0"/>
        <c:axPos val="b"/>
        <c:numFmt formatCode="General" sourceLinked="1"/>
        <c:majorTickMark val="out"/>
        <c:minorTickMark val="none"/>
        <c:tickLblPos val="nextTo"/>
        <c:crossAx val="253829888"/>
        <c:crosses val="autoZero"/>
        <c:auto val="1"/>
        <c:lblAlgn val="ctr"/>
        <c:lblOffset val="100"/>
        <c:noMultiLvlLbl val="0"/>
      </c:catAx>
      <c:valAx>
        <c:axId val="253829888"/>
        <c:scaling>
          <c:orientation val="minMax"/>
        </c:scaling>
        <c:delete val="0"/>
        <c:axPos val="l"/>
        <c:majorGridlines/>
        <c:numFmt formatCode="General" sourceLinked="1"/>
        <c:majorTickMark val="out"/>
        <c:minorTickMark val="none"/>
        <c:tickLblPos val="nextTo"/>
        <c:crossAx val="253824000"/>
        <c:crosses val="autoZero"/>
        <c:crossBetween val="between"/>
      </c:valAx>
      <c:serAx>
        <c:axId val="253792704"/>
        <c:scaling>
          <c:orientation val="minMax"/>
        </c:scaling>
        <c:delete val="1"/>
        <c:axPos val="b"/>
        <c:majorTickMark val="out"/>
        <c:minorTickMark val="none"/>
        <c:tickLblPos val="nextTo"/>
        <c:crossAx val="253829888"/>
        <c:crosses val="autoZero"/>
      </c:serAx>
      <c:spPr>
        <a:noFill/>
        <a:ln w="25362">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gradFill>
              <a:gsLst>
                <a:gs pos="0">
                  <a:srgbClr val="8064A2"/>
                </a:gs>
                <a:gs pos="15428">
                  <a:srgbClr val="1F497D">
                    <a:lumMod val="20000"/>
                    <a:lumOff val="80000"/>
                  </a:srgbClr>
                </a:gs>
                <a:gs pos="76000">
                  <a:srgbClr val="1F497D">
                    <a:lumMod val="20000"/>
                    <a:lumOff val="80000"/>
                  </a:srgbClr>
                </a:gs>
                <a:gs pos="100000">
                  <a:srgbClr val="4F81BD">
                    <a:lumMod val="75000"/>
                  </a:srgbClr>
                </a:gs>
              </a:gsLst>
              <a:lin ang="5400000" scaled="0"/>
            </a:gradFill>
          </c:spPr>
          <c:invertIfNegative val="0"/>
          <c:dLbls>
            <c:dLbl>
              <c:idx val="0"/>
              <c:layout>
                <c:manualLayout>
                  <c:x val="8.8593576965670072E-3"/>
                  <c:y val="0"/>
                </c:manualLayout>
              </c:layout>
              <c:spPr>
                <a:noFill/>
                <a:ln w="25333">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333">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333">
                  <a:noFill/>
                </a:ln>
              </c:spPr>
              <c:txPr>
                <a:bodyPr/>
                <a:lstStyle/>
                <a:p>
                  <a:pPr>
                    <a:defRPr/>
                  </a:pPr>
                  <a:endParaRPr lang="ru-RU"/>
                </a:p>
              </c:txPr>
              <c:showLegendKey val="0"/>
              <c:showVal val="1"/>
              <c:showCatName val="0"/>
              <c:showSerName val="0"/>
              <c:showPercent val="0"/>
              <c:showBubbleSize val="0"/>
            </c:dLbl>
            <c:spPr>
              <a:noFill/>
              <a:ln w="25333">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1636</c:v>
                </c:pt>
                <c:pt idx="1">
                  <c:v>1627</c:v>
                </c:pt>
                <c:pt idx="2">
                  <c:v>1796</c:v>
                </c:pt>
                <c:pt idx="3">
                  <c:v>1848</c:v>
                </c:pt>
              </c:numCache>
            </c:numRef>
          </c:val>
        </c:ser>
        <c:dLbls>
          <c:showLegendKey val="0"/>
          <c:showVal val="0"/>
          <c:showCatName val="0"/>
          <c:showSerName val="0"/>
          <c:showPercent val="0"/>
          <c:showBubbleSize val="0"/>
        </c:dLbls>
        <c:gapWidth val="150"/>
        <c:shape val="cylinder"/>
        <c:axId val="249813248"/>
        <c:axId val="249819136"/>
        <c:axId val="0"/>
      </c:bar3DChart>
      <c:catAx>
        <c:axId val="249813248"/>
        <c:scaling>
          <c:orientation val="minMax"/>
        </c:scaling>
        <c:delete val="0"/>
        <c:axPos val="b"/>
        <c:numFmt formatCode="General" sourceLinked="1"/>
        <c:majorTickMark val="out"/>
        <c:minorTickMark val="none"/>
        <c:tickLblPos val="nextTo"/>
        <c:crossAx val="249819136"/>
        <c:crosses val="autoZero"/>
        <c:auto val="1"/>
        <c:lblAlgn val="ctr"/>
        <c:lblOffset val="100"/>
        <c:noMultiLvlLbl val="0"/>
      </c:catAx>
      <c:valAx>
        <c:axId val="249819136"/>
        <c:scaling>
          <c:orientation val="minMax"/>
        </c:scaling>
        <c:delete val="0"/>
        <c:axPos val="l"/>
        <c:majorGridlines/>
        <c:numFmt formatCode="General" sourceLinked="1"/>
        <c:majorTickMark val="out"/>
        <c:minorTickMark val="none"/>
        <c:tickLblPos val="nextTo"/>
        <c:crossAx val="249813248"/>
        <c:crosses val="autoZero"/>
        <c:crossBetween val="between"/>
      </c:valAx>
      <c:spPr>
        <a:noFill/>
        <a:ln w="25333">
          <a:noFill/>
        </a:ln>
      </c:spPr>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chemeClr val="accent2">
                    <a:lumMod val="60000"/>
                    <a:lumOff val="40000"/>
                  </a:schemeClr>
                </a:gs>
                <a:gs pos="4000">
                  <a:schemeClr val="tx2">
                    <a:lumMod val="40000"/>
                    <a:lumOff val="60000"/>
                  </a:schemeClr>
                </a:gs>
                <a:gs pos="76000">
                  <a:srgbClr val="8064A2">
                    <a:lumMod val="40000"/>
                    <a:lumOff val="60000"/>
                  </a:srgbClr>
                </a:gs>
                <a:gs pos="72063">
                  <a:schemeClr val="accent2">
                    <a:lumMod val="60000"/>
                    <a:lumOff val="40000"/>
                  </a:schemeClr>
                </a:gs>
                <a:gs pos="100000">
                  <a:schemeClr val="accent2">
                    <a:lumMod val="75000"/>
                  </a:schemeClr>
                </a:gs>
              </a:gsLst>
              <a:lin ang="5400000" scaled="0"/>
            </a:gradFill>
          </c:spPr>
          <c:invertIfNegative val="0"/>
          <c:dLbls>
            <c:dLbl>
              <c:idx val="0"/>
              <c:layout>
                <c:manualLayout>
                  <c:x val="4.1382164287191861E-3"/>
                  <c:y val="-0.33459595959595978"/>
                </c:manualLayout>
              </c:layout>
              <c:spPr>
                <a:noFill/>
                <a:ln w="25410">
                  <a:noFill/>
                </a:ln>
              </c:spPr>
              <c:txPr>
                <a:bodyPr/>
                <a:lstStyle/>
                <a:p>
                  <a:pPr>
                    <a:defRPr/>
                  </a:pPr>
                  <a:endParaRPr lang="ru-RU"/>
                </a:p>
              </c:txPr>
              <c:showLegendKey val="0"/>
              <c:showVal val="1"/>
              <c:showCatName val="0"/>
              <c:showSerName val="0"/>
              <c:showPercent val="0"/>
              <c:showBubbleSize val="0"/>
            </c:dLbl>
            <c:dLbl>
              <c:idx val="1"/>
              <c:layout>
                <c:manualLayout>
                  <c:x val="0"/>
                  <c:y val="-0.32196969696969718"/>
                </c:manualLayout>
              </c:layout>
              <c:spPr>
                <a:noFill/>
                <a:ln w="25410">
                  <a:noFill/>
                </a:ln>
              </c:spPr>
              <c:txPr>
                <a:bodyPr/>
                <a:lstStyle/>
                <a:p>
                  <a:pPr>
                    <a:defRPr/>
                  </a:pPr>
                  <a:endParaRPr lang="ru-RU"/>
                </a:p>
              </c:txPr>
              <c:showLegendKey val="0"/>
              <c:showVal val="1"/>
              <c:showCatName val="0"/>
              <c:showSerName val="0"/>
              <c:showPercent val="0"/>
              <c:showBubbleSize val="0"/>
            </c:dLbl>
            <c:dLbl>
              <c:idx val="2"/>
              <c:layout>
                <c:manualLayout>
                  <c:x val="4.137880701315314E-3"/>
                  <c:y val="-0.37247474747474768"/>
                </c:manualLayout>
              </c:layout>
              <c:spPr>
                <a:noFill/>
                <a:ln w="25410">
                  <a:noFill/>
                </a:ln>
              </c:spPr>
              <c:txPr>
                <a:bodyPr/>
                <a:lstStyle/>
                <a:p>
                  <a:pPr>
                    <a:defRPr/>
                  </a:pPr>
                  <a:endParaRPr lang="ru-RU"/>
                </a:p>
              </c:txPr>
              <c:showLegendKey val="0"/>
              <c:showVal val="1"/>
              <c:showCatName val="0"/>
              <c:showSerName val="0"/>
              <c:showPercent val="0"/>
              <c:showBubbleSize val="0"/>
            </c:dLbl>
            <c:dLbl>
              <c:idx val="3"/>
              <c:layout>
                <c:manualLayout>
                  <c:x val="1.2413642103946161E-2"/>
                  <c:y val="-0.37878787878787901"/>
                </c:manualLayout>
              </c:layout>
              <c:spPr>
                <a:noFill/>
                <a:ln w="25410">
                  <a:noFill/>
                </a:ln>
              </c:spPr>
              <c:txPr>
                <a:bodyPr/>
                <a:lstStyle/>
                <a:p>
                  <a:pPr>
                    <a:defRPr/>
                  </a:pPr>
                  <a:endParaRPr lang="ru-RU"/>
                </a:p>
              </c:txPr>
              <c:showLegendKey val="0"/>
              <c:showVal val="1"/>
              <c:showCatName val="0"/>
              <c:showSerName val="0"/>
              <c:showPercent val="0"/>
              <c:showBubbleSize val="0"/>
            </c:dLbl>
            <c:spPr>
              <a:noFill/>
              <a:ln w="25410">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23975</c:v>
                </c:pt>
                <c:pt idx="1">
                  <c:v>25170</c:v>
                </c:pt>
                <c:pt idx="2">
                  <c:v>27883</c:v>
                </c:pt>
                <c:pt idx="3">
                  <c:v>31556</c:v>
                </c:pt>
              </c:numCache>
            </c:numRef>
          </c:val>
        </c:ser>
        <c:dLbls>
          <c:showLegendKey val="0"/>
          <c:showVal val="0"/>
          <c:showCatName val="0"/>
          <c:showSerName val="0"/>
          <c:showPercent val="0"/>
          <c:showBubbleSize val="0"/>
        </c:dLbls>
        <c:gapWidth val="150"/>
        <c:shape val="box"/>
        <c:axId val="360004992"/>
        <c:axId val="360019072"/>
        <c:axId val="0"/>
      </c:bar3DChart>
      <c:catAx>
        <c:axId val="360004992"/>
        <c:scaling>
          <c:orientation val="minMax"/>
        </c:scaling>
        <c:delete val="0"/>
        <c:axPos val="b"/>
        <c:numFmt formatCode="General" sourceLinked="1"/>
        <c:majorTickMark val="out"/>
        <c:minorTickMark val="none"/>
        <c:tickLblPos val="nextTo"/>
        <c:crossAx val="360019072"/>
        <c:crosses val="autoZero"/>
        <c:auto val="1"/>
        <c:lblAlgn val="ctr"/>
        <c:lblOffset val="100"/>
        <c:noMultiLvlLbl val="0"/>
      </c:catAx>
      <c:valAx>
        <c:axId val="360019072"/>
        <c:scaling>
          <c:orientation val="minMax"/>
        </c:scaling>
        <c:delete val="0"/>
        <c:axPos val="l"/>
        <c:majorGridlines/>
        <c:numFmt formatCode="General" sourceLinked="1"/>
        <c:majorTickMark val="out"/>
        <c:minorTickMark val="none"/>
        <c:tickLblPos val="nextTo"/>
        <c:crossAx val="360004992"/>
        <c:crosses val="autoZero"/>
        <c:crossBetween val="between"/>
      </c:valAx>
      <c:spPr>
        <a:noFill/>
        <a:ln w="25410">
          <a:noFill/>
        </a:ln>
      </c:spPr>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Столбец1</c:v>
                </c:pt>
              </c:strCache>
            </c:strRef>
          </c:tx>
          <c:spPr>
            <a:gradFill>
              <a:gsLst>
                <a:gs pos="0">
                  <a:schemeClr val="accent3">
                    <a:lumMod val="60000"/>
                    <a:lumOff val="40000"/>
                  </a:schemeClr>
                </a:gs>
                <a:gs pos="4000">
                  <a:schemeClr val="accent2">
                    <a:lumMod val="40000"/>
                    <a:lumOff val="60000"/>
                  </a:schemeClr>
                </a:gs>
                <a:gs pos="76000">
                  <a:srgbClr val="FFFF00"/>
                </a:gs>
                <a:gs pos="72063">
                  <a:srgbClr val="FFC000"/>
                </a:gs>
                <a:gs pos="100000">
                  <a:schemeClr val="accent3">
                    <a:lumMod val="75000"/>
                  </a:schemeClr>
                </a:gs>
              </a:gsLst>
              <a:lin ang="5400000" scaled="0"/>
            </a:gradFill>
          </c:spPr>
          <c:invertIfNegative val="0"/>
          <c:dLbls>
            <c:spPr>
              <a:noFill/>
              <a:ln w="25410">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30.9</c:v>
                </c:pt>
                <c:pt idx="1">
                  <c:v>32.700000000000003</c:v>
                </c:pt>
                <c:pt idx="2">
                  <c:v>32.9</c:v>
                </c:pt>
              </c:numCache>
            </c:numRef>
          </c:val>
        </c:ser>
        <c:dLbls>
          <c:showLegendKey val="0"/>
          <c:showVal val="0"/>
          <c:showCatName val="0"/>
          <c:showSerName val="0"/>
          <c:showPercent val="0"/>
          <c:showBubbleSize val="0"/>
        </c:dLbls>
        <c:gapWidth val="150"/>
        <c:shape val="cone"/>
        <c:axId val="360035456"/>
        <c:axId val="360036992"/>
        <c:axId val="359989696"/>
      </c:bar3DChart>
      <c:catAx>
        <c:axId val="360035456"/>
        <c:scaling>
          <c:orientation val="minMax"/>
        </c:scaling>
        <c:delete val="0"/>
        <c:axPos val="b"/>
        <c:numFmt formatCode="General" sourceLinked="1"/>
        <c:majorTickMark val="out"/>
        <c:minorTickMark val="none"/>
        <c:tickLblPos val="nextTo"/>
        <c:crossAx val="360036992"/>
        <c:crosses val="autoZero"/>
        <c:auto val="1"/>
        <c:lblAlgn val="ctr"/>
        <c:lblOffset val="100"/>
        <c:noMultiLvlLbl val="0"/>
      </c:catAx>
      <c:valAx>
        <c:axId val="360036992"/>
        <c:scaling>
          <c:orientation val="minMax"/>
        </c:scaling>
        <c:delete val="0"/>
        <c:axPos val="l"/>
        <c:majorGridlines/>
        <c:numFmt formatCode="General" sourceLinked="1"/>
        <c:majorTickMark val="out"/>
        <c:minorTickMark val="none"/>
        <c:tickLblPos val="nextTo"/>
        <c:crossAx val="360035456"/>
        <c:crosses val="autoZero"/>
        <c:crossBetween val="between"/>
      </c:valAx>
      <c:serAx>
        <c:axId val="359989696"/>
        <c:scaling>
          <c:orientation val="minMax"/>
        </c:scaling>
        <c:delete val="1"/>
        <c:axPos val="b"/>
        <c:majorTickMark val="out"/>
        <c:minorTickMark val="none"/>
        <c:tickLblPos val="nextTo"/>
        <c:crossAx val="360036992"/>
        <c:crosses val="autoZero"/>
      </c:serAx>
      <c:spPr>
        <a:noFill/>
        <a:ln w="25410">
          <a:noFill/>
        </a:ln>
      </c:spPr>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9.1748131483564518E-2"/>
          <c:y val="7.1860968835206318E-2"/>
          <c:w val="0.86761694788151478"/>
          <c:h val="0.7659924062890201"/>
        </c:manualLayout>
      </c:layout>
      <c:bar3DChart>
        <c:barDir val="col"/>
        <c:grouping val="clustered"/>
        <c:varyColors val="0"/>
        <c:ser>
          <c:idx val="0"/>
          <c:order val="0"/>
          <c:tx>
            <c:strRef>
              <c:f>Лист1!$B$1</c:f>
              <c:strCache>
                <c:ptCount val="1"/>
                <c:pt idx="0">
                  <c:v>Число жилых домов, ед.</c:v>
                </c:pt>
              </c:strCache>
            </c:strRef>
          </c:tx>
          <c:spPr>
            <a:gradFill>
              <a:gsLst>
                <a:gs pos="0">
                  <a:schemeClr val="accent3">
                    <a:lumMod val="60000"/>
                    <a:lumOff val="40000"/>
                  </a:schemeClr>
                </a:gs>
                <a:gs pos="4000">
                  <a:schemeClr val="bg2">
                    <a:lumMod val="75000"/>
                  </a:schemeClr>
                </a:gs>
                <a:gs pos="76000">
                  <a:srgbClr val="FFFF00"/>
                </a:gs>
                <a:gs pos="72063">
                  <a:schemeClr val="bg2">
                    <a:lumMod val="75000"/>
                  </a:schemeClr>
                </a:gs>
                <a:gs pos="100000">
                  <a:schemeClr val="bg2">
                    <a:lumMod val="25000"/>
                  </a:schemeClr>
                </a:gs>
              </a:gsLst>
              <a:lin ang="5400000" scaled="0"/>
            </a:gradFill>
          </c:spPr>
          <c:invertIfNegative val="0"/>
          <c:dLbls>
            <c:spPr>
              <a:noFill/>
              <a:ln w="25354">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416</c:v>
                </c:pt>
                <c:pt idx="1">
                  <c:v>442</c:v>
                </c:pt>
                <c:pt idx="2">
                  <c:v>509</c:v>
                </c:pt>
                <c:pt idx="3">
                  <c:v>600</c:v>
                </c:pt>
              </c:numCache>
            </c:numRef>
          </c:val>
        </c:ser>
        <c:dLbls>
          <c:showLegendKey val="0"/>
          <c:showVal val="0"/>
          <c:showCatName val="0"/>
          <c:showSerName val="0"/>
          <c:showPercent val="0"/>
          <c:showBubbleSize val="0"/>
        </c:dLbls>
        <c:gapWidth val="150"/>
        <c:shape val="cylinder"/>
        <c:axId val="360255488"/>
        <c:axId val="360257024"/>
        <c:axId val="0"/>
      </c:bar3DChart>
      <c:catAx>
        <c:axId val="360255488"/>
        <c:scaling>
          <c:orientation val="minMax"/>
        </c:scaling>
        <c:delete val="0"/>
        <c:axPos val="b"/>
        <c:numFmt formatCode="General" sourceLinked="1"/>
        <c:majorTickMark val="out"/>
        <c:minorTickMark val="none"/>
        <c:tickLblPos val="nextTo"/>
        <c:crossAx val="360257024"/>
        <c:crosses val="autoZero"/>
        <c:auto val="1"/>
        <c:lblAlgn val="ctr"/>
        <c:lblOffset val="100"/>
        <c:noMultiLvlLbl val="0"/>
      </c:catAx>
      <c:valAx>
        <c:axId val="360257024"/>
        <c:scaling>
          <c:orientation val="minMax"/>
        </c:scaling>
        <c:delete val="0"/>
        <c:axPos val="l"/>
        <c:majorGridlines/>
        <c:numFmt formatCode="General" sourceLinked="1"/>
        <c:majorTickMark val="out"/>
        <c:minorTickMark val="none"/>
        <c:tickLblPos val="nextTo"/>
        <c:crossAx val="360255488"/>
        <c:crosses val="autoZero"/>
        <c:crossBetween val="between"/>
      </c:valAx>
      <c:spPr>
        <a:noFill/>
        <a:ln w="25354">
          <a:noFill/>
        </a:ln>
      </c:spPr>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9.1748131483564518E-2"/>
          <c:y val="7.1860968835206318E-2"/>
          <c:w val="0.86761694788151478"/>
          <c:h val="0.7659924062890201"/>
        </c:manualLayout>
      </c:layout>
      <c:bar3DChart>
        <c:barDir val="col"/>
        <c:grouping val="clustered"/>
        <c:varyColors val="0"/>
        <c:ser>
          <c:idx val="0"/>
          <c:order val="0"/>
          <c:tx>
            <c:strRef>
              <c:f>Лист1!$B$1</c:f>
              <c:strCache>
                <c:ptCount val="1"/>
                <c:pt idx="0">
                  <c:v>Число жилых домов, ед.</c:v>
                </c:pt>
              </c:strCache>
            </c:strRef>
          </c:tx>
          <c:spPr>
            <a:gradFill>
              <a:gsLst>
                <a:gs pos="0">
                  <a:schemeClr val="accent6">
                    <a:lumMod val="50000"/>
                  </a:schemeClr>
                </a:gs>
                <a:gs pos="3000">
                  <a:schemeClr val="accent6">
                    <a:lumMod val="40000"/>
                    <a:lumOff val="60000"/>
                  </a:schemeClr>
                </a:gs>
                <a:gs pos="76000">
                  <a:schemeClr val="accent6">
                    <a:lumMod val="60000"/>
                    <a:lumOff val="40000"/>
                  </a:schemeClr>
                </a:gs>
                <a:gs pos="72063">
                  <a:schemeClr val="accent6">
                    <a:lumMod val="40000"/>
                    <a:lumOff val="60000"/>
                  </a:schemeClr>
                </a:gs>
                <a:gs pos="100000">
                  <a:schemeClr val="accent2">
                    <a:lumMod val="75000"/>
                  </a:schemeClr>
                </a:gs>
              </a:gsLst>
              <a:lin ang="5400000" scaled="0"/>
            </a:gradFill>
          </c:spPr>
          <c:invertIfNegative val="0"/>
          <c:dLbls>
            <c:spPr>
              <a:noFill/>
              <a:ln w="25354">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6407</c:v>
                </c:pt>
                <c:pt idx="1">
                  <c:v>7389</c:v>
                </c:pt>
                <c:pt idx="2">
                  <c:v>7936</c:v>
                </c:pt>
                <c:pt idx="3">
                  <c:v>8617</c:v>
                </c:pt>
              </c:numCache>
            </c:numRef>
          </c:val>
        </c:ser>
        <c:dLbls>
          <c:showLegendKey val="0"/>
          <c:showVal val="0"/>
          <c:showCatName val="0"/>
          <c:showSerName val="0"/>
          <c:showPercent val="0"/>
          <c:showBubbleSize val="0"/>
        </c:dLbls>
        <c:gapWidth val="150"/>
        <c:shape val="cylinder"/>
        <c:axId val="355780096"/>
        <c:axId val="355781632"/>
        <c:axId val="0"/>
      </c:bar3DChart>
      <c:catAx>
        <c:axId val="355780096"/>
        <c:scaling>
          <c:orientation val="minMax"/>
        </c:scaling>
        <c:delete val="0"/>
        <c:axPos val="b"/>
        <c:numFmt formatCode="General" sourceLinked="1"/>
        <c:majorTickMark val="out"/>
        <c:minorTickMark val="none"/>
        <c:tickLblPos val="nextTo"/>
        <c:crossAx val="355781632"/>
        <c:crosses val="autoZero"/>
        <c:auto val="1"/>
        <c:lblAlgn val="ctr"/>
        <c:lblOffset val="100"/>
        <c:noMultiLvlLbl val="0"/>
      </c:catAx>
      <c:valAx>
        <c:axId val="355781632"/>
        <c:scaling>
          <c:orientation val="minMax"/>
          <c:min val="5000"/>
        </c:scaling>
        <c:delete val="0"/>
        <c:axPos val="l"/>
        <c:majorGridlines/>
        <c:numFmt formatCode="General" sourceLinked="1"/>
        <c:majorTickMark val="out"/>
        <c:minorTickMark val="none"/>
        <c:tickLblPos val="nextTo"/>
        <c:crossAx val="355780096"/>
        <c:crosses val="autoZero"/>
        <c:crossBetween val="between"/>
      </c:valAx>
      <c:spPr>
        <a:noFill/>
        <a:ln w="25354">
          <a:noFill/>
        </a:ln>
      </c:spPr>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7030A0"/>
                </a:gs>
                <a:gs pos="15428">
                  <a:srgbClr val="C0504D"/>
                </a:gs>
                <a:gs pos="76000">
                  <a:srgbClr val="F79646">
                    <a:lumMod val="60000"/>
                    <a:lumOff val="40000"/>
                  </a:srgbClr>
                </a:gs>
                <a:gs pos="100000">
                  <a:srgbClr val="F79646">
                    <a:lumMod val="75000"/>
                  </a:srgbClr>
                </a:gs>
              </a:gsLst>
              <a:lin ang="5400000" scaled="0"/>
            </a:gradFill>
          </c:spPr>
          <c:invertIfNegative val="0"/>
          <c:dLbls>
            <c:dLbl>
              <c:idx val="0"/>
              <c:layout>
                <c:manualLayout>
                  <c:x val="1.3283765691513552E-2"/>
                  <c:y val="-0.18876262157096016"/>
                </c:manualLayout>
              </c:layout>
              <c:spPr>
                <a:noFill/>
                <a:ln w="23149">
                  <a:noFill/>
                </a:ln>
              </c:spPr>
              <c:txPr>
                <a:bodyPr/>
                <a:lstStyle/>
                <a:p>
                  <a:pPr>
                    <a:defRPr/>
                  </a:pPr>
                  <a:endParaRPr lang="ru-RU"/>
                </a:p>
              </c:txPr>
              <c:showLegendKey val="0"/>
              <c:showVal val="1"/>
              <c:showCatName val="0"/>
              <c:showSerName val="0"/>
              <c:showPercent val="0"/>
              <c:showBubbleSize val="0"/>
            </c:dLbl>
            <c:dLbl>
              <c:idx val="1"/>
              <c:layout>
                <c:manualLayout>
                  <c:x val="1.3320345691450842E-2"/>
                  <c:y val="-0.19304665272193763"/>
                </c:manualLayout>
              </c:layout>
              <c:spPr>
                <a:noFill/>
                <a:ln w="23149">
                  <a:noFill/>
                </a:ln>
              </c:spPr>
              <c:txPr>
                <a:bodyPr/>
                <a:lstStyle/>
                <a:p>
                  <a:pPr>
                    <a:defRPr/>
                  </a:pPr>
                  <a:endParaRPr lang="ru-RU"/>
                </a:p>
              </c:txPr>
              <c:showLegendKey val="0"/>
              <c:showVal val="1"/>
              <c:showCatName val="0"/>
              <c:showSerName val="0"/>
              <c:showPercent val="0"/>
              <c:showBubbleSize val="0"/>
            </c:dLbl>
            <c:dLbl>
              <c:idx val="2"/>
              <c:layout>
                <c:manualLayout>
                  <c:x val="2.6577982811580608E-2"/>
                  <c:y val="-0.26285223636830318"/>
                </c:manualLayout>
              </c:layout>
              <c:spPr>
                <a:noFill/>
                <a:ln w="23149">
                  <a:noFill/>
                </a:ln>
              </c:spPr>
              <c:txPr>
                <a:bodyPr/>
                <a:lstStyle/>
                <a:p>
                  <a:pPr>
                    <a:defRPr/>
                  </a:pPr>
                  <a:endParaRPr lang="ru-RU"/>
                </a:p>
              </c:txPr>
              <c:showLegendKey val="0"/>
              <c:showVal val="1"/>
              <c:showCatName val="0"/>
              <c:showSerName val="0"/>
              <c:showPercent val="0"/>
              <c:showBubbleSize val="0"/>
            </c:dLbl>
            <c:dLbl>
              <c:idx val="3"/>
              <c:layout>
                <c:manualLayout>
                  <c:x val="1.3274336283185761E-2"/>
                  <c:y val="-0.34132171387073357"/>
                </c:manualLayout>
              </c:layout>
              <c:spPr>
                <a:noFill/>
                <a:ln w="23149">
                  <a:noFill/>
                </a:ln>
              </c:spPr>
              <c:txPr>
                <a:bodyPr/>
                <a:lstStyle/>
                <a:p>
                  <a:pPr>
                    <a:defRPr/>
                  </a:pPr>
                  <a:endParaRPr lang="ru-RU"/>
                </a:p>
              </c:txPr>
              <c:showLegendKey val="0"/>
              <c:showVal val="1"/>
              <c:showCatName val="0"/>
              <c:showSerName val="0"/>
              <c:showPercent val="0"/>
              <c:showBubbleSize val="0"/>
            </c:dLbl>
            <c:spPr>
              <a:noFill/>
              <a:ln w="23149">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2398.8000000000002</c:v>
                </c:pt>
                <c:pt idx="1">
                  <c:v>2727.9</c:v>
                </c:pt>
                <c:pt idx="2">
                  <c:v>3206.5</c:v>
                </c:pt>
                <c:pt idx="3" formatCode="#,##0.00">
                  <c:v>3595.3</c:v>
                </c:pt>
              </c:numCache>
            </c:numRef>
          </c:val>
        </c:ser>
        <c:dLbls>
          <c:showLegendKey val="0"/>
          <c:showVal val="0"/>
          <c:showCatName val="0"/>
          <c:showSerName val="0"/>
          <c:showPercent val="0"/>
          <c:showBubbleSize val="0"/>
        </c:dLbls>
        <c:gapWidth val="150"/>
        <c:shape val="cylinder"/>
        <c:axId val="360313216"/>
        <c:axId val="360314752"/>
        <c:axId val="0"/>
      </c:bar3DChart>
      <c:catAx>
        <c:axId val="360313216"/>
        <c:scaling>
          <c:orientation val="minMax"/>
        </c:scaling>
        <c:delete val="0"/>
        <c:axPos val="b"/>
        <c:numFmt formatCode="General" sourceLinked="1"/>
        <c:majorTickMark val="out"/>
        <c:minorTickMark val="none"/>
        <c:tickLblPos val="nextTo"/>
        <c:crossAx val="360314752"/>
        <c:crosses val="autoZero"/>
        <c:auto val="1"/>
        <c:lblAlgn val="ctr"/>
        <c:lblOffset val="100"/>
        <c:noMultiLvlLbl val="0"/>
      </c:catAx>
      <c:valAx>
        <c:axId val="360314752"/>
        <c:scaling>
          <c:orientation val="minMax"/>
          <c:min val="2000"/>
        </c:scaling>
        <c:delete val="0"/>
        <c:axPos val="l"/>
        <c:majorGridlines/>
        <c:numFmt formatCode="General" sourceLinked="1"/>
        <c:majorTickMark val="out"/>
        <c:minorTickMark val="none"/>
        <c:tickLblPos val="nextTo"/>
        <c:crossAx val="360313216"/>
        <c:crosses val="autoZero"/>
        <c:crossBetween val="between"/>
      </c:valAx>
      <c:spPr>
        <a:noFill/>
        <a:ln w="23149">
          <a:noFill/>
        </a:ln>
      </c:spPr>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833">
                  <a:schemeClr val="accent6">
                    <a:lumMod val="40000"/>
                    <a:lumOff val="60000"/>
                  </a:schemeClr>
                </a:gs>
                <a:gs pos="6000">
                  <a:srgbClr val="FFFF00"/>
                </a:gs>
                <a:gs pos="50000">
                  <a:srgbClr val="FFFF00"/>
                </a:gs>
                <a:gs pos="100000">
                  <a:srgbClr val="FFC000"/>
                </a:gs>
              </a:gsLst>
              <a:lin ang="5400000" scaled="0"/>
            </a:gradFill>
          </c:spPr>
          <c:invertIfNegative val="0"/>
          <c:dLbls>
            <c:spPr>
              <a:noFill/>
              <a:ln w="23149">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47</c:v>
                </c:pt>
                <c:pt idx="1">
                  <c:v>50.6</c:v>
                </c:pt>
                <c:pt idx="2">
                  <c:v>53.4</c:v>
                </c:pt>
                <c:pt idx="3">
                  <c:v>51.9</c:v>
                </c:pt>
              </c:numCache>
            </c:numRef>
          </c:val>
        </c:ser>
        <c:dLbls>
          <c:showLegendKey val="0"/>
          <c:showVal val="0"/>
          <c:showCatName val="0"/>
          <c:showSerName val="0"/>
          <c:showPercent val="0"/>
          <c:showBubbleSize val="0"/>
        </c:dLbls>
        <c:gapWidth val="150"/>
        <c:shape val="cylinder"/>
        <c:axId val="360474496"/>
        <c:axId val="360476032"/>
        <c:axId val="0"/>
      </c:bar3DChart>
      <c:catAx>
        <c:axId val="360474496"/>
        <c:scaling>
          <c:orientation val="minMax"/>
        </c:scaling>
        <c:delete val="0"/>
        <c:axPos val="b"/>
        <c:numFmt formatCode="General" sourceLinked="1"/>
        <c:majorTickMark val="out"/>
        <c:minorTickMark val="none"/>
        <c:tickLblPos val="nextTo"/>
        <c:crossAx val="360476032"/>
        <c:crosses val="autoZero"/>
        <c:auto val="1"/>
        <c:lblAlgn val="ctr"/>
        <c:lblOffset val="100"/>
        <c:noMultiLvlLbl val="0"/>
      </c:catAx>
      <c:valAx>
        <c:axId val="360476032"/>
        <c:scaling>
          <c:orientation val="minMax"/>
        </c:scaling>
        <c:delete val="0"/>
        <c:axPos val="l"/>
        <c:majorGridlines/>
        <c:numFmt formatCode="General" sourceLinked="1"/>
        <c:majorTickMark val="out"/>
        <c:minorTickMark val="none"/>
        <c:tickLblPos val="nextTo"/>
        <c:crossAx val="360474496"/>
        <c:crosses val="autoZero"/>
        <c:crossBetween val="between"/>
      </c:valAx>
      <c:spPr>
        <a:noFill/>
        <a:ln w="23149">
          <a:noFill/>
        </a:ln>
      </c:spPr>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37997F"/>
                </a:gs>
                <a:gs pos="15428">
                  <a:srgbClr val="9BBB59">
                    <a:lumMod val="60000"/>
                    <a:lumOff val="40000"/>
                  </a:srgbClr>
                </a:gs>
                <a:gs pos="76000">
                  <a:srgbClr val="9BBB59">
                    <a:lumMod val="20000"/>
                    <a:lumOff val="80000"/>
                  </a:srgbClr>
                </a:gs>
                <a:gs pos="100000">
                  <a:srgbClr val="9BBB59"/>
                </a:gs>
              </a:gsLst>
              <a:lin ang="5400000" scaled="0"/>
            </a:gradFill>
          </c:spPr>
          <c:invertIfNegative val="0"/>
          <c:dLbls>
            <c:dLbl>
              <c:idx val="0"/>
              <c:layout>
                <c:manualLayout>
                  <c:x val="8.8593276038602068E-3"/>
                  <c:y val="-0.26049116564668851"/>
                </c:manualLayout>
              </c:layout>
              <c:spPr>
                <a:noFill/>
                <a:ln w="25368">
                  <a:noFill/>
                </a:ln>
              </c:spPr>
              <c:txPr>
                <a:bodyPr/>
                <a:lstStyle/>
                <a:p>
                  <a:pPr>
                    <a:defRPr/>
                  </a:pPr>
                  <a:endParaRPr lang="ru-RU"/>
                </a:p>
              </c:txPr>
              <c:showLegendKey val="0"/>
              <c:showVal val="1"/>
              <c:showCatName val="0"/>
              <c:showSerName val="0"/>
              <c:showPercent val="0"/>
              <c:showBubbleSize val="0"/>
            </c:dLbl>
            <c:dLbl>
              <c:idx val="1"/>
              <c:layout>
                <c:manualLayout>
                  <c:x val="1.7744783779104181E-2"/>
                  <c:y val="-0.20348483850735222"/>
                </c:manualLayout>
              </c:layout>
              <c:spPr>
                <a:noFill/>
                <a:ln w="25368">
                  <a:noFill/>
                </a:ln>
              </c:spPr>
              <c:txPr>
                <a:bodyPr/>
                <a:lstStyle/>
                <a:p>
                  <a:pPr>
                    <a:defRPr/>
                  </a:pPr>
                  <a:endParaRPr lang="ru-RU"/>
                </a:p>
              </c:txPr>
              <c:showLegendKey val="0"/>
              <c:showVal val="1"/>
              <c:showCatName val="0"/>
              <c:showSerName val="0"/>
              <c:showPercent val="0"/>
              <c:showBubbleSize val="0"/>
            </c:dLbl>
            <c:dLbl>
              <c:idx val="2"/>
              <c:layout>
                <c:manualLayout>
                  <c:x val="1.3304320167668708E-2"/>
                  <c:y val="-0.41238461148169081"/>
                </c:manualLayout>
              </c:layout>
              <c:spPr>
                <a:noFill/>
                <a:ln w="25368">
                  <a:noFill/>
                </a:ln>
              </c:spPr>
              <c:txPr>
                <a:bodyPr/>
                <a:lstStyle/>
                <a:p>
                  <a:pPr>
                    <a:defRPr/>
                  </a:pPr>
                  <a:endParaRPr lang="ru-RU"/>
                </a:p>
              </c:txPr>
              <c:showLegendKey val="0"/>
              <c:showVal val="1"/>
              <c:showCatName val="0"/>
              <c:showSerName val="0"/>
              <c:showPercent val="0"/>
              <c:showBubbleSize val="0"/>
            </c:dLbl>
            <c:dLbl>
              <c:idx val="3"/>
              <c:layout>
                <c:manualLayout>
                  <c:x val="4.4247787610617864E-3"/>
                  <c:y val="-0.37709976002742557"/>
                </c:manualLayout>
              </c:layout>
              <c:spPr>
                <a:noFill/>
                <a:ln w="25368">
                  <a:noFill/>
                </a:ln>
              </c:spPr>
              <c:txPr>
                <a:bodyPr/>
                <a:lstStyle/>
                <a:p>
                  <a:pPr>
                    <a:defRPr/>
                  </a:pPr>
                  <a:endParaRPr lang="ru-RU"/>
                </a:p>
              </c:txPr>
              <c:showLegendKey val="0"/>
              <c:showVal val="1"/>
              <c:showCatName val="0"/>
              <c:showSerName val="0"/>
              <c:showPercent val="0"/>
              <c:showBubbleSize val="0"/>
            </c:dLbl>
            <c:spPr>
              <a:noFill/>
              <a:ln w="25368">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67</c:v>
                </c:pt>
                <c:pt idx="1">
                  <c:v>46.4</c:v>
                </c:pt>
                <c:pt idx="2">
                  <c:v>119.4</c:v>
                </c:pt>
                <c:pt idx="3">
                  <c:v>106.8</c:v>
                </c:pt>
              </c:numCache>
            </c:numRef>
          </c:val>
        </c:ser>
        <c:dLbls>
          <c:showLegendKey val="0"/>
          <c:showVal val="0"/>
          <c:showCatName val="0"/>
          <c:showSerName val="0"/>
          <c:showPercent val="0"/>
          <c:showBubbleSize val="0"/>
        </c:dLbls>
        <c:gapWidth val="150"/>
        <c:shape val="cylinder"/>
        <c:axId val="360379520"/>
        <c:axId val="360381056"/>
        <c:axId val="0"/>
      </c:bar3DChart>
      <c:catAx>
        <c:axId val="360379520"/>
        <c:scaling>
          <c:orientation val="minMax"/>
        </c:scaling>
        <c:delete val="0"/>
        <c:axPos val="b"/>
        <c:numFmt formatCode="General" sourceLinked="1"/>
        <c:majorTickMark val="out"/>
        <c:minorTickMark val="none"/>
        <c:tickLblPos val="nextTo"/>
        <c:crossAx val="360381056"/>
        <c:crosses val="autoZero"/>
        <c:auto val="1"/>
        <c:lblAlgn val="ctr"/>
        <c:lblOffset val="100"/>
        <c:noMultiLvlLbl val="0"/>
      </c:catAx>
      <c:valAx>
        <c:axId val="360381056"/>
        <c:scaling>
          <c:orientation val="minMax"/>
        </c:scaling>
        <c:delete val="0"/>
        <c:axPos val="l"/>
        <c:majorGridlines/>
        <c:numFmt formatCode="General" sourceLinked="1"/>
        <c:majorTickMark val="out"/>
        <c:minorTickMark val="none"/>
        <c:tickLblPos val="nextTo"/>
        <c:crossAx val="360379520"/>
        <c:crosses val="autoZero"/>
        <c:crossBetween val="between"/>
      </c:valAx>
      <c:spPr>
        <a:noFill/>
        <a:ln w="25368">
          <a:noFill/>
        </a:ln>
      </c:spPr>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37997F"/>
                </a:gs>
                <a:gs pos="15428">
                  <a:srgbClr val="9BBB59">
                    <a:lumMod val="60000"/>
                    <a:lumOff val="40000"/>
                  </a:srgbClr>
                </a:gs>
                <a:gs pos="76000">
                  <a:srgbClr val="9BBB59">
                    <a:lumMod val="20000"/>
                    <a:lumOff val="80000"/>
                  </a:srgbClr>
                </a:gs>
                <a:gs pos="100000">
                  <a:srgbClr val="9BBB59"/>
                </a:gs>
              </a:gsLst>
              <a:lin ang="5400000" scaled="0"/>
            </a:gradFill>
          </c:spPr>
          <c:invertIfNegative val="0"/>
          <c:dLbls>
            <c:dLbl>
              <c:idx val="0"/>
              <c:layout>
                <c:manualLayout>
                  <c:x val="4.4345341788028713E-3"/>
                  <c:y val="-0.26054165238258475"/>
                </c:manualLayout>
              </c:layout>
              <c:spPr>
                <a:noFill/>
                <a:ln w="25368">
                  <a:noFill/>
                </a:ln>
              </c:spPr>
              <c:txPr>
                <a:bodyPr/>
                <a:lstStyle/>
                <a:p>
                  <a:pPr>
                    <a:defRPr/>
                  </a:pPr>
                  <a:endParaRPr lang="ru-RU"/>
                </a:p>
              </c:txPr>
              <c:showLegendKey val="0"/>
              <c:showVal val="1"/>
              <c:showCatName val="0"/>
              <c:showSerName val="0"/>
              <c:showPercent val="0"/>
              <c:showBubbleSize val="0"/>
            </c:dLbl>
            <c:dLbl>
              <c:idx val="1"/>
              <c:layout>
                <c:manualLayout>
                  <c:x val="1.3320345691450842E-2"/>
                  <c:y val="-0.23090550097319851"/>
                </c:manualLayout>
              </c:layout>
              <c:spPr>
                <a:noFill/>
                <a:ln w="25368">
                  <a:noFill/>
                </a:ln>
              </c:spPr>
              <c:txPr>
                <a:bodyPr/>
                <a:lstStyle/>
                <a:p>
                  <a:pPr>
                    <a:defRPr/>
                  </a:pPr>
                  <a:endParaRPr lang="ru-RU"/>
                </a:p>
              </c:txPr>
              <c:showLegendKey val="0"/>
              <c:showVal val="1"/>
              <c:showCatName val="0"/>
              <c:showSerName val="0"/>
              <c:showPercent val="0"/>
              <c:showBubbleSize val="0"/>
            </c:dLbl>
            <c:dLbl>
              <c:idx val="2"/>
              <c:layout>
                <c:manualLayout>
                  <c:x val="4.4557923733139632E-3"/>
                  <c:y val="-0.34383430473256216"/>
                </c:manualLayout>
              </c:layout>
              <c:spPr>
                <a:noFill/>
                <a:ln w="25368">
                  <a:noFill/>
                </a:ln>
              </c:spPr>
              <c:txPr>
                <a:bodyPr/>
                <a:lstStyle/>
                <a:p>
                  <a:pPr>
                    <a:defRPr/>
                  </a:pPr>
                  <a:endParaRPr lang="ru-RU"/>
                </a:p>
              </c:txPr>
              <c:showLegendKey val="0"/>
              <c:showVal val="1"/>
              <c:showCatName val="0"/>
              <c:showSerName val="0"/>
              <c:showPercent val="0"/>
              <c:showBubbleSize val="0"/>
            </c:dLbl>
            <c:dLbl>
              <c:idx val="3"/>
              <c:layout>
                <c:manualLayout>
                  <c:x val="1.3273314262960042E-2"/>
                  <c:y val="-0.34275153374564282"/>
                </c:manualLayout>
              </c:layout>
              <c:spPr>
                <a:noFill/>
                <a:ln w="25368">
                  <a:noFill/>
                </a:ln>
              </c:spPr>
              <c:txPr>
                <a:bodyPr/>
                <a:lstStyle/>
                <a:p>
                  <a:pPr>
                    <a:defRPr/>
                  </a:pPr>
                  <a:endParaRPr lang="ru-RU"/>
                </a:p>
              </c:txPr>
              <c:showLegendKey val="0"/>
              <c:showVal val="1"/>
              <c:showCatName val="0"/>
              <c:showSerName val="0"/>
              <c:showPercent val="0"/>
              <c:showBubbleSize val="0"/>
            </c:dLbl>
            <c:spPr>
              <a:noFill/>
              <a:ln w="25368">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20.399999999999999</c:v>
                </c:pt>
                <c:pt idx="1">
                  <c:v>17.8</c:v>
                </c:pt>
                <c:pt idx="2">
                  <c:v>25.3</c:v>
                </c:pt>
                <c:pt idx="3">
                  <c:v>25.2</c:v>
                </c:pt>
              </c:numCache>
            </c:numRef>
          </c:val>
        </c:ser>
        <c:dLbls>
          <c:showLegendKey val="0"/>
          <c:showVal val="0"/>
          <c:showCatName val="0"/>
          <c:showSerName val="0"/>
          <c:showPercent val="0"/>
          <c:showBubbleSize val="0"/>
        </c:dLbls>
        <c:gapWidth val="150"/>
        <c:shape val="pyramid"/>
        <c:axId val="360391040"/>
        <c:axId val="360392576"/>
        <c:axId val="0"/>
      </c:bar3DChart>
      <c:catAx>
        <c:axId val="360391040"/>
        <c:scaling>
          <c:orientation val="minMax"/>
        </c:scaling>
        <c:delete val="0"/>
        <c:axPos val="b"/>
        <c:numFmt formatCode="General" sourceLinked="1"/>
        <c:majorTickMark val="out"/>
        <c:minorTickMark val="none"/>
        <c:tickLblPos val="nextTo"/>
        <c:crossAx val="360392576"/>
        <c:crosses val="autoZero"/>
        <c:auto val="1"/>
        <c:lblAlgn val="ctr"/>
        <c:lblOffset val="100"/>
        <c:noMultiLvlLbl val="0"/>
      </c:catAx>
      <c:valAx>
        <c:axId val="360392576"/>
        <c:scaling>
          <c:orientation val="minMax"/>
        </c:scaling>
        <c:delete val="0"/>
        <c:axPos val="l"/>
        <c:majorGridlines/>
        <c:numFmt formatCode="General" sourceLinked="1"/>
        <c:majorTickMark val="out"/>
        <c:minorTickMark val="none"/>
        <c:tickLblPos val="nextTo"/>
        <c:crossAx val="360391040"/>
        <c:crosses val="autoZero"/>
        <c:crossBetween val="between"/>
      </c:valAx>
      <c:spPr>
        <a:noFill/>
        <a:ln w="25368">
          <a:noFill/>
        </a:ln>
      </c:spPr>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F79646"/>
                </a:gs>
                <a:gs pos="15428">
                  <a:srgbClr val="F79646">
                    <a:lumMod val="40000"/>
                    <a:lumOff val="60000"/>
                  </a:srgbClr>
                </a:gs>
                <a:gs pos="76000">
                  <a:srgbClr val="F79646">
                    <a:lumMod val="40000"/>
                    <a:lumOff val="60000"/>
                  </a:srgbClr>
                </a:gs>
                <a:gs pos="100000">
                  <a:srgbClr val="C0504D">
                    <a:lumMod val="75000"/>
                  </a:srgbClr>
                </a:gs>
              </a:gsLst>
              <a:lin ang="5400000" scaled="0"/>
            </a:gradFill>
          </c:spPr>
          <c:invertIfNegative val="0"/>
          <c:dLbls>
            <c:dLbl>
              <c:idx val="0"/>
              <c:layout>
                <c:manualLayout>
                  <c:x val="1.2250524957650924E-2"/>
                  <c:y val="-0.29544175698839165"/>
                </c:manualLayout>
              </c:layout>
              <c:spPr>
                <a:noFill/>
                <a:ln w="25406">
                  <a:noFill/>
                </a:ln>
              </c:spPr>
              <c:txPr>
                <a:bodyPr/>
                <a:lstStyle/>
                <a:p>
                  <a:pPr>
                    <a:defRPr/>
                  </a:pPr>
                  <a:endParaRPr lang="ru-RU"/>
                </a:p>
              </c:txPr>
              <c:showLegendKey val="0"/>
              <c:showVal val="1"/>
              <c:showCatName val="0"/>
              <c:showSerName val="0"/>
              <c:showPercent val="0"/>
              <c:showBubbleSize val="0"/>
            </c:dLbl>
            <c:dLbl>
              <c:idx val="1"/>
              <c:layout>
                <c:manualLayout>
                  <c:x val="1.6137240912304836E-2"/>
                  <c:y val="-0.3551435407995438"/>
                </c:manualLayout>
              </c:layout>
              <c:spPr>
                <a:noFill/>
                <a:ln w="25406">
                  <a:noFill/>
                </a:ln>
              </c:spPr>
              <c:txPr>
                <a:bodyPr/>
                <a:lstStyle/>
                <a:p>
                  <a:pPr>
                    <a:defRPr/>
                  </a:pPr>
                  <a:endParaRPr lang="ru-RU"/>
                </a:p>
              </c:txPr>
              <c:showLegendKey val="0"/>
              <c:showVal val="1"/>
              <c:showCatName val="0"/>
              <c:showSerName val="0"/>
              <c:showPercent val="0"/>
              <c:showBubbleSize val="0"/>
            </c:dLbl>
            <c:dLbl>
              <c:idx val="2"/>
              <c:layout>
                <c:manualLayout>
                  <c:x val="2.3187053679189468E-2"/>
                  <c:y val="-0.38590027007072164"/>
                </c:manualLayout>
              </c:layout>
              <c:spPr>
                <a:noFill/>
                <a:ln w="25406">
                  <a:noFill/>
                </a:ln>
              </c:spPr>
              <c:txPr>
                <a:bodyPr/>
                <a:lstStyle/>
                <a:p>
                  <a:pPr>
                    <a:defRPr/>
                  </a:pPr>
                  <a:endParaRPr lang="ru-RU"/>
                </a:p>
              </c:txPr>
              <c:showLegendKey val="0"/>
              <c:showVal val="1"/>
              <c:showCatName val="0"/>
              <c:showSerName val="0"/>
              <c:showPercent val="0"/>
              <c:showBubbleSize val="0"/>
            </c:dLbl>
            <c:dLbl>
              <c:idx val="3"/>
              <c:layout>
                <c:manualLayout>
                  <c:x val="4.4066536646636671E-2"/>
                  <c:y val="-0.37101873364912075"/>
                </c:manualLayout>
              </c:layout>
              <c:spPr>
                <a:noFill/>
                <a:ln w="25406">
                  <a:noFill/>
                </a:ln>
              </c:spPr>
              <c:txPr>
                <a:bodyPr/>
                <a:lstStyle/>
                <a:p>
                  <a:pPr>
                    <a:defRPr/>
                  </a:pPr>
                  <a:endParaRPr lang="ru-RU"/>
                </a:p>
              </c:txPr>
              <c:showLegendKey val="0"/>
              <c:showVal val="1"/>
              <c:showCatName val="0"/>
              <c:showSerName val="0"/>
              <c:showPercent val="0"/>
              <c:showBubbleSize val="0"/>
            </c:dLbl>
            <c:dLbl>
              <c:idx val="4"/>
              <c:layout>
                <c:manualLayout>
                  <c:x val="3.729002671962546E-2"/>
                  <c:y val="-0.20602756111594189"/>
                </c:manualLayout>
              </c:layout>
              <c:spPr>
                <a:noFill/>
                <a:ln w="25406">
                  <a:noFill/>
                </a:ln>
              </c:spPr>
              <c:txPr>
                <a:bodyPr/>
                <a:lstStyle/>
                <a:p>
                  <a:pPr>
                    <a:defRPr/>
                  </a:pPr>
                  <a:endParaRPr lang="ru-RU"/>
                </a:p>
              </c:txPr>
              <c:showLegendKey val="0"/>
              <c:showVal val="1"/>
              <c:showCatName val="0"/>
              <c:showSerName val="0"/>
              <c:showPercent val="0"/>
              <c:showBubbleSize val="0"/>
            </c:dLbl>
            <c:spPr>
              <a:noFill/>
              <a:ln w="25406">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15653.5</c:v>
                </c:pt>
                <c:pt idx="1">
                  <c:v>18980.900000000001</c:v>
                </c:pt>
                <c:pt idx="2">
                  <c:v>20965.7</c:v>
                </c:pt>
                <c:pt idx="3">
                  <c:v>23571.8</c:v>
                </c:pt>
              </c:numCache>
            </c:numRef>
          </c:val>
        </c:ser>
        <c:dLbls>
          <c:showLegendKey val="0"/>
          <c:showVal val="0"/>
          <c:showCatName val="0"/>
          <c:showSerName val="0"/>
          <c:showPercent val="0"/>
          <c:showBubbleSize val="0"/>
        </c:dLbls>
        <c:gapWidth val="150"/>
        <c:shape val="box"/>
        <c:axId val="360742912"/>
        <c:axId val="360744448"/>
        <c:axId val="0"/>
      </c:bar3DChart>
      <c:catAx>
        <c:axId val="360742912"/>
        <c:scaling>
          <c:orientation val="minMax"/>
        </c:scaling>
        <c:delete val="0"/>
        <c:axPos val="b"/>
        <c:numFmt formatCode="General" sourceLinked="1"/>
        <c:majorTickMark val="out"/>
        <c:minorTickMark val="none"/>
        <c:tickLblPos val="nextTo"/>
        <c:crossAx val="360744448"/>
        <c:crosses val="autoZero"/>
        <c:auto val="1"/>
        <c:lblAlgn val="ctr"/>
        <c:lblOffset val="100"/>
        <c:noMultiLvlLbl val="0"/>
      </c:catAx>
      <c:valAx>
        <c:axId val="360744448"/>
        <c:scaling>
          <c:orientation val="minMax"/>
        </c:scaling>
        <c:delete val="0"/>
        <c:axPos val="l"/>
        <c:majorGridlines/>
        <c:numFmt formatCode="General" sourceLinked="1"/>
        <c:majorTickMark val="out"/>
        <c:minorTickMark val="none"/>
        <c:tickLblPos val="nextTo"/>
        <c:crossAx val="360742912"/>
        <c:crosses val="autoZero"/>
        <c:crossBetween val="between"/>
      </c:valAx>
      <c:spPr>
        <a:noFill/>
        <a:ln w="25406">
          <a:noFill/>
        </a:ln>
      </c:spPr>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собственые средства</c:v>
                </c:pt>
              </c:strCache>
            </c:strRef>
          </c:tx>
          <c:spPr>
            <a:gradFill>
              <a:gsLst>
                <a:gs pos="0">
                  <a:schemeClr val="tx2">
                    <a:lumMod val="20000"/>
                    <a:lumOff val="80000"/>
                  </a:schemeClr>
                </a:gs>
                <a:gs pos="50000">
                  <a:srgbClr val="00B0F0"/>
                </a:gs>
                <a:gs pos="100000">
                  <a:schemeClr val="tx2">
                    <a:lumMod val="75000"/>
                  </a:schemeClr>
                </a:gs>
              </a:gsLst>
              <a:lin ang="5400000" scaled="0"/>
            </a:gradFill>
          </c:spPr>
          <c:invertIfNegative val="0"/>
          <c:dLbls>
            <c:dLbl>
              <c:idx val="0"/>
              <c:layout>
                <c:manualLayout>
                  <c:x val="-2.3148148148148351E-3"/>
                  <c:y val="-4.5326297077586876E-2"/>
                </c:manualLayout>
              </c:layout>
              <c:spPr>
                <a:noFill/>
                <a:ln w="25401">
                  <a:noFill/>
                </a:ln>
              </c:spPr>
              <c:txPr>
                <a:bodyPr/>
                <a:lstStyle/>
                <a:p>
                  <a:pPr>
                    <a:defRPr/>
                  </a:pPr>
                  <a:endParaRPr lang="ru-RU"/>
                </a:p>
              </c:txPr>
              <c:showLegendKey val="0"/>
              <c:showVal val="1"/>
              <c:showCatName val="0"/>
              <c:showSerName val="0"/>
              <c:showPercent val="0"/>
              <c:showBubbleSize val="0"/>
            </c:dLbl>
            <c:dLbl>
              <c:idx val="1"/>
              <c:layout>
                <c:manualLayout>
                  <c:x val="-4.6296296296296745E-3"/>
                  <c:y val="-4.5322472634389314E-2"/>
                </c:manualLayout>
              </c:layout>
              <c:spPr>
                <a:noFill/>
                <a:ln w="25401">
                  <a:noFill/>
                </a:ln>
              </c:spPr>
              <c:txPr>
                <a:bodyPr/>
                <a:lstStyle/>
                <a:p>
                  <a:pPr>
                    <a:defRPr/>
                  </a:pPr>
                  <a:endParaRPr lang="ru-RU"/>
                </a:p>
              </c:txPr>
              <c:showLegendKey val="0"/>
              <c:showVal val="1"/>
              <c:showCatName val="0"/>
              <c:showSerName val="0"/>
              <c:showPercent val="0"/>
              <c:showBubbleSize val="0"/>
            </c:dLbl>
            <c:dLbl>
              <c:idx val="2"/>
              <c:layout>
                <c:manualLayout>
                  <c:x val="-9.2594415281423235E-3"/>
                  <c:y val="-4.7253043549688782E-2"/>
                </c:manualLayout>
              </c:layout>
              <c:spPr>
                <a:noFill/>
                <a:ln w="25401">
                  <a:noFill/>
                </a:ln>
              </c:spPr>
              <c:txPr>
                <a:bodyPr/>
                <a:lstStyle/>
                <a:p>
                  <a:pPr>
                    <a:defRPr/>
                  </a:pPr>
                  <a:endParaRPr lang="ru-RU"/>
                </a:p>
              </c:txPr>
              <c:showLegendKey val="0"/>
              <c:showVal val="1"/>
              <c:showCatName val="0"/>
              <c:showSerName val="0"/>
              <c:showPercent val="0"/>
              <c:showBubbleSize val="0"/>
            </c:dLbl>
            <c:dLbl>
              <c:idx val="3"/>
              <c:layout>
                <c:manualLayout>
                  <c:x val="-2.3148148148148997E-3"/>
                  <c:y val="-3.1706651062999879E-2"/>
                </c:manualLayout>
              </c:layout>
              <c:spPr>
                <a:noFill/>
                <a:ln w="25401">
                  <a:noFill/>
                </a:ln>
              </c:spPr>
              <c:txPr>
                <a:bodyPr/>
                <a:lstStyle/>
                <a:p>
                  <a:pPr>
                    <a:defRPr/>
                  </a:pPr>
                  <a:endParaRPr lang="ru-RU"/>
                </a:p>
              </c:txPr>
              <c:showLegendKey val="0"/>
              <c:showVal val="1"/>
              <c:showCatName val="0"/>
              <c:showSerName val="0"/>
              <c:showPercent val="0"/>
              <c:showBubbleSize val="0"/>
            </c:dLbl>
            <c:spPr>
              <a:noFill/>
              <a:ln w="25401">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28.2</c:v>
                </c:pt>
                <c:pt idx="1">
                  <c:v>27.1</c:v>
                </c:pt>
                <c:pt idx="2">
                  <c:v>25.6</c:v>
                </c:pt>
                <c:pt idx="3">
                  <c:v>30.2</c:v>
                </c:pt>
              </c:numCache>
            </c:numRef>
          </c:val>
        </c:ser>
        <c:ser>
          <c:idx val="1"/>
          <c:order val="1"/>
          <c:tx>
            <c:strRef>
              <c:f>Лист1!$C$1</c:f>
              <c:strCache>
                <c:ptCount val="1"/>
                <c:pt idx="0">
                  <c:v>привлеченные средства</c:v>
                </c:pt>
              </c:strCache>
            </c:strRef>
          </c:tx>
          <c:spPr>
            <a:gradFill>
              <a:gsLst>
                <a:gs pos="0">
                  <a:schemeClr val="accent6">
                    <a:lumMod val="20000"/>
                    <a:lumOff val="80000"/>
                  </a:schemeClr>
                </a:gs>
                <a:gs pos="50000">
                  <a:srgbClr val="FFFF00"/>
                </a:gs>
                <a:gs pos="100000">
                  <a:schemeClr val="accent6">
                    <a:lumMod val="75000"/>
                  </a:schemeClr>
                </a:gs>
              </a:gsLst>
              <a:lin ang="5400000" scaled="0"/>
            </a:gradFill>
          </c:spPr>
          <c:invertIfNegative val="0"/>
          <c:dLbls>
            <c:dLbl>
              <c:idx val="0"/>
              <c:layout>
                <c:manualLayout>
                  <c:x val="9.2592592592592657E-3"/>
                  <c:y val="-2.3779988297249848E-2"/>
                </c:manualLayout>
              </c:layout>
              <c:spPr>
                <a:noFill/>
                <a:ln w="25401">
                  <a:noFill/>
                </a:ln>
              </c:spPr>
              <c:txPr>
                <a:bodyPr/>
                <a:lstStyle/>
                <a:p>
                  <a:pPr>
                    <a:defRPr/>
                  </a:pPr>
                  <a:endParaRPr lang="ru-RU"/>
                </a:p>
              </c:txPr>
              <c:showLegendKey val="0"/>
              <c:showVal val="1"/>
              <c:showCatName val="0"/>
              <c:showSerName val="0"/>
              <c:showPercent val="0"/>
              <c:showBubbleSize val="0"/>
            </c:dLbl>
            <c:dLbl>
              <c:idx val="1"/>
              <c:layout>
                <c:manualLayout>
                  <c:x val="-2.3148148148148147E-3"/>
                  <c:y val="-2.3779988297249862E-2"/>
                </c:manualLayout>
              </c:layout>
              <c:spPr>
                <a:noFill/>
                <a:ln w="25401">
                  <a:noFill/>
                </a:ln>
              </c:spPr>
              <c:txPr>
                <a:bodyPr/>
                <a:lstStyle/>
                <a:p>
                  <a:pPr>
                    <a:defRPr/>
                  </a:pPr>
                  <a:endParaRPr lang="ru-RU"/>
                </a:p>
              </c:txPr>
              <c:showLegendKey val="0"/>
              <c:showVal val="1"/>
              <c:showCatName val="0"/>
              <c:showSerName val="0"/>
              <c:showPercent val="0"/>
              <c:showBubbleSize val="0"/>
            </c:dLbl>
            <c:dLbl>
              <c:idx val="2"/>
              <c:layout>
                <c:manualLayout>
                  <c:x val="2.0833333333333343E-2"/>
                  <c:y val="-1.5853325531499901E-2"/>
                </c:manualLayout>
              </c:layout>
              <c:spPr>
                <a:noFill/>
                <a:ln w="25401">
                  <a:noFill/>
                </a:ln>
              </c:spPr>
              <c:txPr>
                <a:bodyPr/>
                <a:lstStyle/>
                <a:p>
                  <a:pPr>
                    <a:defRPr/>
                  </a:pPr>
                  <a:endParaRPr lang="ru-RU"/>
                </a:p>
              </c:txPr>
              <c:showLegendKey val="0"/>
              <c:showVal val="1"/>
              <c:showCatName val="0"/>
              <c:showSerName val="0"/>
              <c:showPercent val="0"/>
              <c:showBubbleSize val="0"/>
            </c:dLbl>
            <c:dLbl>
              <c:idx val="3"/>
              <c:layout>
                <c:manualLayout>
                  <c:x val="2.3148148148146447E-3"/>
                  <c:y val="-4.3596645211624749E-2"/>
                </c:manualLayout>
              </c:layout>
              <c:spPr>
                <a:noFill/>
                <a:ln w="25401">
                  <a:noFill/>
                </a:ln>
              </c:spPr>
              <c:txPr>
                <a:bodyPr/>
                <a:lstStyle/>
                <a:p>
                  <a:pPr>
                    <a:defRPr/>
                  </a:pPr>
                  <a:endParaRPr lang="ru-RU"/>
                </a:p>
              </c:txPr>
              <c:showLegendKey val="0"/>
              <c:showVal val="1"/>
              <c:showCatName val="0"/>
              <c:showSerName val="0"/>
              <c:showPercent val="0"/>
              <c:showBubbleSize val="0"/>
            </c:dLbl>
            <c:spPr>
              <a:noFill/>
              <a:ln w="25401">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Лист1!$C$2:$C$5</c:f>
              <c:numCache>
                <c:formatCode>General</c:formatCode>
                <c:ptCount val="4"/>
                <c:pt idx="0">
                  <c:v>71.8</c:v>
                </c:pt>
                <c:pt idx="1">
                  <c:v>72.900000000000006</c:v>
                </c:pt>
                <c:pt idx="2">
                  <c:v>74.400000000000006</c:v>
                </c:pt>
                <c:pt idx="3">
                  <c:v>69.8</c:v>
                </c:pt>
              </c:numCache>
            </c:numRef>
          </c:val>
        </c:ser>
        <c:dLbls>
          <c:showLegendKey val="0"/>
          <c:showVal val="0"/>
          <c:showCatName val="0"/>
          <c:showSerName val="0"/>
          <c:showPercent val="0"/>
          <c:showBubbleSize val="0"/>
        </c:dLbls>
        <c:gapWidth val="150"/>
        <c:shape val="box"/>
        <c:axId val="360687488"/>
        <c:axId val="360689024"/>
        <c:axId val="0"/>
      </c:bar3DChart>
      <c:catAx>
        <c:axId val="360687488"/>
        <c:scaling>
          <c:orientation val="minMax"/>
        </c:scaling>
        <c:delete val="0"/>
        <c:axPos val="b"/>
        <c:numFmt formatCode="General" sourceLinked="1"/>
        <c:majorTickMark val="out"/>
        <c:minorTickMark val="none"/>
        <c:tickLblPos val="nextTo"/>
        <c:crossAx val="360689024"/>
        <c:crosses val="autoZero"/>
        <c:auto val="1"/>
        <c:lblAlgn val="ctr"/>
        <c:lblOffset val="100"/>
        <c:noMultiLvlLbl val="0"/>
      </c:catAx>
      <c:valAx>
        <c:axId val="360689024"/>
        <c:scaling>
          <c:orientation val="minMax"/>
          <c:min val="10"/>
        </c:scaling>
        <c:delete val="0"/>
        <c:axPos val="l"/>
        <c:majorGridlines/>
        <c:numFmt formatCode="General" sourceLinked="1"/>
        <c:majorTickMark val="out"/>
        <c:minorTickMark val="none"/>
        <c:tickLblPos val="nextTo"/>
        <c:crossAx val="360687488"/>
        <c:crosses val="autoZero"/>
        <c:crossBetween val="between"/>
      </c:valAx>
      <c:spPr>
        <a:noFill/>
        <a:ln w="25401">
          <a:noFill/>
        </a:ln>
      </c:spPr>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gradFill>
              <a:gsLst>
                <a:gs pos="0">
                  <a:srgbClr val="8064A2"/>
                </a:gs>
                <a:gs pos="15428">
                  <a:srgbClr val="1F497D">
                    <a:lumMod val="20000"/>
                    <a:lumOff val="80000"/>
                  </a:srgbClr>
                </a:gs>
                <a:gs pos="76000">
                  <a:srgbClr val="1F497D">
                    <a:lumMod val="20000"/>
                    <a:lumOff val="80000"/>
                  </a:srgbClr>
                </a:gs>
                <a:gs pos="100000">
                  <a:srgbClr val="4F81BD">
                    <a:lumMod val="75000"/>
                  </a:srgbClr>
                </a:gs>
              </a:gsLst>
              <a:lin ang="5400000" scaled="0"/>
            </a:gradFill>
          </c:spPr>
          <c:invertIfNegative val="0"/>
          <c:dLbls>
            <c:dLbl>
              <c:idx val="0"/>
              <c:layout>
                <c:manualLayout>
                  <c:x val="8.8593576965670072E-3"/>
                  <c:y val="0"/>
                </c:manualLayout>
              </c:layout>
              <c:spPr>
                <a:noFill/>
                <a:ln w="25333">
                  <a:noFill/>
                </a:ln>
              </c:spPr>
              <c:txPr>
                <a:bodyPr/>
                <a:lstStyle/>
                <a:p>
                  <a:pPr>
                    <a:defRPr/>
                  </a:pPr>
                  <a:endParaRPr lang="ru-RU"/>
                </a:p>
              </c:txPr>
              <c:dLblPos val="outEnd"/>
              <c:showLegendKey val="0"/>
              <c:showVal val="1"/>
              <c:showCatName val="0"/>
              <c:showSerName val="0"/>
              <c:showPercent val="0"/>
              <c:showBubbleSize val="0"/>
            </c:dLbl>
            <c:dLbl>
              <c:idx val="1"/>
              <c:layout>
                <c:manualLayout>
                  <c:x val="3.9867109634551492E-2"/>
                  <c:y val="-1.1544011544011549E-2"/>
                </c:manualLayout>
              </c:layout>
              <c:spPr>
                <a:noFill/>
                <a:ln w="25333">
                  <a:noFill/>
                </a:ln>
              </c:spPr>
              <c:txPr>
                <a:bodyPr/>
                <a:lstStyle/>
                <a:p>
                  <a:pPr>
                    <a:defRPr/>
                  </a:pPr>
                  <a:endParaRPr lang="ru-RU"/>
                </a:p>
              </c:txPr>
              <c:dLblPos val="outEnd"/>
              <c:showLegendKey val="0"/>
              <c:showVal val="1"/>
              <c:showCatName val="0"/>
              <c:showSerName val="0"/>
              <c:showPercent val="0"/>
              <c:showBubbleSize val="0"/>
            </c:dLbl>
            <c:dLbl>
              <c:idx val="2"/>
              <c:layout>
                <c:manualLayout>
                  <c:x val="2.6578073089701008E-2"/>
                  <c:y val="5.772005772005772E-3"/>
                </c:manualLayout>
              </c:layout>
              <c:spPr>
                <a:noFill/>
                <a:ln w="25333">
                  <a:noFill/>
                </a:ln>
              </c:spPr>
              <c:txPr>
                <a:bodyPr/>
                <a:lstStyle/>
                <a:p>
                  <a:pPr>
                    <a:defRPr/>
                  </a:pPr>
                  <a:endParaRPr lang="ru-RU"/>
                </a:p>
              </c:txPr>
              <c:dLblPos val="outEnd"/>
              <c:showLegendKey val="0"/>
              <c:showVal val="1"/>
              <c:showCatName val="0"/>
              <c:showSerName val="0"/>
              <c:showPercent val="0"/>
              <c:showBubbleSize val="0"/>
            </c:dLbl>
            <c:spPr>
              <a:noFill/>
              <a:ln w="25333">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-6.5</c:v>
                </c:pt>
                <c:pt idx="1">
                  <c:v>-6.3</c:v>
                </c:pt>
                <c:pt idx="2">
                  <c:v>-6.2</c:v>
                </c:pt>
                <c:pt idx="3">
                  <c:v>-6.2</c:v>
                </c:pt>
              </c:numCache>
            </c:numRef>
          </c:val>
        </c:ser>
        <c:dLbls>
          <c:showLegendKey val="0"/>
          <c:showVal val="0"/>
          <c:showCatName val="0"/>
          <c:showSerName val="0"/>
          <c:showPercent val="0"/>
          <c:showBubbleSize val="0"/>
        </c:dLbls>
        <c:gapWidth val="150"/>
        <c:axId val="249799424"/>
        <c:axId val="249800960"/>
      </c:barChart>
      <c:catAx>
        <c:axId val="249799424"/>
        <c:scaling>
          <c:orientation val="minMax"/>
        </c:scaling>
        <c:delete val="0"/>
        <c:axPos val="b"/>
        <c:numFmt formatCode="General" sourceLinked="1"/>
        <c:majorTickMark val="out"/>
        <c:minorTickMark val="none"/>
        <c:tickLblPos val="nextTo"/>
        <c:crossAx val="249800960"/>
        <c:crosses val="autoZero"/>
        <c:auto val="1"/>
        <c:lblAlgn val="ctr"/>
        <c:lblOffset val="100"/>
        <c:noMultiLvlLbl val="0"/>
      </c:catAx>
      <c:valAx>
        <c:axId val="249800960"/>
        <c:scaling>
          <c:orientation val="minMax"/>
        </c:scaling>
        <c:delete val="0"/>
        <c:axPos val="l"/>
        <c:majorGridlines/>
        <c:numFmt formatCode="General" sourceLinked="1"/>
        <c:majorTickMark val="out"/>
        <c:minorTickMark val="none"/>
        <c:tickLblPos val="nextTo"/>
        <c:crossAx val="249799424"/>
        <c:crosses val="autoZero"/>
        <c:crossBetween val="between"/>
      </c:valAx>
    </c:plotArea>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F79646"/>
                </a:gs>
                <a:gs pos="15428">
                  <a:srgbClr val="9BBB59">
                    <a:lumMod val="60000"/>
                    <a:lumOff val="40000"/>
                  </a:srgbClr>
                </a:gs>
                <a:gs pos="76000">
                  <a:srgbClr val="F79646">
                    <a:lumMod val="20000"/>
                    <a:lumOff val="80000"/>
                  </a:srgbClr>
                </a:gs>
                <a:gs pos="100000">
                  <a:srgbClr val="F79646"/>
                </a:gs>
              </a:gsLst>
              <a:lin ang="5400000" scaled="0"/>
            </a:gradFill>
          </c:spPr>
          <c:invertIfNegative val="0"/>
          <c:dLbls>
            <c:dLbl>
              <c:idx val="0"/>
              <c:layout>
                <c:manualLayout>
                  <c:x val="1.1785516457649164E-2"/>
                  <c:y val="-0.20743038129170333"/>
                </c:manualLayout>
              </c:layout>
              <c:spPr>
                <a:noFill/>
                <a:ln w="24531">
                  <a:noFill/>
                </a:ln>
              </c:spPr>
              <c:txPr>
                <a:bodyPr/>
                <a:lstStyle/>
                <a:p>
                  <a:pPr>
                    <a:defRPr/>
                  </a:pPr>
                  <a:endParaRPr lang="ru-RU"/>
                </a:p>
              </c:txPr>
              <c:showLegendKey val="0"/>
              <c:showVal val="1"/>
              <c:showCatName val="0"/>
              <c:showSerName val="0"/>
              <c:showPercent val="0"/>
              <c:showBubbleSize val="0"/>
            </c:dLbl>
            <c:dLbl>
              <c:idx val="1"/>
              <c:layout>
                <c:manualLayout>
                  <c:x val="1.0614058283341917E-2"/>
                  <c:y val="-0.21335910996171645"/>
                </c:manualLayout>
              </c:layout>
              <c:spPr>
                <a:noFill/>
                <a:ln w="24531">
                  <a:noFill/>
                </a:ln>
              </c:spPr>
              <c:txPr>
                <a:bodyPr/>
                <a:lstStyle/>
                <a:p>
                  <a:pPr>
                    <a:defRPr/>
                  </a:pPr>
                  <a:endParaRPr lang="ru-RU"/>
                </a:p>
              </c:txPr>
              <c:showLegendKey val="0"/>
              <c:showVal val="1"/>
              <c:showCatName val="0"/>
              <c:showSerName val="0"/>
              <c:showPercent val="0"/>
              <c:showBubbleSize val="0"/>
            </c:dLbl>
            <c:dLbl>
              <c:idx val="2"/>
              <c:layout>
                <c:manualLayout>
                  <c:x val="3.1752342325492271E-3"/>
                  <c:y val="-0.32866472464168195"/>
                </c:manualLayout>
              </c:layout>
              <c:spPr>
                <a:noFill/>
                <a:ln w="24531">
                  <a:noFill/>
                </a:ln>
              </c:spPr>
              <c:txPr>
                <a:bodyPr/>
                <a:lstStyle/>
                <a:p>
                  <a:pPr>
                    <a:defRPr/>
                  </a:pPr>
                  <a:endParaRPr lang="ru-RU"/>
                </a:p>
              </c:txPr>
              <c:showLegendKey val="0"/>
              <c:showVal val="1"/>
              <c:showCatName val="0"/>
              <c:showSerName val="0"/>
              <c:showPercent val="0"/>
              <c:showBubbleSize val="0"/>
            </c:dLbl>
            <c:dLbl>
              <c:idx val="3"/>
              <c:layout>
                <c:manualLayout>
                  <c:x val="5.8506310850018417E-3"/>
                  <c:y val="-0.36326703327836585"/>
                </c:manualLayout>
              </c:layout>
              <c:spPr>
                <a:noFill/>
                <a:ln w="24531">
                  <a:noFill/>
                </a:ln>
              </c:spPr>
              <c:txPr>
                <a:bodyPr/>
                <a:lstStyle/>
                <a:p>
                  <a:pPr>
                    <a:defRPr/>
                  </a:pPr>
                  <a:endParaRPr lang="ru-RU"/>
                </a:p>
              </c:txPr>
              <c:showLegendKey val="0"/>
              <c:showVal val="1"/>
              <c:showCatName val="0"/>
              <c:showSerName val="0"/>
              <c:showPercent val="0"/>
              <c:showBubbleSize val="0"/>
            </c:dLbl>
            <c:dLbl>
              <c:idx val="4"/>
              <c:layout>
                <c:manualLayout>
                  <c:x val="1.1701262170003677E-2"/>
                  <c:y val="-0.36326703327836585"/>
                </c:manualLayout>
              </c:layout>
              <c:spPr>
                <a:noFill/>
                <a:ln w="24531">
                  <a:noFill/>
                </a:ln>
              </c:spPr>
              <c:txPr>
                <a:bodyPr/>
                <a:lstStyle/>
                <a:p>
                  <a:pPr>
                    <a:defRPr/>
                  </a:pPr>
                  <a:endParaRPr lang="ru-RU"/>
                </a:p>
              </c:txPr>
              <c:showLegendKey val="0"/>
              <c:showVal val="1"/>
              <c:showCatName val="0"/>
              <c:showSerName val="0"/>
              <c:showPercent val="0"/>
              <c:showBubbleSize val="0"/>
            </c:dLbl>
            <c:spPr>
              <a:noFill/>
              <a:ln w="24531">
                <a:noFill/>
              </a:ln>
            </c:spPr>
            <c:showLegendKey val="0"/>
            <c:showVal val="1"/>
            <c:showCatName val="0"/>
            <c:showSerName val="0"/>
            <c:showPercent val="0"/>
            <c:showBubbleSize val="0"/>
            <c:showLeaderLines val="0"/>
          </c:dLbls>
          <c:cat>
            <c:strRef>
              <c:f>Лист1!$A$2:$A$6</c:f>
              <c:strCache>
                <c:ptCount val="5"/>
                <c:pt idx="0">
                  <c:v>2010</c:v>
                </c:pt>
                <c:pt idx="1">
                  <c:v>2011</c:v>
                </c:pt>
                <c:pt idx="2">
                  <c:v>2012</c:v>
                </c:pt>
                <c:pt idx="3">
                  <c:v>2013</c:v>
                </c:pt>
                <c:pt idx="4">
                  <c:v>2014, 1 октября</c:v>
                </c:pt>
              </c:strCache>
            </c:strRef>
          </c:cat>
          <c:val>
            <c:numRef>
              <c:f>Лист1!$B$2:$B$6</c:f>
              <c:numCache>
                <c:formatCode>General</c:formatCode>
                <c:ptCount val="5"/>
                <c:pt idx="0">
                  <c:v>4136</c:v>
                </c:pt>
                <c:pt idx="1">
                  <c:v>4340</c:v>
                </c:pt>
                <c:pt idx="2">
                  <c:v>5353</c:v>
                </c:pt>
                <c:pt idx="3">
                  <c:v>5604</c:v>
                </c:pt>
                <c:pt idx="4">
                  <c:v>5619</c:v>
                </c:pt>
              </c:numCache>
            </c:numRef>
          </c:val>
        </c:ser>
        <c:dLbls>
          <c:showLegendKey val="0"/>
          <c:showVal val="0"/>
          <c:showCatName val="0"/>
          <c:showSerName val="0"/>
          <c:showPercent val="0"/>
          <c:showBubbleSize val="0"/>
        </c:dLbls>
        <c:gapWidth val="150"/>
        <c:shape val="cylinder"/>
        <c:axId val="360609664"/>
        <c:axId val="360611200"/>
        <c:axId val="0"/>
      </c:bar3DChart>
      <c:catAx>
        <c:axId val="360609664"/>
        <c:scaling>
          <c:orientation val="minMax"/>
        </c:scaling>
        <c:delete val="0"/>
        <c:axPos val="b"/>
        <c:numFmt formatCode="General" sourceLinked="1"/>
        <c:majorTickMark val="out"/>
        <c:minorTickMark val="none"/>
        <c:tickLblPos val="nextTo"/>
        <c:txPr>
          <a:bodyPr/>
          <a:lstStyle/>
          <a:p>
            <a:pPr>
              <a:defRPr sz="773"/>
            </a:pPr>
            <a:endParaRPr lang="ru-RU"/>
          </a:p>
        </c:txPr>
        <c:crossAx val="360611200"/>
        <c:crosses val="autoZero"/>
        <c:auto val="1"/>
        <c:lblAlgn val="ctr"/>
        <c:lblOffset val="100"/>
        <c:noMultiLvlLbl val="0"/>
      </c:catAx>
      <c:valAx>
        <c:axId val="360611200"/>
        <c:scaling>
          <c:orientation val="minMax"/>
          <c:min val="3000"/>
        </c:scaling>
        <c:delete val="0"/>
        <c:axPos val="l"/>
        <c:majorGridlines/>
        <c:numFmt formatCode="General" sourceLinked="1"/>
        <c:majorTickMark val="out"/>
        <c:minorTickMark val="none"/>
        <c:tickLblPos val="nextTo"/>
        <c:crossAx val="360609664"/>
        <c:crosses val="autoZero"/>
        <c:crossBetween val="between"/>
      </c:valAx>
      <c:spPr>
        <a:noFill/>
        <a:ln w="24531">
          <a:noFill/>
        </a:ln>
      </c:spPr>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59584">
                  <a:srgbClr val="FFC000"/>
                </a:gs>
                <a:gs pos="0">
                  <a:srgbClr val="9BBB59">
                    <a:lumMod val="75000"/>
                  </a:srgbClr>
                </a:gs>
                <a:gs pos="76000">
                  <a:srgbClr val="FFFF00"/>
                </a:gs>
                <a:gs pos="100000">
                  <a:srgbClr val="9BBB59">
                    <a:lumMod val="60000"/>
                    <a:lumOff val="40000"/>
                  </a:srgbClr>
                </a:gs>
              </a:gsLst>
              <a:lin ang="5400000" scaled="0"/>
            </a:gradFill>
          </c:spPr>
          <c:invertIfNegative val="0"/>
          <c:dLbls>
            <c:dLbl>
              <c:idx val="0"/>
              <c:layout>
                <c:manualLayout>
                  <c:x val="8.8593576965670072E-3"/>
                  <c:y val="0"/>
                </c:manualLayout>
              </c:layout>
              <c:spPr>
                <a:noFill/>
                <a:ln w="18853">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18853">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18853">
                  <a:noFill/>
                </a:ln>
              </c:spPr>
              <c:txPr>
                <a:bodyPr/>
                <a:lstStyle/>
                <a:p>
                  <a:pPr>
                    <a:defRPr/>
                  </a:pPr>
                  <a:endParaRPr lang="ru-RU"/>
                </a:p>
              </c:txPr>
              <c:showLegendKey val="0"/>
              <c:showVal val="1"/>
              <c:showCatName val="0"/>
              <c:showSerName val="0"/>
              <c:showPercent val="0"/>
              <c:showBubbleSize val="0"/>
            </c:dLbl>
            <c:spPr>
              <a:noFill/>
              <a:ln w="18853">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270</c:v>
                </c:pt>
                <c:pt idx="1">
                  <c:v>330.3</c:v>
                </c:pt>
                <c:pt idx="2">
                  <c:v>356.4</c:v>
                </c:pt>
              </c:numCache>
            </c:numRef>
          </c:val>
        </c:ser>
        <c:dLbls>
          <c:showLegendKey val="0"/>
          <c:showVal val="0"/>
          <c:showCatName val="0"/>
          <c:showSerName val="0"/>
          <c:showPercent val="0"/>
          <c:showBubbleSize val="0"/>
        </c:dLbls>
        <c:gapWidth val="150"/>
        <c:shape val="cylinder"/>
        <c:axId val="360821504"/>
        <c:axId val="360823040"/>
        <c:axId val="0"/>
      </c:bar3DChart>
      <c:catAx>
        <c:axId val="360821504"/>
        <c:scaling>
          <c:orientation val="minMax"/>
        </c:scaling>
        <c:delete val="0"/>
        <c:axPos val="b"/>
        <c:numFmt formatCode="General" sourceLinked="1"/>
        <c:majorTickMark val="out"/>
        <c:minorTickMark val="none"/>
        <c:tickLblPos val="nextTo"/>
        <c:crossAx val="360823040"/>
        <c:crosses val="autoZero"/>
        <c:auto val="1"/>
        <c:lblAlgn val="ctr"/>
        <c:lblOffset val="100"/>
        <c:noMultiLvlLbl val="0"/>
      </c:catAx>
      <c:valAx>
        <c:axId val="360823040"/>
        <c:scaling>
          <c:orientation val="minMax"/>
        </c:scaling>
        <c:delete val="0"/>
        <c:axPos val="l"/>
        <c:majorGridlines/>
        <c:numFmt formatCode="General" sourceLinked="1"/>
        <c:majorTickMark val="out"/>
        <c:minorTickMark val="none"/>
        <c:tickLblPos val="nextTo"/>
        <c:crossAx val="360821504"/>
        <c:crosses val="autoZero"/>
        <c:crossBetween val="between"/>
      </c:valAx>
      <c:spPr>
        <a:noFill/>
        <a:ln w="18853">
          <a:noFill/>
        </a:ln>
      </c:spPr>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C0504D">
                    <a:lumMod val="20000"/>
                    <a:lumOff val="80000"/>
                  </a:srgbClr>
                </a:gs>
                <a:gs pos="15428">
                  <a:srgbClr val="FAB378"/>
                </a:gs>
                <a:gs pos="76000">
                  <a:srgbClr val="9BBB59">
                    <a:lumMod val="20000"/>
                    <a:lumOff val="80000"/>
                  </a:srgbClr>
                </a:gs>
                <a:gs pos="100000">
                  <a:srgbClr val="C0504D">
                    <a:lumMod val="75000"/>
                  </a:srgbClr>
                </a:gs>
              </a:gsLst>
              <a:lin ang="5400000" scaled="0"/>
            </a:gradFill>
          </c:spPr>
          <c:invertIfNegative val="0"/>
          <c:dLbls>
            <c:dLbl>
              <c:idx val="0"/>
              <c:layout>
                <c:manualLayout>
                  <c:x val="8.8593576965670072E-3"/>
                  <c:y val="0"/>
                </c:manualLayout>
              </c:layout>
              <c:spPr>
                <a:noFill/>
                <a:ln w="18853">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18853">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18853">
                  <a:noFill/>
                </a:ln>
              </c:spPr>
              <c:txPr>
                <a:bodyPr/>
                <a:lstStyle/>
                <a:p>
                  <a:pPr>
                    <a:defRPr/>
                  </a:pPr>
                  <a:endParaRPr lang="ru-RU"/>
                </a:p>
              </c:txPr>
              <c:showLegendKey val="0"/>
              <c:showVal val="1"/>
              <c:showCatName val="0"/>
              <c:showSerName val="0"/>
              <c:showPercent val="0"/>
              <c:showBubbleSize val="0"/>
            </c:dLbl>
            <c:spPr>
              <a:noFill/>
              <a:ln w="18853">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336</c:v>
                </c:pt>
                <c:pt idx="1">
                  <c:v>476</c:v>
                </c:pt>
                <c:pt idx="2">
                  <c:v>496</c:v>
                </c:pt>
                <c:pt idx="3">
                  <c:v>499</c:v>
                </c:pt>
              </c:numCache>
            </c:numRef>
          </c:val>
        </c:ser>
        <c:dLbls>
          <c:showLegendKey val="0"/>
          <c:showVal val="0"/>
          <c:showCatName val="0"/>
          <c:showSerName val="0"/>
          <c:showPercent val="0"/>
          <c:showBubbleSize val="0"/>
        </c:dLbls>
        <c:gapWidth val="150"/>
        <c:shape val="cylinder"/>
        <c:axId val="254209408"/>
        <c:axId val="254211200"/>
        <c:axId val="0"/>
      </c:bar3DChart>
      <c:catAx>
        <c:axId val="254209408"/>
        <c:scaling>
          <c:orientation val="minMax"/>
        </c:scaling>
        <c:delete val="0"/>
        <c:axPos val="b"/>
        <c:numFmt formatCode="General" sourceLinked="1"/>
        <c:majorTickMark val="out"/>
        <c:minorTickMark val="none"/>
        <c:tickLblPos val="nextTo"/>
        <c:crossAx val="254211200"/>
        <c:crosses val="autoZero"/>
        <c:auto val="1"/>
        <c:lblAlgn val="ctr"/>
        <c:lblOffset val="100"/>
        <c:noMultiLvlLbl val="0"/>
      </c:catAx>
      <c:valAx>
        <c:axId val="254211200"/>
        <c:scaling>
          <c:orientation val="minMax"/>
        </c:scaling>
        <c:delete val="0"/>
        <c:axPos val="l"/>
        <c:majorGridlines/>
        <c:numFmt formatCode="General" sourceLinked="1"/>
        <c:majorTickMark val="out"/>
        <c:minorTickMark val="none"/>
        <c:tickLblPos val="nextTo"/>
        <c:crossAx val="254209408"/>
        <c:crosses val="autoZero"/>
        <c:crossBetween val="between"/>
      </c:valAx>
      <c:spPr>
        <a:noFill/>
        <a:ln w="18853">
          <a:noFill/>
        </a:ln>
      </c:spPr>
    </c:plotArea>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C0504D">
                    <a:lumMod val="40000"/>
                    <a:lumOff val="60000"/>
                  </a:srgbClr>
                </a:gs>
                <a:gs pos="15428">
                  <a:srgbClr val="C0504D">
                    <a:lumMod val="40000"/>
                    <a:lumOff val="60000"/>
                  </a:srgbClr>
                </a:gs>
                <a:gs pos="76000">
                  <a:srgbClr val="C0504D">
                    <a:lumMod val="40000"/>
                    <a:lumOff val="60000"/>
                  </a:srgbClr>
                </a:gs>
                <a:gs pos="100000">
                  <a:srgbClr val="EEECE1">
                    <a:lumMod val="50000"/>
                  </a:srgbClr>
                </a:gs>
              </a:gsLst>
              <a:lin ang="5400000" scaled="0"/>
            </a:gradFill>
          </c:spPr>
          <c:invertIfNegative val="0"/>
          <c:dLbls>
            <c:dLbl>
              <c:idx val="0"/>
              <c:layout>
                <c:manualLayout>
                  <c:x val="8.8593576965670072E-3"/>
                  <c:y val="0"/>
                </c:manualLayout>
              </c:layout>
              <c:spPr>
                <a:noFill/>
                <a:ln w="25436">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436">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436">
                  <a:noFill/>
                </a:ln>
              </c:spPr>
              <c:txPr>
                <a:bodyPr/>
                <a:lstStyle/>
                <a:p>
                  <a:pPr>
                    <a:defRPr/>
                  </a:pPr>
                  <a:endParaRPr lang="ru-RU"/>
                </a:p>
              </c:txPr>
              <c:showLegendKey val="0"/>
              <c:showVal val="1"/>
              <c:showCatName val="0"/>
              <c:showSerName val="0"/>
              <c:showPercent val="0"/>
              <c:showBubbleSize val="0"/>
            </c:dLbl>
            <c:spPr>
              <a:noFill/>
              <a:ln w="25436">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12014</c:v>
                </c:pt>
                <c:pt idx="1">
                  <c:v>11000</c:v>
                </c:pt>
                <c:pt idx="2">
                  <c:v>10697.4</c:v>
                </c:pt>
                <c:pt idx="3">
                  <c:v>9722.9</c:v>
                </c:pt>
              </c:numCache>
            </c:numRef>
          </c:val>
        </c:ser>
        <c:dLbls>
          <c:showLegendKey val="0"/>
          <c:showVal val="0"/>
          <c:showCatName val="0"/>
          <c:showSerName val="0"/>
          <c:showPercent val="0"/>
          <c:showBubbleSize val="0"/>
        </c:dLbls>
        <c:gapWidth val="150"/>
        <c:shape val="pyramid"/>
        <c:axId val="361076992"/>
        <c:axId val="361082880"/>
        <c:axId val="0"/>
      </c:bar3DChart>
      <c:catAx>
        <c:axId val="361076992"/>
        <c:scaling>
          <c:orientation val="minMax"/>
        </c:scaling>
        <c:delete val="0"/>
        <c:axPos val="b"/>
        <c:numFmt formatCode="General" sourceLinked="1"/>
        <c:majorTickMark val="out"/>
        <c:minorTickMark val="none"/>
        <c:tickLblPos val="nextTo"/>
        <c:crossAx val="361082880"/>
        <c:crosses val="autoZero"/>
        <c:auto val="1"/>
        <c:lblAlgn val="ctr"/>
        <c:lblOffset val="100"/>
        <c:noMultiLvlLbl val="0"/>
      </c:catAx>
      <c:valAx>
        <c:axId val="361082880"/>
        <c:scaling>
          <c:orientation val="minMax"/>
          <c:min val="10"/>
        </c:scaling>
        <c:delete val="0"/>
        <c:axPos val="l"/>
        <c:majorGridlines/>
        <c:numFmt formatCode="General" sourceLinked="1"/>
        <c:majorTickMark val="out"/>
        <c:minorTickMark val="none"/>
        <c:tickLblPos val="nextTo"/>
        <c:crossAx val="361076992"/>
        <c:crosses val="autoZero"/>
        <c:crossBetween val="between"/>
      </c:valAx>
      <c:spPr>
        <a:noFill/>
        <a:ln w="25436">
          <a:noFill/>
        </a:ln>
      </c:spPr>
    </c:plotArea>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4F81BD">
                    <a:lumMod val="20000"/>
                    <a:lumOff val="80000"/>
                  </a:srgbClr>
                </a:gs>
                <a:gs pos="15428">
                  <a:srgbClr val="4F81BD">
                    <a:lumMod val="40000"/>
                    <a:lumOff val="60000"/>
                  </a:srgbClr>
                </a:gs>
                <a:gs pos="76000">
                  <a:srgbClr val="4F81BD">
                    <a:lumMod val="60000"/>
                    <a:lumOff val="40000"/>
                  </a:srgbClr>
                </a:gs>
                <a:gs pos="100000">
                  <a:srgbClr val="4F81BD">
                    <a:lumMod val="75000"/>
                  </a:srgbClr>
                </a:gs>
              </a:gsLst>
              <a:lin ang="5400000" scaled="0"/>
            </a:gradFill>
          </c:spPr>
          <c:invertIfNegative val="0"/>
          <c:dLbls>
            <c:dLbl>
              <c:idx val="0"/>
              <c:layout>
                <c:manualLayout>
                  <c:x val="8.8593576965670072E-3"/>
                  <c:y val="0"/>
                </c:manualLayout>
              </c:layout>
              <c:spPr>
                <a:noFill/>
                <a:ln w="25401">
                  <a:noFill/>
                </a:ln>
              </c:spPr>
              <c:txPr>
                <a:bodyPr/>
                <a:lstStyle/>
                <a:p>
                  <a:pPr>
                    <a:defRPr/>
                  </a:pPr>
                  <a:endParaRPr lang="ru-RU"/>
                </a:p>
              </c:txPr>
              <c:showLegendKey val="0"/>
              <c:showVal val="1"/>
              <c:showCatName val="0"/>
              <c:showSerName val="0"/>
              <c:showPercent val="0"/>
              <c:showBubbleSize val="0"/>
            </c:dLbl>
            <c:dLbl>
              <c:idx val="1"/>
              <c:layout>
                <c:manualLayout>
                  <c:x val="3.5351188086526951E-2"/>
                  <c:y val="-7.583339281348192E-2"/>
                </c:manualLayout>
              </c:layout>
              <c:spPr>
                <a:noFill/>
                <a:ln w="25401">
                  <a:noFill/>
                </a:ln>
              </c:spPr>
              <c:txPr>
                <a:bodyPr/>
                <a:lstStyle/>
                <a:p>
                  <a:pPr>
                    <a:defRPr/>
                  </a:pPr>
                  <a:endParaRPr lang="ru-RU"/>
                </a:p>
              </c:txPr>
              <c:showLegendKey val="0"/>
              <c:showVal val="1"/>
              <c:showCatName val="0"/>
              <c:showSerName val="0"/>
              <c:showPercent val="0"/>
              <c:showBubbleSize val="0"/>
            </c:dLbl>
            <c:dLbl>
              <c:idx val="2"/>
              <c:layout>
                <c:manualLayout>
                  <c:x val="2.657801992809225E-2"/>
                  <c:y val="0.12149237970709446"/>
                </c:manualLayout>
              </c:layout>
              <c:spPr>
                <a:noFill/>
                <a:ln w="25401">
                  <a:noFill/>
                </a:ln>
              </c:spPr>
              <c:txPr>
                <a:bodyPr/>
                <a:lstStyle/>
                <a:p>
                  <a:pPr>
                    <a:defRPr/>
                  </a:pPr>
                  <a:endParaRPr lang="ru-RU"/>
                </a:p>
              </c:txPr>
              <c:showLegendKey val="0"/>
              <c:showVal val="1"/>
              <c:showCatName val="0"/>
              <c:showSerName val="0"/>
              <c:showPercent val="0"/>
              <c:showBubbleSize val="0"/>
            </c:dLbl>
            <c:spPr>
              <a:noFill/>
              <a:ln w="25401">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147050.4</c:v>
                </c:pt>
                <c:pt idx="1">
                  <c:v>137620.5</c:v>
                </c:pt>
                <c:pt idx="2">
                  <c:v>140848.20000000001</c:v>
                </c:pt>
                <c:pt idx="3">
                  <c:v>139110</c:v>
                </c:pt>
              </c:numCache>
            </c:numRef>
          </c:val>
        </c:ser>
        <c:dLbls>
          <c:showLegendKey val="0"/>
          <c:showVal val="0"/>
          <c:showCatName val="0"/>
          <c:showSerName val="0"/>
          <c:showPercent val="0"/>
          <c:showBubbleSize val="0"/>
        </c:dLbls>
        <c:gapWidth val="150"/>
        <c:shape val="pyramid"/>
        <c:axId val="360952960"/>
        <c:axId val="360954496"/>
        <c:axId val="0"/>
      </c:bar3DChart>
      <c:catAx>
        <c:axId val="360952960"/>
        <c:scaling>
          <c:orientation val="minMax"/>
        </c:scaling>
        <c:delete val="0"/>
        <c:axPos val="b"/>
        <c:numFmt formatCode="General" sourceLinked="1"/>
        <c:majorTickMark val="out"/>
        <c:minorTickMark val="none"/>
        <c:tickLblPos val="nextTo"/>
        <c:crossAx val="360954496"/>
        <c:crosses val="autoZero"/>
        <c:auto val="1"/>
        <c:lblAlgn val="ctr"/>
        <c:lblOffset val="100"/>
        <c:noMultiLvlLbl val="0"/>
      </c:catAx>
      <c:valAx>
        <c:axId val="360954496"/>
        <c:scaling>
          <c:orientation val="minMax"/>
          <c:min val="80000"/>
        </c:scaling>
        <c:delete val="0"/>
        <c:axPos val="l"/>
        <c:majorGridlines/>
        <c:numFmt formatCode="General" sourceLinked="1"/>
        <c:majorTickMark val="out"/>
        <c:minorTickMark val="none"/>
        <c:tickLblPos val="nextTo"/>
        <c:crossAx val="360952960"/>
        <c:crosses val="autoZero"/>
        <c:crossBetween val="between"/>
      </c:valAx>
      <c:spPr>
        <a:noFill/>
        <a:ln w="25401">
          <a:noFill/>
        </a:ln>
      </c:spPr>
    </c:plotArea>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CAD4CD"/>
                </a:gs>
                <a:gs pos="76000">
                  <a:sysClr val="window" lastClr="FFFFFF">
                    <a:lumMod val="75000"/>
                  </a:sysClr>
                </a:gs>
                <a:gs pos="100000">
                  <a:srgbClr val="566A76"/>
                </a:gs>
              </a:gsLst>
              <a:lin ang="5400000" scaled="0"/>
            </a:gradFill>
          </c:spPr>
          <c:invertIfNegative val="0"/>
          <c:dLbls>
            <c:dLbl>
              <c:idx val="0"/>
              <c:layout>
                <c:manualLayout>
                  <c:x val="8.8593576965670072E-3"/>
                  <c:y val="0"/>
                </c:manualLayout>
              </c:layout>
              <c:spPr>
                <a:noFill/>
                <a:ln w="25402">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402">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402">
                  <a:noFill/>
                </a:ln>
              </c:spPr>
              <c:txPr>
                <a:bodyPr/>
                <a:lstStyle/>
                <a:p>
                  <a:pPr>
                    <a:defRPr/>
                  </a:pPr>
                  <a:endParaRPr lang="ru-RU"/>
                </a:p>
              </c:txPr>
              <c:showLegendKey val="0"/>
              <c:showVal val="1"/>
              <c:showCatName val="0"/>
              <c:showSerName val="0"/>
              <c:showPercent val="0"/>
              <c:showBubbleSize val="0"/>
            </c:dLbl>
            <c:spPr>
              <a:noFill/>
              <a:ln w="25402">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1307.8</c:v>
                </c:pt>
                <c:pt idx="1">
                  <c:v>1427.9</c:v>
                </c:pt>
                <c:pt idx="2">
                  <c:v>1007.4</c:v>
                </c:pt>
                <c:pt idx="3">
                  <c:v>496.2</c:v>
                </c:pt>
              </c:numCache>
            </c:numRef>
          </c:val>
        </c:ser>
        <c:dLbls>
          <c:showLegendKey val="0"/>
          <c:showVal val="0"/>
          <c:showCatName val="0"/>
          <c:showSerName val="0"/>
          <c:showPercent val="0"/>
          <c:showBubbleSize val="0"/>
        </c:dLbls>
        <c:gapWidth val="150"/>
        <c:shape val="pyramid"/>
        <c:axId val="361185280"/>
        <c:axId val="361186816"/>
        <c:axId val="0"/>
      </c:bar3DChart>
      <c:catAx>
        <c:axId val="361185280"/>
        <c:scaling>
          <c:orientation val="minMax"/>
        </c:scaling>
        <c:delete val="0"/>
        <c:axPos val="b"/>
        <c:numFmt formatCode="General" sourceLinked="1"/>
        <c:majorTickMark val="out"/>
        <c:minorTickMark val="none"/>
        <c:tickLblPos val="nextTo"/>
        <c:crossAx val="361186816"/>
        <c:crosses val="autoZero"/>
        <c:auto val="1"/>
        <c:lblAlgn val="ctr"/>
        <c:lblOffset val="100"/>
        <c:noMultiLvlLbl val="0"/>
      </c:catAx>
      <c:valAx>
        <c:axId val="361186816"/>
        <c:scaling>
          <c:orientation val="minMax"/>
          <c:min val="10"/>
        </c:scaling>
        <c:delete val="0"/>
        <c:axPos val="l"/>
        <c:majorGridlines/>
        <c:numFmt formatCode="General" sourceLinked="1"/>
        <c:majorTickMark val="out"/>
        <c:minorTickMark val="none"/>
        <c:tickLblPos val="nextTo"/>
        <c:crossAx val="361185280"/>
        <c:crosses val="autoZero"/>
        <c:crossBetween val="between"/>
      </c:valAx>
      <c:spPr>
        <a:noFill/>
        <a:ln w="25402">
          <a:noFill/>
        </a:ln>
      </c:spPr>
    </c:plotArea>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938B75"/>
                </a:gs>
                <a:gs pos="15428">
                  <a:srgbClr val="D4D3CA"/>
                </a:gs>
                <a:gs pos="100000">
                  <a:srgbClr val="775B53"/>
                </a:gs>
              </a:gsLst>
              <a:lin ang="5400000" scaled="0"/>
            </a:gradFill>
          </c:spPr>
          <c:invertIfNegative val="0"/>
          <c:dLbls>
            <c:dLbl>
              <c:idx val="0"/>
              <c:layout>
                <c:manualLayout>
                  <c:x val="8.8593576965670072E-3"/>
                  <c:y val="0"/>
                </c:manualLayout>
              </c:layout>
              <c:spPr>
                <a:noFill/>
                <a:ln w="25370">
                  <a:noFill/>
                </a:ln>
              </c:spPr>
              <c:txPr>
                <a:bodyPr/>
                <a:lstStyle/>
                <a:p>
                  <a:pPr>
                    <a:defRPr/>
                  </a:pPr>
                  <a:endParaRPr lang="ru-RU"/>
                </a:p>
              </c:txPr>
              <c:showLegendKey val="0"/>
              <c:showVal val="1"/>
              <c:showCatName val="0"/>
              <c:showSerName val="0"/>
              <c:showPercent val="0"/>
              <c:showBubbleSize val="0"/>
            </c:dLbl>
            <c:dLbl>
              <c:idx val="1"/>
              <c:layout>
                <c:manualLayout>
                  <c:x val="3.5351188086526951E-2"/>
                  <c:y val="-7.583339281348192E-2"/>
                </c:manualLayout>
              </c:layout>
              <c:spPr>
                <a:noFill/>
                <a:ln w="25370">
                  <a:noFill/>
                </a:ln>
              </c:spPr>
              <c:txPr>
                <a:bodyPr/>
                <a:lstStyle/>
                <a:p>
                  <a:pPr>
                    <a:defRPr/>
                  </a:pPr>
                  <a:endParaRPr lang="ru-RU"/>
                </a:p>
              </c:txPr>
              <c:showLegendKey val="0"/>
              <c:showVal val="1"/>
              <c:showCatName val="0"/>
              <c:showSerName val="0"/>
              <c:showPercent val="0"/>
              <c:showBubbleSize val="0"/>
            </c:dLbl>
            <c:dLbl>
              <c:idx val="2"/>
              <c:layout>
                <c:manualLayout>
                  <c:x val="4.0126078733068025E-2"/>
                  <c:y val="-0.18709569318165145"/>
                </c:manualLayout>
              </c:layout>
              <c:spPr>
                <a:noFill/>
                <a:ln w="25370">
                  <a:noFill/>
                </a:ln>
              </c:spPr>
              <c:txPr>
                <a:bodyPr/>
                <a:lstStyle/>
                <a:p>
                  <a:pPr>
                    <a:defRPr/>
                  </a:pPr>
                  <a:endParaRPr lang="ru-RU"/>
                </a:p>
              </c:txPr>
              <c:showLegendKey val="0"/>
              <c:showVal val="1"/>
              <c:showCatName val="0"/>
              <c:showSerName val="0"/>
              <c:showPercent val="0"/>
              <c:showBubbleSize val="0"/>
            </c:dLbl>
            <c:spPr>
              <a:noFill/>
              <a:ln w="25370">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15644.3</c:v>
                </c:pt>
                <c:pt idx="1">
                  <c:v>16301.1</c:v>
                </c:pt>
                <c:pt idx="2">
                  <c:v>16820.7</c:v>
                </c:pt>
                <c:pt idx="3">
                  <c:v>9649.2000000000007</c:v>
                </c:pt>
              </c:numCache>
            </c:numRef>
          </c:val>
        </c:ser>
        <c:dLbls>
          <c:showLegendKey val="0"/>
          <c:showVal val="0"/>
          <c:showCatName val="0"/>
          <c:showSerName val="0"/>
          <c:showPercent val="0"/>
          <c:showBubbleSize val="0"/>
        </c:dLbls>
        <c:gapWidth val="150"/>
        <c:shape val="pyramid"/>
        <c:axId val="361101952"/>
        <c:axId val="361181568"/>
        <c:axId val="0"/>
      </c:bar3DChart>
      <c:catAx>
        <c:axId val="361101952"/>
        <c:scaling>
          <c:orientation val="minMax"/>
        </c:scaling>
        <c:delete val="0"/>
        <c:axPos val="b"/>
        <c:numFmt formatCode="General" sourceLinked="1"/>
        <c:majorTickMark val="out"/>
        <c:minorTickMark val="none"/>
        <c:tickLblPos val="nextTo"/>
        <c:crossAx val="361181568"/>
        <c:crosses val="autoZero"/>
        <c:auto val="1"/>
        <c:lblAlgn val="ctr"/>
        <c:lblOffset val="100"/>
        <c:noMultiLvlLbl val="0"/>
      </c:catAx>
      <c:valAx>
        <c:axId val="361181568"/>
        <c:scaling>
          <c:orientation val="minMax"/>
          <c:min val="5000"/>
        </c:scaling>
        <c:delete val="0"/>
        <c:axPos val="l"/>
        <c:majorGridlines/>
        <c:numFmt formatCode="General" sourceLinked="1"/>
        <c:majorTickMark val="out"/>
        <c:minorTickMark val="none"/>
        <c:tickLblPos val="nextTo"/>
        <c:crossAx val="361101952"/>
        <c:crosses val="autoZero"/>
        <c:crossBetween val="between"/>
      </c:valAx>
      <c:spPr>
        <a:noFill/>
        <a:ln w="25370">
          <a:noFill/>
        </a:ln>
      </c:spPr>
    </c:plotArea>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gradFill>
              <a:gsLst>
                <a:gs pos="0">
                  <a:sysClr val="window" lastClr="FFFFFF">
                    <a:lumMod val="50000"/>
                  </a:sysClr>
                </a:gs>
                <a:gs pos="15428">
                  <a:sysClr val="window" lastClr="FFFFFF">
                    <a:lumMod val="95000"/>
                  </a:sysClr>
                </a:gs>
                <a:gs pos="76000">
                  <a:srgbClr val="F79646">
                    <a:lumMod val="20000"/>
                    <a:lumOff val="80000"/>
                  </a:srgbClr>
                </a:gs>
                <a:gs pos="100000">
                  <a:sysClr val="window" lastClr="FFFFFF">
                    <a:lumMod val="65000"/>
                  </a:sysClr>
                </a:gs>
              </a:gsLst>
              <a:lin ang="5400000" scaled="0"/>
            </a:gradFill>
          </c:spPr>
          <c:invertIfNegative val="0"/>
          <c:dLbls>
            <c:dLbl>
              <c:idx val="0"/>
              <c:layout>
                <c:manualLayout>
                  <c:x val="8.8593576965670072E-3"/>
                  <c:y val="0"/>
                </c:manualLayout>
              </c:layout>
              <c:spPr>
                <a:noFill/>
                <a:ln w="25410">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410">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410">
                  <a:noFill/>
                </a:ln>
              </c:spPr>
              <c:txPr>
                <a:bodyPr/>
                <a:lstStyle/>
                <a:p>
                  <a:pPr>
                    <a:defRPr/>
                  </a:pPr>
                  <a:endParaRPr lang="ru-RU"/>
                </a:p>
              </c:txPr>
              <c:showLegendKey val="0"/>
              <c:showVal val="1"/>
              <c:showCatName val="0"/>
              <c:showSerName val="0"/>
              <c:showPercent val="0"/>
              <c:showBubbleSize val="0"/>
            </c:dLbl>
            <c:spPr>
              <a:noFill/>
              <a:ln w="25410">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123.5</c:v>
                </c:pt>
                <c:pt idx="1">
                  <c:v>138.4</c:v>
                </c:pt>
                <c:pt idx="2">
                  <c:v>143.69999999999999</c:v>
                </c:pt>
              </c:numCache>
            </c:numRef>
          </c:val>
        </c:ser>
        <c:ser>
          <c:idx val="1"/>
          <c:order val="1"/>
          <c:tx>
            <c:strRef>
              <c:f>Лист1!$C$1</c:f>
              <c:strCache>
                <c:ptCount val="1"/>
                <c:pt idx="0">
                  <c:v>Столбец2</c:v>
                </c:pt>
              </c:strCache>
            </c:strRef>
          </c:tx>
          <c:spPr>
            <a:gradFill>
              <a:gsLst>
                <a:gs pos="0">
                  <a:srgbClr val="C0504D">
                    <a:lumMod val="60000"/>
                    <a:lumOff val="40000"/>
                  </a:srgbClr>
                </a:gs>
                <a:gs pos="15428">
                  <a:sysClr val="window" lastClr="FFFFFF">
                    <a:lumMod val="95000"/>
                  </a:sysClr>
                </a:gs>
                <a:gs pos="100000">
                  <a:srgbClr val="C0504D"/>
                </a:gs>
              </a:gsLst>
              <a:lin ang="5400000" scaled="0"/>
            </a:gradFill>
          </c:spPr>
          <c:invertIfNegative val="0"/>
          <c:dLbls>
            <c:spPr>
              <a:noFill/>
              <a:ln w="25410">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Лист1!$C$2:$C$4</c:f>
              <c:numCache>
                <c:formatCode>General</c:formatCode>
                <c:ptCount val="3"/>
                <c:pt idx="0">
                  <c:v>19.5</c:v>
                </c:pt>
                <c:pt idx="1">
                  <c:v>29.6</c:v>
                </c:pt>
                <c:pt idx="2">
                  <c:v>41.5</c:v>
                </c:pt>
              </c:numCache>
            </c:numRef>
          </c:val>
        </c:ser>
        <c:dLbls>
          <c:showLegendKey val="0"/>
          <c:showVal val="0"/>
          <c:showCatName val="0"/>
          <c:showSerName val="0"/>
          <c:showPercent val="0"/>
          <c:showBubbleSize val="0"/>
        </c:dLbls>
        <c:gapWidth val="150"/>
        <c:shape val="cylinder"/>
        <c:axId val="361323136"/>
        <c:axId val="361345408"/>
        <c:axId val="0"/>
      </c:bar3DChart>
      <c:catAx>
        <c:axId val="361323136"/>
        <c:scaling>
          <c:orientation val="minMax"/>
        </c:scaling>
        <c:delete val="0"/>
        <c:axPos val="b"/>
        <c:numFmt formatCode="General" sourceLinked="1"/>
        <c:majorTickMark val="out"/>
        <c:minorTickMark val="none"/>
        <c:tickLblPos val="nextTo"/>
        <c:crossAx val="361345408"/>
        <c:crosses val="autoZero"/>
        <c:auto val="1"/>
        <c:lblAlgn val="ctr"/>
        <c:lblOffset val="100"/>
        <c:noMultiLvlLbl val="0"/>
      </c:catAx>
      <c:valAx>
        <c:axId val="361345408"/>
        <c:scaling>
          <c:orientation val="minMax"/>
          <c:min val="10"/>
        </c:scaling>
        <c:delete val="0"/>
        <c:axPos val="l"/>
        <c:majorGridlines/>
        <c:numFmt formatCode="General" sourceLinked="1"/>
        <c:majorTickMark val="out"/>
        <c:minorTickMark val="none"/>
        <c:tickLblPos val="nextTo"/>
        <c:crossAx val="361323136"/>
        <c:crosses val="autoZero"/>
        <c:crossBetween val="between"/>
      </c:valAx>
      <c:spPr>
        <a:noFill/>
        <a:ln w="25410">
          <a:noFill/>
        </a:ln>
      </c:spPr>
    </c:plotArea>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gradFill>
              <a:gsLst>
                <a:gs pos="0">
                  <a:srgbClr val="1F497D">
                    <a:lumMod val="60000"/>
                    <a:lumOff val="40000"/>
                  </a:srgbClr>
                </a:gs>
                <a:gs pos="84000">
                  <a:srgbClr val="1F497D">
                    <a:lumMod val="20000"/>
                    <a:lumOff val="80000"/>
                  </a:srgbClr>
                </a:gs>
                <a:gs pos="100000">
                  <a:srgbClr val="1F497D">
                    <a:lumMod val="60000"/>
                    <a:lumOff val="40000"/>
                  </a:srgbClr>
                </a:gs>
              </a:gsLst>
              <a:lin ang="5400000" scaled="0"/>
            </a:gradFill>
          </c:spPr>
          <c:invertIfNegative val="0"/>
          <c:dLbls>
            <c:dLbl>
              <c:idx val="0"/>
              <c:layout>
                <c:manualLayout>
                  <c:x val="8.8593576965670072E-3"/>
                  <c:y val="0"/>
                </c:manualLayout>
              </c:layout>
              <c:spPr>
                <a:noFill/>
                <a:ln w="25405">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405">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405">
                  <a:noFill/>
                </a:ln>
              </c:spPr>
              <c:txPr>
                <a:bodyPr/>
                <a:lstStyle/>
                <a:p>
                  <a:pPr>
                    <a:defRPr/>
                  </a:pPr>
                  <a:endParaRPr lang="ru-RU"/>
                </a:p>
              </c:txPr>
              <c:showLegendKey val="0"/>
              <c:showVal val="1"/>
              <c:showCatName val="0"/>
              <c:showSerName val="0"/>
              <c:showPercent val="0"/>
              <c:showBubbleSize val="0"/>
            </c:dLbl>
            <c:spPr>
              <a:noFill/>
              <a:ln w="25405">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118.6</c:v>
                </c:pt>
                <c:pt idx="1">
                  <c:v>129.44999999999999</c:v>
                </c:pt>
                <c:pt idx="2">
                  <c:v>140.30000000000001</c:v>
                </c:pt>
              </c:numCache>
            </c:numRef>
          </c:val>
        </c:ser>
        <c:ser>
          <c:idx val="1"/>
          <c:order val="1"/>
          <c:tx>
            <c:strRef>
              <c:f>Лист1!$C$1</c:f>
              <c:strCache>
                <c:ptCount val="1"/>
                <c:pt idx="0">
                  <c:v>Столбец2</c:v>
                </c:pt>
              </c:strCache>
            </c:strRef>
          </c:tx>
          <c:invertIfNegative val="0"/>
          <c:dLbls>
            <c:dLbl>
              <c:idx val="0"/>
              <c:layout>
                <c:manualLayout>
                  <c:x val="5.0418573408450393E-2"/>
                  <c:y val="0"/>
                </c:manualLayout>
              </c:layout>
              <c:spPr>
                <a:noFill/>
                <a:ln w="25405">
                  <a:noFill/>
                </a:ln>
              </c:spPr>
              <c:txPr>
                <a:bodyPr/>
                <a:lstStyle/>
                <a:p>
                  <a:pPr>
                    <a:defRPr/>
                  </a:pPr>
                  <a:endParaRPr lang="ru-RU"/>
                </a:p>
              </c:txPr>
              <c:showLegendKey val="0"/>
              <c:showVal val="1"/>
              <c:showCatName val="0"/>
              <c:showSerName val="0"/>
              <c:showPercent val="0"/>
              <c:showBubbleSize val="0"/>
            </c:dLbl>
            <c:dLbl>
              <c:idx val="1"/>
              <c:layout>
                <c:manualLayout>
                  <c:x val="3.025114404507016E-2"/>
                  <c:y val="-6.4289181851822077E-3"/>
                </c:manualLayout>
              </c:layout>
              <c:spPr>
                <a:noFill/>
                <a:ln w="25405">
                  <a:noFill/>
                </a:ln>
              </c:spPr>
              <c:txPr>
                <a:bodyPr/>
                <a:lstStyle/>
                <a:p>
                  <a:pPr>
                    <a:defRPr/>
                  </a:pPr>
                  <a:endParaRPr lang="ru-RU"/>
                </a:p>
              </c:txPr>
              <c:showLegendKey val="0"/>
              <c:showVal val="1"/>
              <c:showCatName val="0"/>
              <c:showSerName val="0"/>
              <c:showPercent val="0"/>
              <c:showBubbleSize val="0"/>
            </c:dLbl>
            <c:dLbl>
              <c:idx val="2"/>
              <c:layout>
                <c:manualLayout>
                  <c:x val="3.5293001385915096E-2"/>
                  <c:y val="0"/>
                </c:manualLayout>
              </c:layout>
              <c:spPr>
                <a:noFill/>
                <a:ln w="25405">
                  <a:noFill/>
                </a:ln>
              </c:spPr>
              <c:txPr>
                <a:bodyPr/>
                <a:lstStyle/>
                <a:p>
                  <a:pPr>
                    <a:defRPr/>
                  </a:pPr>
                  <a:endParaRPr lang="ru-RU"/>
                </a:p>
              </c:txPr>
              <c:showLegendKey val="0"/>
              <c:showVal val="1"/>
              <c:showCatName val="0"/>
              <c:showSerName val="0"/>
              <c:showPercent val="0"/>
              <c:showBubbleSize val="0"/>
            </c:dLbl>
            <c:spPr>
              <a:noFill/>
              <a:ln w="25405">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Лист1!$C$2:$C$4</c:f>
              <c:numCache>
                <c:formatCode>General</c:formatCode>
                <c:ptCount val="3"/>
                <c:pt idx="0">
                  <c:v>4.45</c:v>
                </c:pt>
                <c:pt idx="1">
                  <c:v>3.8</c:v>
                </c:pt>
                <c:pt idx="2">
                  <c:v>3.8</c:v>
                </c:pt>
              </c:numCache>
            </c:numRef>
          </c:val>
        </c:ser>
        <c:dLbls>
          <c:showLegendKey val="0"/>
          <c:showVal val="0"/>
          <c:showCatName val="0"/>
          <c:showSerName val="0"/>
          <c:showPercent val="0"/>
          <c:showBubbleSize val="0"/>
        </c:dLbls>
        <c:gapWidth val="150"/>
        <c:shape val="cylinder"/>
        <c:axId val="361218048"/>
        <c:axId val="361219584"/>
        <c:axId val="0"/>
      </c:bar3DChart>
      <c:catAx>
        <c:axId val="361218048"/>
        <c:scaling>
          <c:orientation val="minMax"/>
        </c:scaling>
        <c:delete val="0"/>
        <c:axPos val="b"/>
        <c:numFmt formatCode="General" sourceLinked="1"/>
        <c:majorTickMark val="out"/>
        <c:minorTickMark val="none"/>
        <c:tickLblPos val="nextTo"/>
        <c:crossAx val="361219584"/>
        <c:crosses val="autoZero"/>
        <c:auto val="1"/>
        <c:lblAlgn val="ctr"/>
        <c:lblOffset val="100"/>
        <c:noMultiLvlLbl val="0"/>
      </c:catAx>
      <c:valAx>
        <c:axId val="361219584"/>
        <c:scaling>
          <c:orientation val="minMax"/>
        </c:scaling>
        <c:delete val="0"/>
        <c:axPos val="l"/>
        <c:majorGridlines/>
        <c:numFmt formatCode="General" sourceLinked="1"/>
        <c:majorTickMark val="out"/>
        <c:minorTickMark val="none"/>
        <c:tickLblPos val="nextTo"/>
        <c:crossAx val="361218048"/>
        <c:crosses val="autoZero"/>
        <c:crossBetween val="between"/>
      </c:valAx>
      <c:spPr>
        <a:noFill/>
        <a:ln w="25405">
          <a:noFill/>
        </a:ln>
      </c:spPr>
    </c:plotArea>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7030A0"/>
                </a:gs>
                <a:gs pos="15428">
                  <a:srgbClr val="C0504D"/>
                </a:gs>
                <a:gs pos="76000">
                  <a:srgbClr val="F79646">
                    <a:lumMod val="60000"/>
                    <a:lumOff val="40000"/>
                  </a:srgbClr>
                </a:gs>
                <a:gs pos="100000">
                  <a:srgbClr val="F79646">
                    <a:lumMod val="75000"/>
                  </a:srgbClr>
                </a:gs>
              </a:gsLst>
              <a:lin ang="5400000" scaled="0"/>
            </a:gradFill>
          </c:spPr>
          <c:invertIfNegative val="0"/>
          <c:dLbls>
            <c:dLbl>
              <c:idx val="0"/>
              <c:layout>
                <c:manualLayout>
                  <c:x val="8.8593576965670072E-3"/>
                  <c:y val="0"/>
                </c:manualLayout>
              </c:layout>
              <c:spPr>
                <a:noFill/>
                <a:ln w="25421">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421">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421">
                  <a:noFill/>
                </a:ln>
              </c:spPr>
              <c:txPr>
                <a:bodyPr/>
                <a:lstStyle/>
                <a:p>
                  <a:pPr>
                    <a:defRPr/>
                  </a:pPr>
                  <a:endParaRPr lang="ru-RU"/>
                </a:p>
              </c:txPr>
              <c:showLegendKey val="0"/>
              <c:showVal val="1"/>
              <c:showCatName val="0"/>
              <c:showSerName val="0"/>
              <c:showPercent val="0"/>
              <c:showBubbleSize val="0"/>
            </c:dLbl>
            <c:spPr>
              <a:noFill/>
              <a:ln w="25421">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11887</c:v>
                </c:pt>
                <c:pt idx="1">
                  <c:v>13842</c:v>
                </c:pt>
                <c:pt idx="2">
                  <c:v>14229</c:v>
                </c:pt>
                <c:pt idx="3">
                  <c:v>15990</c:v>
                </c:pt>
              </c:numCache>
            </c:numRef>
          </c:val>
        </c:ser>
        <c:dLbls>
          <c:showLegendKey val="0"/>
          <c:showVal val="0"/>
          <c:showCatName val="0"/>
          <c:showSerName val="0"/>
          <c:showPercent val="0"/>
          <c:showBubbleSize val="0"/>
        </c:dLbls>
        <c:gapWidth val="150"/>
        <c:shape val="cylinder"/>
        <c:axId val="361400960"/>
        <c:axId val="361415040"/>
        <c:axId val="0"/>
      </c:bar3DChart>
      <c:catAx>
        <c:axId val="361400960"/>
        <c:scaling>
          <c:orientation val="minMax"/>
        </c:scaling>
        <c:delete val="0"/>
        <c:axPos val="b"/>
        <c:numFmt formatCode="General" sourceLinked="1"/>
        <c:majorTickMark val="out"/>
        <c:minorTickMark val="none"/>
        <c:tickLblPos val="nextTo"/>
        <c:crossAx val="361415040"/>
        <c:crosses val="autoZero"/>
        <c:auto val="1"/>
        <c:lblAlgn val="ctr"/>
        <c:lblOffset val="100"/>
        <c:noMultiLvlLbl val="0"/>
      </c:catAx>
      <c:valAx>
        <c:axId val="361415040"/>
        <c:scaling>
          <c:orientation val="minMax"/>
        </c:scaling>
        <c:delete val="0"/>
        <c:axPos val="l"/>
        <c:majorGridlines/>
        <c:numFmt formatCode="General" sourceLinked="1"/>
        <c:majorTickMark val="out"/>
        <c:minorTickMark val="none"/>
        <c:tickLblPos val="nextTo"/>
        <c:crossAx val="361400960"/>
        <c:crosses val="autoZero"/>
        <c:crossBetween val="between"/>
      </c:valAx>
      <c:spPr>
        <a:noFill/>
        <a:ln w="25421">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0">
                  <a:schemeClr val="bg2">
                    <a:lumMod val="75000"/>
                  </a:schemeClr>
                </a:gs>
                <a:gs pos="76000">
                  <a:srgbClr val="D0EBB3"/>
                </a:gs>
                <a:gs pos="100000">
                  <a:schemeClr val="bg2">
                    <a:lumMod val="50000"/>
                  </a:schemeClr>
                </a:gs>
              </a:gsLst>
              <a:lin ang="5400000" scaled="0"/>
            </a:gradFill>
          </c:spPr>
          <c:invertIfNegative val="0"/>
          <c:dLbls>
            <c:spPr>
              <a:noFill/>
              <a:ln w="25398">
                <a:noFill/>
              </a:ln>
            </c:spPr>
            <c:showLegendKey val="0"/>
            <c:showVal val="1"/>
            <c:showCatName val="0"/>
            <c:showSerName val="0"/>
            <c:showPercent val="0"/>
            <c:showBubbleSize val="0"/>
            <c:showLeaderLines val="0"/>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2224</c:v>
                </c:pt>
                <c:pt idx="1">
                  <c:v>1985</c:v>
                </c:pt>
                <c:pt idx="2">
                  <c:v>1698</c:v>
                </c:pt>
                <c:pt idx="3">
                  <c:v>1640</c:v>
                </c:pt>
              </c:numCache>
            </c:numRef>
          </c:val>
        </c:ser>
        <c:dLbls>
          <c:showLegendKey val="0"/>
          <c:showVal val="0"/>
          <c:showCatName val="0"/>
          <c:showSerName val="0"/>
          <c:showPercent val="0"/>
          <c:showBubbleSize val="0"/>
        </c:dLbls>
        <c:gapWidth val="150"/>
        <c:shape val="cylinder"/>
        <c:axId val="253917440"/>
        <c:axId val="253919232"/>
        <c:axId val="0"/>
      </c:bar3DChart>
      <c:catAx>
        <c:axId val="253917440"/>
        <c:scaling>
          <c:orientation val="minMax"/>
        </c:scaling>
        <c:delete val="0"/>
        <c:axPos val="b"/>
        <c:numFmt formatCode="General" sourceLinked="1"/>
        <c:majorTickMark val="out"/>
        <c:minorTickMark val="none"/>
        <c:tickLblPos val="nextTo"/>
        <c:crossAx val="253919232"/>
        <c:crosses val="autoZero"/>
        <c:auto val="1"/>
        <c:lblAlgn val="ctr"/>
        <c:lblOffset val="100"/>
        <c:noMultiLvlLbl val="0"/>
      </c:catAx>
      <c:valAx>
        <c:axId val="253919232"/>
        <c:scaling>
          <c:orientation val="minMax"/>
          <c:min val="1000"/>
        </c:scaling>
        <c:delete val="0"/>
        <c:axPos val="l"/>
        <c:majorGridlines/>
        <c:numFmt formatCode="General" sourceLinked="1"/>
        <c:majorTickMark val="out"/>
        <c:minorTickMark val="none"/>
        <c:tickLblPos val="nextTo"/>
        <c:crossAx val="253917440"/>
        <c:crosses val="autoZero"/>
        <c:crossBetween val="between"/>
      </c:valAx>
      <c:spPr>
        <a:noFill/>
        <a:ln w="25398">
          <a:noFill/>
        </a:ln>
      </c:spPr>
    </c:plotArea>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833">
                  <a:schemeClr val="accent6">
                    <a:lumMod val="40000"/>
                    <a:lumOff val="60000"/>
                  </a:schemeClr>
                </a:gs>
                <a:gs pos="6000">
                  <a:srgbClr val="FFFF00"/>
                </a:gs>
                <a:gs pos="50000">
                  <a:srgbClr val="FFFF00"/>
                </a:gs>
                <a:gs pos="100000">
                  <a:srgbClr val="FFC000"/>
                </a:gs>
              </a:gsLst>
              <a:lin ang="5400000" scaled="0"/>
            </a:gradFill>
          </c:spPr>
          <c:invertIfNegative val="0"/>
          <c:dLbls>
            <c:spPr>
              <a:noFill/>
              <a:ln w="25391">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150.6</c:v>
                </c:pt>
                <c:pt idx="1">
                  <c:v>153.9</c:v>
                </c:pt>
                <c:pt idx="2">
                  <c:v>161.69999999999999</c:v>
                </c:pt>
                <c:pt idx="3">
                  <c:v>189.9</c:v>
                </c:pt>
              </c:numCache>
            </c:numRef>
          </c:val>
        </c:ser>
        <c:dLbls>
          <c:showLegendKey val="0"/>
          <c:showVal val="0"/>
          <c:showCatName val="0"/>
          <c:showSerName val="0"/>
          <c:showPercent val="0"/>
          <c:showBubbleSize val="0"/>
        </c:dLbls>
        <c:gapWidth val="150"/>
        <c:shape val="cylinder"/>
        <c:axId val="361283968"/>
        <c:axId val="361285504"/>
        <c:axId val="0"/>
      </c:bar3DChart>
      <c:catAx>
        <c:axId val="361283968"/>
        <c:scaling>
          <c:orientation val="minMax"/>
        </c:scaling>
        <c:delete val="0"/>
        <c:axPos val="b"/>
        <c:numFmt formatCode="General" sourceLinked="1"/>
        <c:majorTickMark val="out"/>
        <c:minorTickMark val="none"/>
        <c:tickLblPos val="nextTo"/>
        <c:crossAx val="361285504"/>
        <c:crosses val="autoZero"/>
        <c:auto val="1"/>
        <c:lblAlgn val="ctr"/>
        <c:lblOffset val="100"/>
        <c:noMultiLvlLbl val="0"/>
      </c:catAx>
      <c:valAx>
        <c:axId val="361285504"/>
        <c:scaling>
          <c:orientation val="minMax"/>
          <c:min val="100"/>
        </c:scaling>
        <c:delete val="0"/>
        <c:axPos val="l"/>
        <c:majorGridlines/>
        <c:numFmt formatCode="General" sourceLinked="1"/>
        <c:majorTickMark val="out"/>
        <c:minorTickMark val="none"/>
        <c:tickLblPos val="nextTo"/>
        <c:crossAx val="361283968"/>
        <c:crosses val="autoZero"/>
        <c:crossBetween val="between"/>
      </c:valAx>
      <c:spPr>
        <a:noFill/>
        <a:ln w="25391">
          <a:noFill/>
        </a:ln>
      </c:spPr>
    </c:plotArea>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EEECE1">
                    <a:lumMod val="50000"/>
                  </a:srgbClr>
                </a:gs>
                <a:gs pos="15428">
                  <a:srgbClr val="F79646">
                    <a:lumMod val="40000"/>
                    <a:lumOff val="60000"/>
                  </a:srgbClr>
                </a:gs>
                <a:gs pos="76000">
                  <a:srgbClr val="F79646">
                    <a:lumMod val="60000"/>
                    <a:lumOff val="40000"/>
                  </a:srgbClr>
                </a:gs>
                <a:gs pos="100000">
                  <a:srgbClr val="EEECE1">
                    <a:lumMod val="25000"/>
                  </a:srgbClr>
                </a:gs>
              </a:gsLst>
              <a:lin ang="5400000" scaled="0"/>
            </a:gradFill>
          </c:spPr>
          <c:invertIfNegative val="0"/>
          <c:dLbls>
            <c:dLbl>
              <c:idx val="0"/>
              <c:layout>
                <c:manualLayout>
                  <c:x val="4.4345341788028713E-3"/>
                  <c:y val="-0.26515151515151514"/>
                </c:manualLayout>
              </c:layout>
              <c:spPr>
                <a:noFill/>
                <a:ln w="25368">
                  <a:noFill/>
                </a:ln>
              </c:spPr>
              <c:txPr>
                <a:bodyPr/>
                <a:lstStyle/>
                <a:p>
                  <a:pPr>
                    <a:defRPr/>
                  </a:pPr>
                  <a:endParaRPr lang="ru-RU"/>
                </a:p>
              </c:txPr>
              <c:showLegendKey val="0"/>
              <c:showVal val="1"/>
              <c:showCatName val="0"/>
              <c:showSerName val="0"/>
              <c:showPercent val="0"/>
              <c:showBubbleSize val="0"/>
            </c:dLbl>
            <c:dLbl>
              <c:idx val="1"/>
              <c:layout>
                <c:manualLayout>
                  <c:x val="-8.8018447468158848E-3"/>
                  <c:y val="-0.30826125427503376"/>
                </c:manualLayout>
              </c:layout>
              <c:spPr>
                <a:noFill/>
                <a:ln w="25368">
                  <a:noFill/>
                </a:ln>
              </c:spPr>
              <c:txPr>
                <a:bodyPr/>
                <a:lstStyle/>
                <a:p>
                  <a:pPr>
                    <a:defRPr/>
                  </a:pPr>
                  <a:endParaRPr lang="ru-RU"/>
                </a:p>
              </c:txPr>
              <c:showLegendKey val="0"/>
              <c:showVal val="1"/>
              <c:showCatName val="0"/>
              <c:showSerName val="0"/>
              <c:showPercent val="0"/>
              <c:showBubbleSize val="0"/>
            </c:dLbl>
            <c:dLbl>
              <c:idx val="2"/>
              <c:layout>
                <c:manualLayout>
                  <c:x val="3.1354285660535521E-5"/>
                  <c:y val="-0.31619790423924293"/>
                </c:manualLayout>
              </c:layout>
              <c:spPr>
                <a:noFill/>
                <a:ln w="25368">
                  <a:noFill/>
                </a:ln>
              </c:spPr>
              <c:txPr>
                <a:bodyPr/>
                <a:lstStyle/>
                <a:p>
                  <a:pPr>
                    <a:defRPr/>
                  </a:pPr>
                  <a:endParaRPr lang="ru-RU"/>
                </a:p>
              </c:txPr>
              <c:showLegendKey val="0"/>
              <c:showVal val="1"/>
              <c:showCatName val="0"/>
              <c:showSerName val="0"/>
              <c:showPercent val="0"/>
              <c:showBubbleSize val="0"/>
            </c:dLbl>
            <c:dLbl>
              <c:idx val="3"/>
              <c:layout>
                <c:manualLayout>
                  <c:x val="4.4244380876533439E-3"/>
                  <c:y val="-0.37878787878787901"/>
                </c:manualLayout>
              </c:layout>
              <c:spPr>
                <a:noFill/>
                <a:ln w="25368">
                  <a:noFill/>
                </a:ln>
              </c:spPr>
              <c:txPr>
                <a:bodyPr/>
                <a:lstStyle/>
                <a:p>
                  <a:pPr>
                    <a:defRPr/>
                  </a:pPr>
                  <a:endParaRPr lang="ru-RU"/>
                </a:p>
              </c:txPr>
              <c:showLegendKey val="0"/>
              <c:showVal val="1"/>
              <c:showCatName val="0"/>
              <c:showSerName val="0"/>
              <c:showPercent val="0"/>
              <c:showBubbleSize val="0"/>
            </c:dLbl>
            <c:spPr>
              <a:noFill/>
              <a:ln w="25368">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1318</c:v>
                </c:pt>
                <c:pt idx="1">
                  <c:v>1629</c:v>
                </c:pt>
                <c:pt idx="2">
                  <c:v>1743</c:v>
                </c:pt>
                <c:pt idx="3">
                  <c:v>2167</c:v>
                </c:pt>
              </c:numCache>
            </c:numRef>
          </c:val>
        </c:ser>
        <c:dLbls>
          <c:showLegendKey val="0"/>
          <c:showVal val="0"/>
          <c:showCatName val="0"/>
          <c:showSerName val="0"/>
          <c:showPercent val="0"/>
          <c:showBubbleSize val="0"/>
        </c:dLbls>
        <c:gapWidth val="150"/>
        <c:shape val="cylinder"/>
        <c:axId val="361655680"/>
        <c:axId val="361657472"/>
        <c:axId val="0"/>
      </c:bar3DChart>
      <c:catAx>
        <c:axId val="361655680"/>
        <c:scaling>
          <c:orientation val="minMax"/>
        </c:scaling>
        <c:delete val="0"/>
        <c:axPos val="b"/>
        <c:numFmt formatCode="General" sourceLinked="1"/>
        <c:majorTickMark val="out"/>
        <c:minorTickMark val="none"/>
        <c:tickLblPos val="nextTo"/>
        <c:crossAx val="361657472"/>
        <c:crosses val="autoZero"/>
        <c:auto val="1"/>
        <c:lblAlgn val="ctr"/>
        <c:lblOffset val="100"/>
        <c:noMultiLvlLbl val="0"/>
      </c:catAx>
      <c:valAx>
        <c:axId val="361657472"/>
        <c:scaling>
          <c:orientation val="minMax"/>
        </c:scaling>
        <c:delete val="0"/>
        <c:axPos val="l"/>
        <c:majorGridlines/>
        <c:numFmt formatCode="General" sourceLinked="1"/>
        <c:majorTickMark val="out"/>
        <c:minorTickMark val="none"/>
        <c:tickLblPos val="nextTo"/>
        <c:crossAx val="361655680"/>
        <c:crosses val="autoZero"/>
        <c:crossBetween val="between"/>
      </c:valAx>
      <c:spPr>
        <a:noFill/>
        <a:ln w="25368">
          <a:noFill/>
        </a:ln>
      </c:spPr>
    </c:plotArea>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833">
                  <a:schemeClr val="accent6">
                    <a:lumMod val="40000"/>
                    <a:lumOff val="60000"/>
                  </a:schemeClr>
                </a:gs>
                <a:gs pos="6000">
                  <a:srgbClr val="FFFF00"/>
                </a:gs>
                <a:gs pos="50000">
                  <a:srgbClr val="FFFF00"/>
                </a:gs>
                <a:gs pos="100000">
                  <a:srgbClr val="FFC000"/>
                </a:gs>
              </a:gsLst>
              <a:lin ang="5400000" scaled="0"/>
            </a:gradFill>
          </c:spPr>
          <c:invertIfNegative val="0"/>
          <c:dLbls>
            <c:spPr>
              <a:noFill/>
              <a:ln w="25391">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16.7</c:v>
                </c:pt>
                <c:pt idx="1">
                  <c:v>19.7</c:v>
                </c:pt>
                <c:pt idx="2">
                  <c:v>19.8</c:v>
                </c:pt>
                <c:pt idx="3">
                  <c:v>24.6</c:v>
                </c:pt>
              </c:numCache>
            </c:numRef>
          </c:val>
        </c:ser>
        <c:dLbls>
          <c:showLegendKey val="0"/>
          <c:showVal val="0"/>
          <c:showCatName val="0"/>
          <c:showSerName val="0"/>
          <c:showPercent val="0"/>
          <c:showBubbleSize val="0"/>
        </c:dLbls>
        <c:gapWidth val="150"/>
        <c:shape val="cylinder"/>
        <c:axId val="361395328"/>
        <c:axId val="361396864"/>
        <c:axId val="0"/>
      </c:bar3DChart>
      <c:catAx>
        <c:axId val="361395328"/>
        <c:scaling>
          <c:orientation val="minMax"/>
        </c:scaling>
        <c:delete val="0"/>
        <c:axPos val="b"/>
        <c:numFmt formatCode="General" sourceLinked="1"/>
        <c:majorTickMark val="out"/>
        <c:minorTickMark val="none"/>
        <c:tickLblPos val="nextTo"/>
        <c:crossAx val="361396864"/>
        <c:crosses val="autoZero"/>
        <c:auto val="1"/>
        <c:lblAlgn val="ctr"/>
        <c:lblOffset val="100"/>
        <c:noMultiLvlLbl val="0"/>
      </c:catAx>
      <c:valAx>
        <c:axId val="361396864"/>
        <c:scaling>
          <c:orientation val="minMax"/>
        </c:scaling>
        <c:delete val="0"/>
        <c:axPos val="l"/>
        <c:majorGridlines/>
        <c:numFmt formatCode="General" sourceLinked="1"/>
        <c:majorTickMark val="out"/>
        <c:minorTickMark val="none"/>
        <c:tickLblPos val="nextTo"/>
        <c:crossAx val="361395328"/>
        <c:crosses val="autoZero"/>
        <c:crossBetween val="between"/>
      </c:valAx>
      <c:spPr>
        <a:noFill/>
        <a:ln w="25391">
          <a:noFill/>
        </a:ln>
      </c:spPr>
    </c:plotArea>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37997F"/>
                </a:gs>
                <a:gs pos="15428">
                  <a:srgbClr val="9BBB59">
                    <a:lumMod val="60000"/>
                    <a:lumOff val="40000"/>
                  </a:srgbClr>
                </a:gs>
                <a:gs pos="76000">
                  <a:srgbClr val="9BBB59">
                    <a:lumMod val="20000"/>
                    <a:lumOff val="80000"/>
                  </a:srgbClr>
                </a:gs>
                <a:gs pos="100000">
                  <a:srgbClr val="9BBB59"/>
                </a:gs>
              </a:gsLst>
              <a:lin ang="5400000" scaled="0"/>
            </a:gradFill>
          </c:spPr>
          <c:invertIfNegative val="0"/>
          <c:dLbls>
            <c:dLbl>
              <c:idx val="0"/>
              <c:layout>
                <c:manualLayout>
                  <c:x val="-4.4150233433210267E-3"/>
                  <c:y val="-0.18308080808080809"/>
                </c:manualLayout>
              </c:layout>
              <c:spPr>
                <a:noFill/>
                <a:ln w="25368">
                  <a:noFill/>
                </a:ln>
              </c:spPr>
              <c:txPr>
                <a:bodyPr/>
                <a:lstStyle/>
                <a:p>
                  <a:pPr>
                    <a:defRPr/>
                  </a:pPr>
                  <a:endParaRPr lang="ru-RU"/>
                </a:p>
              </c:txPr>
              <c:showLegendKey val="0"/>
              <c:showVal val="1"/>
              <c:showCatName val="0"/>
              <c:showSerName val="0"/>
              <c:showPercent val="0"/>
              <c:showBubbleSize val="0"/>
            </c:dLbl>
            <c:dLbl>
              <c:idx val="1"/>
              <c:layout>
                <c:manualLayout>
                  <c:x val="4.4714695161442329E-3"/>
                  <c:y val="-0.3019481229619026"/>
                </c:manualLayout>
              </c:layout>
              <c:spPr>
                <a:noFill/>
                <a:ln w="25368">
                  <a:noFill/>
                </a:ln>
              </c:spPr>
              <c:txPr>
                <a:bodyPr/>
                <a:lstStyle/>
                <a:p>
                  <a:pPr>
                    <a:defRPr/>
                  </a:pPr>
                  <a:endParaRPr lang="ru-RU"/>
                </a:p>
              </c:txPr>
              <c:showLegendKey val="0"/>
              <c:showVal val="1"/>
              <c:showCatName val="0"/>
              <c:showSerName val="0"/>
              <c:showPercent val="0"/>
              <c:showBubbleSize val="0"/>
            </c:dLbl>
            <c:dLbl>
              <c:idx val="2"/>
              <c:layout>
                <c:manualLayout>
                  <c:x val="3.1354285660535521E-5"/>
                  <c:y val="-0.34145042949176807"/>
                </c:manualLayout>
              </c:layout>
              <c:spPr>
                <a:noFill/>
                <a:ln w="25368">
                  <a:noFill/>
                </a:ln>
              </c:spPr>
              <c:txPr>
                <a:bodyPr/>
                <a:lstStyle/>
                <a:p>
                  <a:pPr>
                    <a:defRPr/>
                  </a:pPr>
                  <a:endParaRPr lang="ru-RU"/>
                </a:p>
              </c:txPr>
              <c:showLegendKey val="0"/>
              <c:showVal val="1"/>
              <c:showCatName val="0"/>
              <c:showSerName val="0"/>
              <c:showPercent val="0"/>
              <c:showBubbleSize val="0"/>
            </c:dLbl>
            <c:dLbl>
              <c:idx val="3"/>
              <c:layout>
                <c:manualLayout>
                  <c:x val="4.4244380876533439E-3"/>
                  <c:y val="-0.3661616161616163"/>
                </c:manualLayout>
              </c:layout>
              <c:spPr>
                <a:noFill/>
                <a:ln w="25368">
                  <a:noFill/>
                </a:ln>
              </c:spPr>
              <c:txPr>
                <a:bodyPr/>
                <a:lstStyle/>
                <a:p>
                  <a:pPr>
                    <a:defRPr/>
                  </a:pPr>
                  <a:endParaRPr lang="ru-RU"/>
                </a:p>
              </c:txPr>
              <c:showLegendKey val="0"/>
              <c:showVal val="1"/>
              <c:showCatName val="0"/>
              <c:showSerName val="0"/>
              <c:showPercent val="0"/>
              <c:showBubbleSize val="0"/>
            </c:dLbl>
            <c:spPr>
              <a:noFill/>
              <a:ln w="25368">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3484</c:v>
                </c:pt>
                <c:pt idx="1">
                  <c:v>3818</c:v>
                </c:pt>
                <c:pt idx="2">
                  <c:v>3862</c:v>
                </c:pt>
                <c:pt idx="3">
                  <c:v>4017</c:v>
                </c:pt>
              </c:numCache>
            </c:numRef>
          </c:val>
        </c:ser>
        <c:dLbls>
          <c:showLegendKey val="0"/>
          <c:showVal val="0"/>
          <c:showCatName val="0"/>
          <c:showSerName val="0"/>
          <c:showPercent val="0"/>
          <c:showBubbleSize val="0"/>
        </c:dLbls>
        <c:gapWidth val="150"/>
        <c:shape val="cylinder"/>
        <c:axId val="361787776"/>
        <c:axId val="361789312"/>
        <c:axId val="0"/>
      </c:bar3DChart>
      <c:catAx>
        <c:axId val="361787776"/>
        <c:scaling>
          <c:orientation val="minMax"/>
        </c:scaling>
        <c:delete val="0"/>
        <c:axPos val="b"/>
        <c:numFmt formatCode="General" sourceLinked="1"/>
        <c:majorTickMark val="out"/>
        <c:minorTickMark val="none"/>
        <c:tickLblPos val="nextTo"/>
        <c:crossAx val="361789312"/>
        <c:crosses val="autoZero"/>
        <c:auto val="1"/>
        <c:lblAlgn val="ctr"/>
        <c:lblOffset val="100"/>
        <c:noMultiLvlLbl val="0"/>
      </c:catAx>
      <c:valAx>
        <c:axId val="361789312"/>
        <c:scaling>
          <c:orientation val="minMax"/>
        </c:scaling>
        <c:delete val="0"/>
        <c:axPos val="l"/>
        <c:numFmt formatCode="General" sourceLinked="1"/>
        <c:majorTickMark val="out"/>
        <c:minorTickMark val="none"/>
        <c:tickLblPos val="nextTo"/>
        <c:crossAx val="361787776"/>
        <c:crosses val="autoZero"/>
        <c:crossBetween val="between"/>
      </c:valAx>
      <c:spPr>
        <a:noFill/>
        <a:ln w="25368">
          <a:noFill/>
        </a:ln>
      </c:spPr>
    </c:plotArea>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833">
                  <a:schemeClr val="accent6">
                    <a:lumMod val="40000"/>
                    <a:lumOff val="60000"/>
                  </a:schemeClr>
                </a:gs>
                <a:gs pos="6000">
                  <a:srgbClr val="FFFF00"/>
                </a:gs>
                <a:gs pos="50000">
                  <a:srgbClr val="FFFF00"/>
                </a:gs>
                <a:gs pos="100000">
                  <a:srgbClr val="FFC000"/>
                </a:gs>
              </a:gsLst>
              <a:lin ang="5400000" scaled="0"/>
            </a:gradFill>
          </c:spPr>
          <c:invertIfNegative val="0"/>
          <c:dLbls>
            <c:spPr>
              <a:noFill/>
              <a:ln w="25391">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298</c:v>
                </c:pt>
                <c:pt idx="1">
                  <c:v>317</c:v>
                </c:pt>
                <c:pt idx="2">
                  <c:v>345</c:v>
                </c:pt>
                <c:pt idx="3">
                  <c:v>369</c:v>
                </c:pt>
              </c:numCache>
            </c:numRef>
          </c:val>
        </c:ser>
        <c:dLbls>
          <c:showLegendKey val="0"/>
          <c:showVal val="0"/>
          <c:showCatName val="0"/>
          <c:showSerName val="0"/>
          <c:showPercent val="0"/>
          <c:showBubbleSize val="0"/>
        </c:dLbls>
        <c:gapWidth val="150"/>
        <c:shape val="cylinder"/>
        <c:axId val="361596800"/>
        <c:axId val="361598336"/>
        <c:axId val="0"/>
      </c:bar3DChart>
      <c:catAx>
        <c:axId val="361596800"/>
        <c:scaling>
          <c:orientation val="minMax"/>
        </c:scaling>
        <c:delete val="0"/>
        <c:axPos val="b"/>
        <c:numFmt formatCode="General" sourceLinked="1"/>
        <c:majorTickMark val="out"/>
        <c:minorTickMark val="none"/>
        <c:tickLblPos val="nextTo"/>
        <c:crossAx val="361598336"/>
        <c:crosses val="autoZero"/>
        <c:auto val="1"/>
        <c:lblAlgn val="ctr"/>
        <c:lblOffset val="100"/>
        <c:noMultiLvlLbl val="0"/>
      </c:catAx>
      <c:valAx>
        <c:axId val="361598336"/>
        <c:scaling>
          <c:orientation val="minMax"/>
          <c:min val="200"/>
        </c:scaling>
        <c:delete val="0"/>
        <c:axPos val="l"/>
        <c:majorGridlines/>
        <c:numFmt formatCode="General" sourceLinked="1"/>
        <c:majorTickMark val="out"/>
        <c:minorTickMark val="none"/>
        <c:tickLblPos val="nextTo"/>
        <c:crossAx val="361596800"/>
        <c:crosses val="autoZero"/>
        <c:crossBetween val="between"/>
      </c:valAx>
      <c:spPr>
        <a:noFill/>
        <a:ln w="25391">
          <a:noFill/>
        </a:ln>
      </c:spPr>
    </c:plotArea>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9BBB59">
                    <a:lumMod val="75000"/>
                  </a:srgbClr>
                </a:gs>
                <a:gs pos="69579">
                  <a:srgbClr val="9BBB59">
                    <a:lumMod val="20000"/>
                    <a:lumOff val="80000"/>
                  </a:srgbClr>
                </a:gs>
                <a:gs pos="15428">
                  <a:srgbClr val="9BBB59">
                    <a:lumMod val="20000"/>
                    <a:lumOff val="80000"/>
                  </a:srgbClr>
                </a:gs>
                <a:gs pos="76000">
                  <a:srgbClr val="C0504D">
                    <a:lumMod val="40000"/>
                    <a:lumOff val="60000"/>
                  </a:srgbClr>
                </a:gs>
                <a:gs pos="100000">
                  <a:srgbClr val="EEECE1">
                    <a:lumMod val="50000"/>
                  </a:srgbClr>
                </a:gs>
              </a:gsLst>
              <a:lin ang="5400000" scaled="0"/>
            </a:gradFill>
          </c:spPr>
          <c:invertIfNegative val="0"/>
          <c:dLbls>
            <c:dLbl>
              <c:idx val="0"/>
              <c:layout>
                <c:manualLayout>
                  <c:x val="8.8593576965670072E-3"/>
                  <c:y val="0"/>
                </c:manualLayout>
              </c:layout>
              <c:spPr>
                <a:noFill/>
                <a:ln w="25375">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375">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375">
                  <a:noFill/>
                </a:ln>
              </c:spPr>
              <c:txPr>
                <a:bodyPr/>
                <a:lstStyle/>
                <a:p>
                  <a:pPr>
                    <a:defRPr/>
                  </a:pPr>
                  <a:endParaRPr lang="ru-RU"/>
                </a:p>
              </c:txPr>
              <c:showLegendKey val="0"/>
              <c:showVal val="1"/>
              <c:showCatName val="0"/>
              <c:showSerName val="0"/>
              <c:showPercent val="0"/>
              <c:showBubbleSize val="0"/>
            </c:dLbl>
            <c:spPr>
              <a:noFill/>
              <a:ln w="25375">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1947</c:v>
                </c:pt>
                <c:pt idx="1">
                  <c:v>1701</c:v>
                </c:pt>
                <c:pt idx="2">
                  <c:v>1542</c:v>
                </c:pt>
              </c:numCache>
            </c:numRef>
          </c:val>
        </c:ser>
        <c:dLbls>
          <c:showLegendKey val="0"/>
          <c:showVal val="0"/>
          <c:showCatName val="0"/>
          <c:showSerName val="0"/>
          <c:showPercent val="0"/>
          <c:showBubbleSize val="0"/>
        </c:dLbls>
        <c:gapWidth val="150"/>
        <c:shape val="pyramid"/>
        <c:axId val="361702144"/>
        <c:axId val="361703680"/>
        <c:axId val="0"/>
      </c:bar3DChart>
      <c:catAx>
        <c:axId val="361702144"/>
        <c:scaling>
          <c:orientation val="minMax"/>
        </c:scaling>
        <c:delete val="0"/>
        <c:axPos val="b"/>
        <c:numFmt formatCode="General" sourceLinked="1"/>
        <c:majorTickMark val="out"/>
        <c:minorTickMark val="none"/>
        <c:tickLblPos val="nextTo"/>
        <c:crossAx val="361703680"/>
        <c:crosses val="autoZero"/>
        <c:auto val="1"/>
        <c:lblAlgn val="ctr"/>
        <c:lblOffset val="100"/>
        <c:noMultiLvlLbl val="0"/>
      </c:catAx>
      <c:valAx>
        <c:axId val="361703680"/>
        <c:scaling>
          <c:orientation val="minMax"/>
        </c:scaling>
        <c:delete val="0"/>
        <c:axPos val="l"/>
        <c:majorGridlines/>
        <c:numFmt formatCode="General" sourceLinked="1"/>
        <c:majorTickMark val="out"/>
        <c:minorTickMark val="none"/>
        <c:tickLblPos val="nextTo"/>
        <c:crossAx val="361702144"/>
        <c:crosses val="autoZero"/>
        <c:crossBetween val="between"/>
      </c:valAx>
      <c:spPr>
        <a:noFill/>
        <a:ln w="25375">
          <a:noFill/>
        </a:ln>
      </c:spPr>
    </c:plotArea>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C0504D">
                    <a:lumMod val="40000"/>
                    <a:lumOff val="60000"/>
                  </a:srgbClr>
                </a:gs>
                <a:gs pos="15428">
                  <a:srgbClr val="C0504D">
                    <a:lumMod val="40000"/>
                    <a:lumOff val="60000"/>
                  </a:srgbClr>
                </a:gs>
                <a:gs pos="76000">
                  <a:srgbClr val="C0504D">
                    <a:lumMod val="40000"/>
                    <a:lumOff val="60000"/>
                  </a:srgbClr>
                </a:gs>
                <a:gs pos="100000">
                  <a:srgbClr val="EEECE1">
                    <a:lumMod val="50000"/>
                  </a:srgbClr>
                </a:gs>
              </a:gsLst>
              <a:lin ang="5400000" scaled="0"/>
            </a:gradFill>
          </c:spPr>
          <c:invertIfNegative val="0"/>
          <c:dLbls>
            <c:dLbl>
              <c:idx val="0"/>
              <c:layout>
                <c:manualLayout>
                  <c:x val="8.8593576965670072E-3"/>
                  <c:y val="0"/>
                </c:manualLayout>
              </c:layout>
              <c:spPr>
                <a:noFill/>
                <a:ln w="25375">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375">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375">
                  <a:noFill/>
                </a:ln>
              </c:spPr>
              <c:txPr>
                <a:bodyPr/>
                <a:lstStyle/>
                <a:p>
                  <a:pPr>
                    <a:defRPr/>
                  </a:pPr>
                  <a:endParaRPr lang="ru-RU"/>
                </a:p>
              </c:txPr>
              <c:showLegendKey val="0"/>
              <c:showVal val="1"/>
              <c:showCatName val="0"/>
              <c:showSerName val="0"/>
              <c:showPercent val="0"/>
              <c:showBubbleSize val="0"/>
            </c:dLbl>
            <c:spPr>
              <a:noFill/>
              <a:ln w="25375">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25.4</c:v>
                </c:pt>
                <c:pt idx="1">
                  <c:v>22.4</c:v>
                </c:pt>
                <c:pt idx="2">
                  <c:v>25</c:v>
                </c:pt>
              </c:numCache>
            </c:numRef>
          </c:val>
        </c:ser>
        <c:dLbls>
          <c:showLegendKey val="0"/>
          <c:showVal val="0"/>
          <c:showCatName val="0"/>
          <c:showSerName val="0"/>
          <c:showPercent val="0"/>
          <c:showBubbleSize val="0"/>
        </c:dLbls>
        <c:gapWidth val="150"/>
        <c:shape val="pyramid"/>
        <c:axId val="361643392"/>
        <c:axId val="362046592"/>
        <c:axId val="0"/>
      </c:bar3DChart>
      <c:catAx>
        <c:axId val="361643392"/>
        <c:scaling>
          <c:orientation val="minMax"/>
        </c:scaling>
        <c:delete val="0"/>
        <c:axPos val="b"/>
        <c:numFmt formatCode="General" sourceLinked="1"/>
        <c:majorTickMark val="out"/>
        <c:minorTickMark val="none"/>
        <c:tickLblPos val="nextTo"/>
        <c:crossAx val="362046592"/>
        <c:crosses val="autoZero"/>
        <c:auto val="1"/>
        <c:lblAlgn val="ctr"/>
        <c:lblOffset val="100"/>
        <c:noMultiLvlLbl val="0"/>
      </c:catAx>
      <c:valAx>
        <c:axId val="362046592"/>
        <c:scaling>
          <c:orientation val="minMax"/>
          <c:min val="10"/>
        </c:scaling>
        <c:delete val="0"/>
        <c:axPos val="l"/>
        <c:majorGridlines/>
        <c:numFmt formatCode="General" sourceLinked="1"/>
        <c:majorTickMark val="out"/>
        <c:minorTickMark val="none"/>
        <c:tickLblPos val="nextTo"/>
        <c:crossAx val="361643392"/>
        <c:crosses val="autoZero"/>
        <c:crossBetween val="between"/>
      </c:valAx>
      <c:spPr>
        <a:noFill/>
        <a:ln w="25375">
          <a:noFill/>
        </a:ln>
      </c:spPr>
    </c:plotArea>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Обеспеченность больничными койками, ед. на 10 тыс. населения</c:v>
                </c:pt>
              </c:strCache>
            </c:strRef>
          </c:tx>
          <c:spPr>
            <a:gradFill>
              <a:gsLst>
                <a:gs pos="0">
                  <a:schemeClr val="accent2">
                    <a:lumMod val="60000"/>
                    <a:lumOff val="40000"/>
                  </a:schemeClr>
                </a:gs>
                <a:gs pos="4000">
                  <a:srgbClr val="00B050"/>
                </a:gs>
                <a:gs pos="76000">
                  <a:srgbClr val="8064A2">
                    <a:lumMod val="40000"/>
                    <a:lumOff val="60000"/>
                  </a:srgbClr>
                </a:gs>
                <a:gs pos="72063">
                  <a:schemeClr val="bg2">
                    <a:lumMod val="75000"/>
                  </a:schemeClr>
                </a:gs>
                <a:gs pos="100000">
                  <a:schemeClr val="bg2">
                    <a:lumMod val="50000"/>
                  </a:schemeClr>
                </a:gs>
              </a:gsLst>
              <a:lin ang="5400000" scaled="0"/>
            </a:gradFill>
          </c:spPr>
          <c:invertIfNegative val="0"/>
          <c:dLbls>
            <c:spPr>
              <a:noFill/>
              <a:ln w="25398">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844</c:v>
                </c:pt>
                <c:pt idx="1">
                  <c:v>707</c:v>
                </c:pt>
                <c:pt idx="2">
                  <c:v>578</c:v>
                </c:pt>
              </c:numCache>
            </c:numRef>
          </c:val>
        </c:ser>
        <c:dLbls>
          <c:showLegendKey val="0"/>
          <c:showVal val="0"/>
          <c:showCatName val="0"/>
          <c:showSerName val="0"/>
          <c:showPercent val="0"/>
          <c:showBubbleSize val="0"/>
        </c:dLbls>
        <c:gapWidth val="150"/>
        <c:shape val="cylinder"/>
        <c:axId val="362206336"/>
        <c:axId val="362207872"/>
        <c:axId val="0"/>
      </c:bar3DChart>
      <c:catAx>
        <c:axId val="362206336"/>
        <c:scaling>
          <c:orientation val="minMax"/>
        </c:scaling>
        <c:delete val="0"/>
        <c:axPos val="b"/>
        <c:numFmt formatCode="General" sourceLinked="1"/>
        <c:majorTickMark val="out"/>
        <c:minorTickMark val="none"/>
        <c:tickLblPos val="nextTo"/>
        <c:crossAx val="362207872"/>
        <c:crosses val="autoZero"/>
        <c:auto val="1"/>
        <c:lblAlgn val="ctr"/>
        <c:lblOffset val="100"/>
        <c:noMultiLvlLbl val="0"/>
      </c:catAx>
      <c:valAx>
        <c:axId val="362207872"/>
        <c:scaling>
          <c:orientation val="minMax"/>
        </c:scaling>
        <c:delete val="0"/>
        <c:axPos val="l"/>
        <c:majorGridlines/>
        <c:numFmt formatCode="General" sourceLinked="1"/>
        <c:majorTickMark val="out"/>
        <c:minorTickMark val="none"/>
        <c:tickLblPos val="nextTo"/>
        <c:crossAx val="362206336"/>
        <c:crosses val="autoZero"/>
        <c:crossBetween val="between"/>
      </c:valAx>
      <c:spPr>
        <a:noFill/>
        <a:ln w="25398">
          <a:noFill/>
        </a:ln>
      </c:spPr>
    </c:plotArea>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gradFill>
              <a:gsLst>
                <a:gs pos="0">
                  <a:schemeClr val="bg2">
                    <a:lumMod val="50000"/>
                  </a:schemeClr>
                </a:gs>
                <a:gs pos="4000">
                  <a:schemeClr val="bg1">
                    <a:lumMod val="75000"/>
                  </a:schemeClr>
                </a:gs>
                <a:gs pos="72063">
                  <a:schemeClr val="bg2">
                    <a:lumMod val="75000"/>
                  </a:schemeClr>
                </a:gs>
                <a:gs pos="100000">
                  <a:schemeClr val="bg1">
                    <a:lumMod val="65000"/>
                  </a:schemeClr>
                </a:gs>
              </a:gsLst>
              <a:lin ang="5400000" scaled="0"/>
            </a:gradFill>
          </c:spPr>
          <c:invertIfNegative val="0"/>
          <c:dLbls>
            <c:spPr>
              <a:noFill/>
              <a:ln w="25383">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57</c:v>
                </c:pt>
                <c:pt idx="1">
                  <c:v>41</c:v>
                </c:pt>
                <c:pt idx="2">
                  <c:v>28</c:v>
                </c:pt>
              </c:numCache>
            </c:numRef>
          </c:val>
        </c:ser>
        <c:dLbls>
          <c:showLegendKey val="0"/>
          <c:showVal val="0"/>
          <c:showCatName val="0"/>
          <c:showSerName val="0"/>
          <c:showPercent val="0"/>
          <c:showBubbleSize val="0"/>
        </c:dLbls>
        <c:gapWidth val="150"/>
        <c:shape val="cylinder"/>
        <c:axId val="361888384"/>
        <c:axId val="362172800"/>
        <c:axId val="0"/>
      </c:bar3DChart>
      <c:catAx>
        <c:axId val="361888384"/>
        <c:scaling>
          <c:orientation val="minMax"/>
        </c:scaling>
        <c:delete val="0"/>
        <c:axPos val="b"/>
        <c:numFmt formatCode="General" sourceLinked="1"/>
        <c:majorTickMark val="out"/>
        <c:minorTickMark val="none"/>
        <c:tickLblPos val="nextTo"/>
        <c:crossAx val="362172800"/>
        <c:crosses val="autoZero"/>
        <c:auto val="1"/>
        <c:lblAlgn val="ctr"/>
        <c:lblOffset val="100"/>
        <c:noMultiLvlLbl val="0"/>
      </c:catAx>
      <c:valAx>
        <c:axId val="362172800"/>
        <c:scaling>
          <c:orientation val="minMax"/>
        </c:scaling>
        <c:delete val="0"/>
        <c:axPos val="l"/>
        <c:majorGridlines/>
        <c:numFmt formatCode="General" sourceLinked="1"/>
        <c:majorTickMark val="out"/>
        <c:minorTickMark val="none"/>
        <c:tickLblPos val="nextTo"/>
        <c:crossAx val="361888384"/>
        <c:crosses val="autoZero"/>
        <c:crossBetween val="between"/>
      </c:valAx>
      <c:spPr>
        <a:noFill/>
        <a:ln w="25383">
          <a:noFill/>
        </a:ln>
      </c:spPr>
    </c:plotArea>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gradFill>
              <a:gsLst>
                <a:gs pos="0">
                  <a:schemeClr val="accent2">
                    <a:lumMod val="40000"/>
                    <a:lumOff val="60000"/>
                  </a:schemeClr>
                </a:gs>
                <a:gs pos="76000">
                  <a:schemeClr val="accent2">
                    <a:lumMod val="75000"/>
                  </a:schemeClr>
                </a:gs>
                <a:gs pos="100000">
                  <a:schemeClr val="accent6">
                    <a:lumMod val="50000"/>
                  </a:schemeClr>
                </a:gs>
                <a:gs pos="100000">
                  <a:schemeClr val="accent1">
                    <a:lumMod val="75000"/>
                  </a:schemeClr>
                </a:gs>
              </a:gsLst>
              <a:lin ang="5400000" scaled="0"/>
            </a:gradFill>
          </c:spPr>
          <c:invertIfNegative val="0"/>
          <c:dLbls>
            <c:spPr>
              <a:noFill/>
              <a:ln w="25438">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156</c:v>
                </c:pt>
                <c:pt idx="1">
                  <c:v>130</c:v>
                </c:pt>
                <c:pt idx="2">
                  <c:v>158</c:v>
                </c:pt>
              </c:numCache>
            </c:numRef>
          </c:val>
        </c:ser>
        <c:dLbls>
          <c:showLegendKey val="0"/>
          <c:showVal val="0"/>
          <c:showCatName val="0"/>
          <c:showSerName val="0"/>
          <c:showPercent val="0"/>
          <c:showBubbleSize val="0"/>
        </c:dLbls>
        <c:gapWidth val="150"/>
        <c:shape val="cylinder"/>
        <c:axId val="361935232"/>
        <c:axId val="361936768"/>
        <c:axId val="0"/>
      </c:bar3DChart>
      <c:catAx>
        <c:axId val="361935232"/>
        <c:scaling>
          <c:orientation val="minMax"/>
        </c:scaling>
        <c:delete val="0"/>
        <c:axPos val="b"/>
        <c:numFmt formatCode="General" sourceLinked="1"/>
        <c:majorTickMark val="out"/>
        <c:minorTickMark val="none"/>
        <c:tickLblPos val="nextTo"/>
        <c:crossAx val="361936768"/>
        <c:crosses val="autoZero"/>
        <c:auto val="1"/>
        <c:lblAlgn val="ctr"/>
        <c:lblOffset val="100"/>
        <c:noMultiLvlLbl val="0"/>
      </c:catAx>
      <c:valAx>
        <c:axId val="361936768"/>
        <c:scaling>
          <c:orientation val="minMax"/>
        </c:scaling>
        <c:delete val="0"/>
        <c:axPos val="l"/>
        <c:majorGridlines/>
        <c:numFmt formatCode="General" sourceLinked="1"/>
        <c:majorTickMark val="out"/>
        <c:minorTickMark val="none"/>
        <c:tickLblPos val="nextTo"/>
        <c:crossAx val="361935232"/>
        <c:crosses val="autoZero"/>
        <c:crossBetween val="between"/>
      </c:valAx>
      <c:spPr>
        <a:noFill/>
        <a:ln w="25438">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0">
                  <a:schemeClr val="tx2">
                    <a:lumMod val="40000"/>
                    <a:lumOff val="60000"/>
                  </a:schemeClr>
                </a:gs>
                <a:gs pos="76000">
                  <a:schemeClr val="accent1">
                    <a:lumMod val="20000"/>
                    <a:lumOff val="80000"/>
                  </a:schemeClr>
                </a:gs>
                <a:gs pos="100000">
                  <a:srgbClr val="002060"/>
                </a:gs>
              </a:gsLst>
              <a:lin ang="5400000" scaled="0"/>
            </a:gradFill>
          </c:spPr>
          <c:invertIfNegative val="0"/>
          <c:dLbls>
            <c:spPr>
              <a:noFill/>
              <a:ln w="25398">
                <a:noFill/>
              </a:ln>
            </c:spPr>
            <c:showLegendKey val="0"/>
            <c:showVal val="1"/>
            <c:showCatName val="0"/>
            <c:showSerName val="0"/>
            <c:showPercent val="0"/>
            <c:showBubbleSize val="0"/>
            <c:showLeaderLines val="0"/>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317</c:v>
                </c:pt>
                <c:pt idx="1">
                  <c:v>230</c:v>
                </c:pt>
                <c:pt idx="2">
                  <c:v>92</c:v>
                </c:pt>
                <c:pt idx="3">
                  <c:v>70</c:v>
                </c:pt>
              </c:numCache>
            </c:numRef>
          </c:val>
        </c:ser>
        <c:dLbls>
          <c:showLegendKey val="0"/>
          <c:showVal val="0"/>
          <c:showCatName val="0"/>
          <c:showSerName val="0"/>
          <c:showPercent val="0"/>
          <c:showBubbleSize val="0"/>
        </c:dLbls>
        <c:gapWidth val="150"/>
        <c:shape val="cylinder"/>
        <c:axId val="253947904"/>
        <c:axId val="253949440"/>
        <c:axId val="0"/>
      </c:bar3DChart>
      <c:catAx>
        <c:axId val="253947904"/>
        <c:scaling>
          <c:orientation val="minMax"/>
        </c:scaling>
        <c:delete val="0"/>
        <c:axPos val="b"/>
        <c:numFmt formatCode="General" sourceLinked="1"/>
        <c:majorTickMark val="out"/>
        <c:minorTickMark val="none"/>
        <c:tickLblPos val="nextTo"/>
        <c:crossAx val="253949440"/>
        <c:crosses val="autoZero"/>
        <c:auto val="1"/>
        <c:lblAlgn val="ctr"/>
        <c:lblOffset val="100"/>
        <c:noMultiLvlLbl val="0"/>
      </c:catAx>
      <c:valAx>
        <c:axId val="253949440"/>
        <c:scaling>
          <c:orientation val="minMax"/>
        </c:scaling>
        <c:delete val="0"/>
        <c:axPos val="l"/>
        <c:majorGridlines/>
        <c:numFmt formatCode="General" sourceLinked="1"/>
        <c:majorTickMark val="out"/>
        <c:minorTickMark val="none"/>
        <c:tickLblPos val="nextTo"/>
        <c:crossAx val="253947904"/>
        <c:crosses val="autoZero"/>
        <c:crossBetween val="between"/>
      </c:valAx>
      <c:spPr>
        <a:noFill/>
        <a:ln w="25398">
          <a:noFill/>
        </a:ln>
      </c:spPr>
    </c:plotArea>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gradFill>
              <a:gsLst>
                <a:gs pos="0">
                  <a:schemeClr val="accent6">
                    <a:lumMod val="75000"/>
                  </a:schemeClr>
                </a:gs>
                <a:gs pos="76000">
                  <a:schemeClr val="accent6">
                    <a:lumMod val="40000"/>
                    <a:lumOff val="60000"/>
                  </a:schemeClr>
                </a:gs>
                <a:gs pos="100000">
                  <a:schemeClr val="accent6">
                    <a:lumMod val="75000"/>
                  </a:schemeClr>
                </a:gs>
              </a:gsLst>
              <a:lin ang="5400000" scaled="0"/>
            </a:gradFill>
          </c:spPr>
          <c:invertIfNegative val="0"/>
          <c:dLbls>
            <c:spPr>
              <a:noFill/>
              <a:ln w="25438">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173</c:v>
                </c:pt>
                <c:pt idx="1">
                  <c:v>188</c:v>
                </c:pt>
                <c:pt idx="2">
                  <c:v>170</c:v>
                </c:pt>
              </c:numCache>
            </c:numRef>
          </c:val>
        </c:ser>
        <c:dLbls>
          <c:showLegendKey val="0"/>
          <c:showVal val="0"/>
          <c:showCatName val="0"/>
          <c:showSerName val="0"/>
          <c:showPercent val="0"/>
          <c:showBubbleSize val="0"/>
        </c:dLbls>
        <c:gapWidth val="150"/>
        <c:shape val="cylinder"/>
        <c:axId val="361928576"/>
        <c:axId val="361930112"/>
        <c:axId val="0"/>
      </c:bar3DChart>
      <c:catAx>
        <c:axId val="361928576"/>
        <c:scaling>
          <c:orientation val="minMax"/>
        </c:scaling>
        <c:delete val="0"/>
        <c:axPos val="b"/>
        <c:numFmt formatCode="General" sourceLinked="1"/>
        <c:majorTickMark val="out"/>
        <c:minorTickMark val="none"/>
        <c:tickLblPos val="nextTo"/>
        <c:crossAx val="361930112"/>
        <c:crosses val="autoZero"/>
        <c:auto val="1"/>
        <c:lblAlgn val="ctr"/>
        <c:lblOffset val="100"/>
        <c:noMultiLvlLbl val="0"/>
      </c:catAx>
      <c:valAx>
        <c:axId val="361930112"/>
        <c:scaling>
          <c:orientation val="minMax"/>
        </c:scaling>
        <c:delete val="0"/>
        <c:axPos val="l"/>
        <c:majorGridlines/>
        <c:numFmt formatCode="General" sourceLinked="1"/>
        <c:majorTickMark val="out"/>
        <c:minorTickMark val="none"/>
        <c:tickLblPos val="nextTo"/>
        <c:crossAx val="361928576"/>
        <c:crosses val="autoZero"/>
        <c:crossBetween val="between"/>
      </c:valAx>
      <c:spPr>
        <a:noFill/>
        <a:ln w="25438">
          <a:noFill/>
        </a:ln>
      </c:spPr>
    </c:plotArea>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gradFill>
              <a:gsLst>
                <a:gs pos="0">
                  <a:schemeClr val="tx1">
                    <a:lumMod val="85000"/>
                    <a:lumOff val="15000"/>
                  </a:schemeClr>
                </a:gs>
                <a:gs pos="42484">
                  <a:schemeClr val="bg1">
                    <a:lumMod val="95000"/>
                  </a:schemeClr>
                </a:gs>
                <a:gs pos="76000">
                  <a:schemeClr val="tx1">
                    <a:lumMod val="50000"/>
                    <a:lumOff val="50000"/>
                  </a:schemeClr>
                </a:gs>
                <a:gs pos="100000">
                  <a:schemeClr val="tx1">
                    <a:lumMod val="65000"/>
                    <a:lumOff val="35000"/>
                  </a:schemeClr>
                </a:gs>
              </a:gsLst>
              <a:lin ang="5400000" scaled="0"/>
            </a:gradFill>
          </c:spPr>
          <c:invertIfNegative val="0"/>
          <c:dLbls>
            <c:spPr>
              <a:noFill/>
              <a:ln w="25438">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41</c:v>
                </c:pt>
                <c:pt idx="1">
                  <c:v>85</c:v>
                </c:pt>
                <c:pt idx="2">
                  <c:v>71</c:v>
                </c:pt>
              </c:numCache>
            </c:numRef>
          </c:val>
        </c:ser>
        <c:dLbls>
          <c:showLegendKey val="0"/>
          <c:showVal val="0"/>
          <c:showCatName val="0"/>
          <c:showSerName val="0"/>
          <c:showPercent val="0"/>
          <c:showBubbleSize val="0"/>
        </c:dLbls>
        <c:gapWidth val="150"/>
        <c:shape val="cylinder"/>
        <c:axId val="362016128"/>
        <c:axId val="362312832"/>
        <c:axId val="0"/>
      </c:bar3DChart>
      <c:catAx>
        <c:axId val="362016128"/>
        <c:scaling>
          <c:orientation val="minMax"/>
        </c:scaling>
        <c:delete val="0"/>
        <c:axPos val="b"/>
        <c:numFmt formatCode="General" sourceLinked="1"/>
        <c:majorTickMark val="out"/>
        <c:minorTickMark val="none"/>
        <c:tickLblPos val="nextTo"/>
        <c:crossAx val="362312832"/>
        <c:crosses val="autoZero"/>
        <c:auto val="1"/>
        <c:lblAlgn val="ctr"/>
        <c:lblOffset val="100"/>
        <c:noMultiLvlLbl val="0"/>
      </c:catAx>
      <c:valAx>
        <c:axId val="362312832"/>
        <c:scaling>
          <c:orientation val="minMax"/>
        </c:scaling>
        <c:delete val="0"/>
        <c:axPos val="l"/>
        <c:majorGridlines/>
        <c:numFmt formatCode="General" sourceLinked="1"/>
        <c:majorTickMark val="out"/>
        <c:minorTickMark val="none"/>
        <c:tickLblPos val="nextTo"/>
        <c:crossAx val="362016128"/>
        <c:crosses val="autoZero"/>
        <c:crossBetween val="between"/>
      </c:valAx>
      <c:spPr>
        <a:noFill/>
        <a:ln w="25438">
          <a:noFill/>
        </a:ln>
      </c:spPr>
    </c:plotArea>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strRef>
              <c:f>Лист1!$B$1</c:f>
              <c:strCache>
                <c:ptCount val="1"/>
                <c:pt idx="0">
                  <c:v>Столбец1</c:v>
                </c:pt>
              </c:strCache>
            </c:strRef>
          </c:tx>
          <c:spPr>
            <a:gradFill>
              <a:gsLst>
                <a:gs pos="0">
                  <a:schemeClr val="accent4">
                    <a:lumMod val="40000"/>
                    <a:lumOff val="60000"/>
                  </a:schemeClr>
                </a:gs>
                <a:gs pos="6000">
                  <a:schemeClr val="accent4">
                    <a:lumMod val="75000"/>
                  </a:schemeClr>
                </a:gs>
                <a:gs pos="37000">
                  <a:schemeClr val="accent4">
                    <a:lumMod val="40000"/>
                    <a:lumOff val="60000"/>
                  </a:schemeClr>
                </a:gs>
                <a:gs pos="100000">
                  <a:schemeClr val="accent4"/>
                </a:gs>
              </a:gsLst>
              <a:lin ang="5400000" scaled="0"/>
            </a:gradFill>
          </c:spPr>
          <c:dLbls>
            <c:dLbl>
              <c:idx val="0"/>
              <c:layout>
                <c:manualLayout>
                  <c:x val="0"/>
                  <c:y val="-0.2377622377622379"/>
                </c:manualLayout>
              </c:layout>
              <c:spPr>
                <a:noFill/>
                <a:ln w="25398">
                  <a:noFill/>
                </a:ln>
              </c:spPr>
              <c:txPr>
                <a:bodyPr/>
                <a:lstStyle/>
                <a:p>
                  <a:pPr>
                    <a:defRPr/>
                  </a:pPr>
                  <a:endParaRPr lang="ru-RU"/>
                </a:p>
              </c:txPr>
              <c:showLegendKey val="0"/>
              <c:showVal val="1"/>
              <c:showCatName val="0"/>
              <c:showSerName val="0"/>
              <c:showPercent val="0"/>
              <c:showBubbleSize val="0"/>
            </c:dLbl>
            <c:dLbl>
              <c:idx val="1"/>
              <c:layout>
                <c:manualLayout>
                  <c:x val="0"/>
                  <c:y val="-0.2657342657342659"/>
                </c:manualLayout>
              </c:layout>
              <c:spPr>
                <a:noFill/>
                <a:ln w="25398">
                  <a:noFill/>
                </a:ln>
              </c:spPr>
              <c:txPr>
                <a:bodyPr/>
                <a:lstStyle/>
                <a:p>
                  <a:pPr>
                    <a:defRPr/>
                  </a:pPr>
                  <a:endParaRPr lang="ru-RU"/>
                </a:p>
              </c:txPr>
              <c:showLegendKey val="0"/>
              <c:showVal val="1"/>
              <c:showCatName val="0"/>
              <c:showSerName val="0"/>
              <c:showPercent val="0"/>
              <c:showBubbleSize val="0"/>
            </c:dLbl>
            <c:dLbl>
              <c:idx val="2"/>
              <c:layout>
                <c:manualLayout>
                  <c:x val="-4.7619047619047714E-2"/>
                  <c:y val="-0.2657342657342659"/>
                </c:manualLayout>
              </c:layout>
              <c:spPr>
                <a:noFill/>
                <a:ln w="25398">
                  <a:noFill/>
                </a:ln>
              </c:spPr>
              <c:txPr>
                <a:bodyPr/>
                <a:lstStyle/>
                <a:p>
                  <a:pPr>
                    <a:defRPr/>
                  </a:pPr>
                  <a:endParaRPr lang="ru-RU"/>
                </a:p>
              </c:txPr>
              <c:showLegendKey val="0"/>
              <c:showVal val="1"/>
              <c:showCatName val="0"/>
              <c:showSerName val="0"/>
              <c:showPercent val="0"/>
              <c:showBubbleSize val="0"/>
            </c:dLbl>
            <c:spPr>
              <a:noFill/>
              <a:ln w="25398">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0.0%</c:formatCode>
                <c:ptCount val="3"/>
                <c:pt idx="0">
                  <c:v>0.38800000000000001</c:v>
                </c:pt>
                <c:pt idx="1">
                  <c:v>0.52800000000000002</c:v>
                </c:pt>
                <c:pt idx="2">
                  <c:v>0.624</c:v>
                </c:pt>
              </c:numCache>
            </c:numRef>
          </c:val>
        </c:ser>
        <c:dLbls>
          <c:showLegendKey val="0"/>
          <c:showVal val="0"/>
          <c:showCatName val="0"/>
          <c:showSerName val="0"/>
          <c:showPercent val="0"/>
          <c:showBubbleSize val="0"/>
        </c:dLbls>
        <c:axId val="361994112"/>
        <c:axId val="361995648"/>
      </c:areaChart>
      <c:catAx>
        <c:axId val="361994112"/>
        <c:scaling>
          <c:orientation val="minMax"/>
        </c:scaling>
        <c:delete val="0"/>
        <c:axPos val="b"/>
        <c:numFmt formatCode="General" sourceLinked="1"/>
        <c:majorTickMark val="out"/>
        <c:minorTickMark val="none"/>
        <c:tickLblPos val="nextTo"/>
        <c:crossAx val="361995648"/>
        <c:crosses val="autoZero"/>
        <c:auto val="1"/>
        <c:lblAlgn val="ctr"/>
        <c:lblOffset val="100"/>
        <c:noMultiLvlLbl val="0"/>
      </c:catAx>
      <c:valAx>
        <c:axId val="361995648"/>
        <c:scaling>
          <c:orientation val="minMax"/>
        </c:scaling>
        <c:delete val="1"/>
        <c:axPos val="l"/>
        <c:majorGridlines/>
        <c:numFmt formatCode="0.0%" sourceLinked="1"/>
        <c:majorTickMark val="out"/>
        <c:minorTickMark val="none"/>
        <c:tickLblPos val="nextTo"/>
        <c:crossAx val="361994112"/>
        <c:crosses val="autoZero"/>
        <c:crossBetween val="midCat"/>
      </c:valAx>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0">
                  <a:schemeClr val="accent2">
                    <a:lumMod val="40000"/>
                    <a:lumOff val="60000"/>
                  </a:schemeClr>
                </a:gs>
                <a:gs pos="76000">
                  <a:schemeClr val="accent2">
                    <a:lumMod val="20000"/>
                    <a:lumOff val="80000"/>
                  </a:schemeClr>
                </a:gs>
                <a:gs pos="100000">
                  <a:schemeClr val="accent2">
                    <a:lumMod val="75000"/>
                  </a:schemeClr>
                </a:gs>
              </a:gsLst>
              <a:lin ang="5400000" scaled="0"/>
            </a:gradFill>
          </c:spPr>
          <c:invertIfNegative val="0"/>
          <c:dLbls>
            <c:spPr>
              <a:noFill/>
              <a:ln w="25398">
                <a:noFill/>
              </a:ln>
            </c:spPr>
            <c:showLegendKey val="0"/>
            <c:showVal val="1"/>
            <c:showCatName val="0"/>
            <c:showSerName val="0"/>
            <c:showPercent val="0"/>
            <c:showBubbleSize val="0"/>
            <c:showLeaderLines val="0"/>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0.65</c:v>
                </c:pt>
                <c:pt idx="1">
                  <c:v>0.43</c:v>
                </c:pt>
                <c:pt idx="2">
                  <c:v>0.17</c:v>
                </c:pt>
                <c:pt idx="3">
                  <c:v>0.13</c:v>
                </c:pt>
              </c:numCache>
            </c:numRef>
          </c:val>
        </c:ser>
        <c:dLbls>
          <c:showLegendKey val="0"/>
          <c:showVal val="0"/>
          <c:showCatName val="0"/>
          <c:showSerName val="0"/>
          <c:showPercent val="0"/>
          <c:showBubbleSize val="0"/>
        </c:dLbls>
        <c:gapWidth val="150"/>
        <c:shape val="cylinder"/>
        <c:axId val="253761024"/>
        <c:axId val="253762560"/>
        <c:axId val="0"/>
      </c:bar3DChart>
      <c:catAx>
        <c:axId val="253761024"/>
        <c:scaling>
          <c:orientation val="minMax"/>
        </c:scaling>
        <c:delete val="0"/>
        <c:axPos val="b"/>
        <c:numFmt formatCode="General" sourceLinked="1"/>
        <c:majorTickMark val="out"/>
        <c:minorTickMark val="none"/>
        <c:tickLblPos val="nextTo"/>
        <c:crossAx val="253762560"/>
        <c:crosses val="autoZero"/>
        <c:auto val="1"/>
        <c:lblAlgn val="ctr"/>
        <c:lblOffset val="100"/>
        <c:noMultiLvlLbl val="0"/>
      </c:catAx>
      <c:valAx>
        <c:axId val="253762560"/>
        <c:scaling>
          <c:orientation val="minMax"/>
        </c:scaling>
        <c:delete val="0"/>
        <c:axPos val="l"/>
        <c:majorGridlines/>
        <c:numFmt formatCode="General" sourceLinked="1"/>
        <c:majorTickMark val="out"/>
        <c:minorTickMark val="none"/>
        <c:tickLblPos val="nextTo"/>
        <c:crossAx val="253761024"/>
        <c:crosses val="autoZero"/>
        <c:crossBetween val="between"/>
      </c:valAx>
      <c:spPr>
        <a:noFill/>
        <a:ln w="25398">
          <a:noFill/>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0">
                  <a:schemeClr val="accent4">
                    <a:lumMod val="20000"/>
                    <a:lumOff val="80000"/>
                  </a:schemeClr>
                </a:gs>
                <a:gs pos="36000">
                  <a:schemeClr val="accent6">
                    <a:lumMod val="75000"/>
                  </a:schemeClr>
                </a:gs>
                <a:gs pos="61000">
                  <a:srgbClr val="FFFF00"/>
                </a:gs>
                <a:gs pos="82001">
                  <a:schemeClr val="accent6">
                    <a:lumMod val="75000"/>
                  </a:schemeClr>
                </a:gs>
                <a:gs pos="100000">
                  <a:schemeClr val="accent6">
                    <a:lumMod val="75000"/>
                  </a:schemeClr>
                </a:gs>
              </a:gsLst>
              <a:lin ang="5400000" scaled="0"/>
            </a:gradFill>
          </c:spPr>
          <c:invertIfNegative val="0"/>
          <c:dLbls>
            <c:spPr>
              <a:noFill/>
              <a:ln w="25411">
                <a:noFill/>
              </a:ln>
            </c:spPr>
            <c:showLegendKey val="0"/>
            <c:showVal val="1"/>
            <c:showCatName val="0"/>
            <c:showSerName val="0"/>
            <c:showPercent val="0"/>
            <c:showBubbleSize val="0"/>
            <c:showLeaderLines val="0"/>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43062</c:v>
                </c:pt>
                <c:pt idx="1">
                  <c:v>50952.3</c:v>
                </c:pt>
                <c:pt idx="2">
                  <c:v>57148.5</c:v>
                </c:pt>
                <c:pt idx="3">
                  <c:v>62643.5</c:v>
                </c:pt>
              </c:numCache>
            </c:numRef>
          </c:val>
        </c:ser>
        <c:dLbls>
          <c:showLegendKey val="0"/>
          <c:showVal val="0"/>
          <c:showCatName val="0"/>
          <c:showSerName val="0"/>
          <c:showPercent val="0"/>
          <c:showBubbleSize val="0"/>
        </c:dLbls>
        <c:gapWidth val="150"/>
        <c:shape val="cylinder"/>
        <c:axId val="253799424"/>
        <c:axId val="253805312"/>
        <c:axId val="0"/>
      </c:bar3DChart>
      <c:catAx>
        <c:axId val="253799424"/>
        <c:scaling>
          <c:orientation val="minMax"/>
        </c:scaling>
        <c:delete val="0"/>
        <c:axPos val="b"/>
        <c:numFmt formatCode="General" sourceLinked="1"/>
        <c:majorTickMark val="out"/>
        <c:minorTickMark val="none"/>
        <c:tickLblPos val="nextTo"/>
        <c:crossAx val="253805312"/>
        <c:crosses val="autoZero"/>
        <c:auto val="1"/>
        <c:lblAlgn val="ctr"/>
        <c:lblOffset val="100"/>
        <c:noMultiLvlLbl val="0"/>
      </c:catAx>
      <c:valAx>
        <c:axId val="253805312"/>
        <c:scaling>
          <c:orientation val="minMax"/>
          <c:min val="20000"/>
        </c:scaling>
        <c:delete val="0"/>
        <c:axPos val="l"/>
        <c:majorGridlines/>
        <c:numFmt formatCode="General" sourceLinked="1"/>
        <c:majorTickMark val="out"/>
        <c:minorTickMark val="none"/>
        <c:tickLblPos val="nextTo"/>
        <c:crossAx val="253799424"/>
        <c:crosses val="autoZero"/>
        <c:crossBetween val="between"/>
      </c:valAx>
      <c:spPr>
        <a:noFill/>
        <a:ln w="25411">
          <a:noFill/>
        </a:ln>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spPr>
            <a:gradFill>
              <a:gsLst>
                <a:gs pos="0">
                  <a:srgbClr val="8064A2"/>
                </a:gs>
                <a:gs pos="15428">
                  <a:srgbClr val="1F497D">
                    <a:lumMod val="20000"/>
                    <a:lumOff val="80000"/>
                  </a:srgbClr>
                </a:gs>
                <a:gs pos="76000">
                  <a:srgbClr val="1F497D">
                    <a:lumMod val="20000"/>
                    <a:lumOff val="80000"/>
                  </a:srgbClr>
                </a:gs>
                <a:gs pos="100000">
                  <a:srgbClr val="4F81BD">
                    <a:lumMod val="75000"/>
                  </a:srgbClr>
                </a:gs>
              </a:gsLst>
              <a:lin ang="5400000" scaled="0"/>
            </a:gradFill>
          </c:spPr>
          <c:invertIfNegative val="0"/>
          <c:dLbls>
            <c:dLbl>
              <c:idx val="0"/>
              <c:layout>
                <c:manualLayout>
                  <c:x val="8.8593576965670072E-3"/>
                  <c:y val="0"/>
                </c:manualLayout>
              </c:layout>
              <c:spPr>
                <a:noFill/>
                <a:ln w="25356">
                  <a:noFill/>
                </a:ln>
              </c:spPr>
              <c:txPr>
                <a:bodyPr/>
                <a:lstStyle/>
                <a:p>
                  <a:pPr>
                    <a:defRPr/>
                  </a:pPr>
                  <a:endParaRPr lang="ru-RU"/>
                </a:p>
              </c:txPr>
              <c:showLegendKey val="0"/>
              <c:showVal val="1"/>
              <c:showCatName val="0"/>
              <c:showSerName val="0"/>
              <c:showPercent val="0"/>
              <c:showBubbleSize val="0"/>
            </c:dLbl>
            <c:dLbl>
              <c:idx val="1"/>
              <c:layout>
                <c:manualLayout>
                  <c:x val="3.9867109634551492E-2"/>
                  <c:y val="-1.1544011544011549E-2"/>
                </c:manualLayout>
              </c:layout>
              <c:spPr>
                <a:noFill/>
                <a:ln w="25356">
                  <a:noFill/>
                </a:ln>
              </c:spPr>
              <c:txPr>
                <a:bodyPr/>
                <a:lstStyle/>
                <a:p>
                  <a:pPr>
                    <a:defRPr/>
                  </a:pPr>
                  <a:endParaRPr lang="ru-RU"/>
                </a:p>
              </c:txPr>
              <c:showLegendKey val="0"/>
              <c:showVal val="1"/>
              <c:showCatName val="0"/>
              <c:showSerName val="0"/>
              <c:showPercent val="0"/>
              <c:showBubbleSize val="0"/>
            </c:dLbl>
            <c:dLbl>
              <c:idx val="2"/>
              <c:layout>
                <c:manualLayout>
                  <c:x val="2.6578073089701008E-2"/>
                  <c:y val="5.772005772005772E-3"/>
                </c:manualLayout>
              </c:layout>
              <c:spPr>
                <a:noFill/>
                <a:ln w="25356">
                  <a:noFill/>
                </a:ln>
              </c:spPr>
              <c:txPr>
                <a:bodyPr/>
                <a:lstStyle/>
                <a:p>
                  <a:pPr>
                    <a:defRPr/>
                  </a:pPr>
                  <a:endParaRPr lang="ru-RU"/>
                </a:p>
              </c:txPr>
              <c:showLegendKey val="0"/>
              <c:showVal val="1"/>
              <c:showCatName val="0"/>
              <c:showSerName val="0"/>
              <c:showPercent val="0"/>
              <c:showBubbleSize val="0"/>
            </c:dLbl>
            <c:spPr>
              <a:noFill/>
              <a:ln w="25356">
                <a:noFill/>
              </a:ln>
            </c:spPr>
            <c:showLegendKey val="0"/>
            <c:showVal val="1"/>
            <c:showCatName val="0"/>
            <c:showSerName val="0"/>
            <c:showPercent val="0"/>
            <c:showBubbleSize val="0"/>
            <c:showLeaderLines val="0"/>
          </c:dLbls>
          <c:cat>
            <c:strRef>
              <c:f>Лист1!$A$2:$A$5</c:f>
              <c:strCache>
                <c:ptCount val="4"/>
                <c:pt idx="0">
                  <c:v>2011/2012</c:v>
                </c:pt>
                <c:pt idx="1">
                  <c:v>2012/2013</c:v>
                </c:pt>
                <c:pt idx="2">
                  <c:v>2013/2014</c:v>
                </c:pt>
                <c:pt idx="3">
                  <c:v>2014/2015</c:v>
                </c:pt>
              </c:strCache>
            </c:strRef>
          </c:cat>
          <c:val>
            <c:numRef>
              <c:f>Лист1!$B$2:$B$5</c:f>
              <c:numCache>
                <c:formatCode>General</c:formatCode>
                <c:ptCount val="4"/>
                <c:pt idx="0">
                  <c:v>3329</c:v>
                </c:pt>
                <c:pt idx="1">
                  <c:v>4017</c:v>
                </c:pt>
                <c:pt idx="2">
                  <c:v>4255</c:v>
                </c:pt>
                <c:pt idx="3">
                  <c:v>5115</c:v>
                </c:pt>
              </c:numCache>
            </c:numRef>
          </c:val>
        </c:ser>
        <c:dLbls>
          <c:showLegendKey val="0"/>
          <c:showVal val="0"/>
          <c:showCatName val="0"/>
          <c:showSerName val="0"/>
          <c:showPercent val="0"/>
          <c:showBubbleSize val="0"/>
        </c:dLbls>
        <c:gapWidth val="150"/>
        <c:shape val="cylinder"/>
        <c:axId val="254080896"/>
        <c:axId val="254082432"/>
        <c:axId val="0"/>
      </c:bar3DChart>
      <c:catAx>
        <c:axId val="254080896"/>
        <c:scaling>
          <c:orientation val="minMax"/>
        </c:scaling>
        <c:delete val="0"/>
        <c:axPos val="b"/>
        <c:numFmt formatCode="General" sourceLinked="1"/>
        <c:majorTickMark val="out"/>
        <c:minorTickMark val="none"/>
        <c:tickLblPos val="nextTo"/>
        <c:txPr>
          <a:bodyPr/>
          <a:lstStyle/>
          <a:p>
            <a:pPr>
              <a:defRPr sz="799"/>
            </a:pPr>
            <a:endParaRPr lang="ru-RU"/>
          </a:p>
        </c:txPr>
        <c:crossAx val="254082432"/>
        <c:crosses val="autoZero"/>
        <c:auto val="1"/>
        <c:lblAlgn val="ctr"/>
        <c:lblOffset val="100"/>
        <c:noMultiLvlLbl val="0"/>
      </c:catAx>
      <c:valAx>
        <c:axId val="254082432"/>
        <c:scaling>
          <c:orientation val="minMax"/>
        </c:scaling>
        <c:delete val="0"/>
        <c:axPos val="l"/>
        <c:majorGridlines/>
        <c:numFmt formatCode="General" sourceLinked="1"/>
        <c:majorTickMark val="out"/>
        <c:minorTickMark val="none"/>
        <c:tickLblPos val="nextTo"/>
        <c:crossAx val="254080896"/>
        <c:crosses val="autoZero"/>
        <c:crossBetween val="between"/>
      </c:valAx>
      <c:spPr>
        <a:noFill/>
        <a:ln w="25356">
          <a:noFill/>
        </a:ln>
      </c:spPr>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Дети 0-3 лет</c:v>
                </c:pt>
              </c:strCache>
            </c:strRef>
          </c:tx>
          <c:spPr>
            <a:gradFill>
              <a:gsLst>
                <a:gs pos="0">
                  <a:srgbClr val="C00000"/>
                </a:gs>
                <a:gs pos="8000">
                  <a:schemeClr val="accent6">
                    <a:lumMod val="20000"/>
                    <a:lumOff val="80000"/>
                  </a:schemeClr>
                </a:gs>
                <a:gs pos="19607">
                  <a:srgbClr val="DDECF0"/>
                </a:gs>
                <a:gs pos="76000">
                  <a:schemeClr val="accent6">
                    <a:lumMod val="40000"/>
                    <a:lumOff val="60000"/>
                  </a:schemeClr>
                </a:gs>
                <a:gs pos="100000">
                  <a:schemeClr val="accent6">
                    <a:lumMod val="75000"/>
                  </a:schemeClr>
                </a:gs>
              </a:gsLst>
              <a:lin ang="5400000" scaled="0"/>
            </a:gradFill>
          </c:spPr>
          <c:invertIfNegative val="0"/>
          <c:dLbls>
            <c:spPr>
              <a:noFill/>
              <a:ln w="25356">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Лист1!$B$2:$B$4</c:f>
              <c:numCache>
                <c:formatCode>General</c:formatCode>
                <c:ptCount val="3"/>
                <c:pt idx="0">
                  <c:v>3302</c:v>
                </c:pt>
                <c:pt idx="1">
                  <c:v>4330</c:v>
                </c:pt>
                <c:pt idx="2">
                  <c:v>4555</c:v>
                </c:pt>
              </c:numCache>
            </c:numRef>
          </c:val>
        </c:ser>
        <c:ser>
          <c:idx val="1"/>
          <c:order val="1"/>
          <c:tx>
            <c:strRef>
              <c:f>Лист1!$C$1</c:f>
              <c:strCache>
                <c:ptCount val="1"/>
                <c:pt idx="0">
                  <c:v>Дети 5-7 лет</c:v>
                </c:pt>
              </c:strCache>
            </c:strRef>
          </c:tx>
          <c:spPr>
            <a:gradFill>
              <a:gsLst>
                <a:gs pos="0">
                  <a:schemeClr val="accent3"/>
                </a:gs>
                <a:gs pos="15428">
                  <a:schemeClr val="accent5">
                    <a:lumMod val="20000"/>
                    <a:lumOff val="80000"/>
                  </a:schemeClr>
                </a:gs>
                <a:gs pos="76000">
                  <a:schemeClr val="accent5">
                    <a:lumMod val="60000"/>
                    <a:lumOff val="40000"/>
                  </a:schemeClr>
                </a:gs>
                <a:gs pos="100000">
                  <a:schemeClr val="accent5">
                    <a:lumMod val="75000"/>
                  </a:schemeClr>
                </a:gs>
              </a:gsLst>
              <a:lin ang="5400000" scaled="0"/>
            </a:gradFill>
          </c:spPr>
          <c:invertIfNegative val="0"/>
          <c:dLbls>
            <c:spPr>
              <a:noFill/>
              <a:ln w="25356">
                <a:noFill/>
              </a:ln>
            </c:spPr>
            <c:showLegendKey val="0"/>
            <c:showVal val="1"/>
            <c:showCatName val="0"/>
            <c:showSerName val="0"/>
            <c:showPercent val="0"/>
            <c:showBubbleSize val="0"/>
            <c:showLeaderLines val="0"/>
          </c:dLbls>
          <c:cat>
            <c:numRef>
              <c:f>Лист1!$A$2:$A$4</c:f>
              <c:numCache>
                <c:formatCode>General</c:formatCode>
                <c:ptCount val="3"/>
                <c:pt idx="0">
                  <c:v>2011</c:v>
                </c:pt>
                <c:pt idx="1">
                  <c:v>2012</c:v>
                </c:pt>
                <c:pt idx="2">
                  <c:v>2013</c:v>
                </c:pt>
              </c:numCache>
            </c:numRef>
          </c:cat>
          <c:val>
            <c:numRef>
              <c:f>Лист1!$C$2:$C$4</c:f>
              <c:numCache>
                <c:formatCode>General</c:formatCode>
                <c:ptCount val="3"/>
                <c:pt idx="0">
                  <c:v>2477</c:v>
                </c:pt>
                <c:pt idx="1">
                  <c:v>1537</c:v>
                </c:pt>
                <c:pt idx="2">
                  <c:v>1808</c:v>
                </c:pt>
              </c:numCache>
            </c:numRef>
          </c:val>
        </c:ser>
        <c:dLbls>
          <c:showLegendKey val="0"/>
          <c:showVal val="0"/>
          <c:showCatName val="0"/>
          <c:showSerName val="0"/>
          <c:showPercent val="0"/>
          <c:showBubbleSize val="0"/>
        </c:dLbls>
        <c:gapWidth val="150"/>
        <c:shape val="cylinder"/>
        <c:axId val="254116608"/>
        <c:axId val="254118144"/>
        <c:axId val="0"/>
      </c:bar3DChart>
      <c:catAx>
        <c:axId val="254116608"/>
        <c:scaling>
          <c:orientation val="minMax"/>
        </c:scaling>
        <c:delete val="0"/>
        <c:axPos val="b"/>
        <c:numFmt formatCode="General" sourceLinked="1"/>
        <c:majorTickMark val="out"/>
        <c:minorTickMark val="none"/>
        <c:tickLblPos val="nextTo"/>
        <c:crossAx val="254118144"/>
        <c:crosses val="autoZero"/>
        <c:auto val="1"/>
        <c:lblAlgn val="ctr"/>
        <c:lblOffset val="100"/>
        <c:noMultiLvlLbl val="0"/>
      </c:catAx>
      <c:valAx>
        <c:axId val="254118144"/>
        <c:scaling>
          <c:orientation val="minMax"/>
        </c:scaling>
        <c:delete val="0"/>
        <c:axPos val="l"/>
        <c:majorGridlines/>
        <c:numFmt formatCode="General" sourceLinked="1"/>
        <c:majorTickMark val="out"/>
        <c:minorTickMark val="none"/>
        <c:tickLblPos val="nextTo"/>
        <c:crossAx val="254116608"/>
        <c:crosses val="autoZero"/>
        <c:crossBetween val="between"/>
      </c:valAx>
      <c:spPr>
        <a:noFill/>
        <a:ln w="25356">
          <a:noFill/>
        </a:ln>
      </c:spPr>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40</TotalTime>
  <Pages>173</Pages>
  <Words>61295</Words>
  <Characters>349387</Characters>
  <Application>Microsoft Office Word</Application>
  <DocSecurity>0</DocSecurity>
  <Lines>2911</Lines>
  <Paragraphs>819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 Федорова</dc:creator>
  <cp:keywords/>
  <dc:description/>
  <cp:lastModifiedBy>Юлия В. Федорова</cp:lastModifiedBy>
  <cp:revision>7</cp:revision>
  <dcterms:created xsi:type="dcterms:W3CDTF">2015-03-25T12:22:00Z</dcterms:created>
  <dcterms:modified xsi:type="dcterms:W3CDTF">2015-04-01T09:31:00Z</dcterms:modified>
</cp:coreProperties>
</file>