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B9" w:rsidRDefault="003D45B9" w:rsidP="003D45B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31379551"/>
      <w:bookmarkStart w:id="1" w:name="_Toc46526097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r w:rsidRPr="000A6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редварительны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 итоги</w:t>
      </w:r>
      <w:r w:rsidRPr="000A6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социально-экономического развития </w:t>
      </w:r>
      <w:r w:rsidR="00B376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0A6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bookmarkEnd w:id="0"/>
      <w:bookmarkEnd w:id="1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A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="003D3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0A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D5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5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ожидаемые итоги </w:t>
      </w:r>
      <w:r w:rsidR="00D53601" w:rsidRPr="000A6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социально-экономического развития</w:t>
      </w:r>
      <w:r w:rsidR="003D39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за 2020</w:t>
      </w:r>
      <w:r w:rsidR="00D536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</w:t>
      </w:r>
    </w:p>
    <w:p w:rsidR="003D45B9" w:rsidRPr="000A6EF6" w:rsidRDefault="003D45B9" w:rsidP="003D45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5B9" w:rsidRPr="00566048" w:rsidRDefault="003D45B9" w:rsidP="003D45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="003D390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0A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в экономике и социальной сфере города Ханты-</w:t>
      </w:r>
      <w:r w:rsid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Мансийска в целом устойчива.  По предварительной оценке по итогам года </w:t>
      </w:r>
      <w:r w:rsidR="00D53601"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социально-экономического развития в целом будут демонстрировать</w:t>
      </w:r>
      <w:r w:rsid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601"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положительную </w:t>
      </w:r>
      <w:r w:rsid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динамику.</w:t>
      </w:r>
      <w:r w:rsidR="00D53601"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5B9" w:rsidRPr="00566048" w:rsidRDefault="003D45B9" w:rsidP="003D45B9">
      <w:pPr>
        <w:widowControl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5B9" w:rsidRDefault="003D45B9" w:rsidP="003D45B9">
      <w:pPr>
        <w:pStyle w:val="a3"/>
        <w:widowControl w:val="0"/>
        <w:numPr>
          <w:ilvl w:val="0"/>
          <w:numId w:val="1"/>
        </w:numPr>
        <w:tabs>
          <w:tab w:val="num" w:pos="14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60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Промышленность</w:t>
      </w:r>
    </w:p>
    <w:p w:rsidR="003D45B9" w:rsidRPr="00566048" w:rsidRDefault="003D45B9" w:rsidP="003D45B9">
      <w:pPr>
        <w:pStyle w:val="a3"/>
        <w:widowControl w:val="0"/>
        <w:spacing w:after="0" w:line="240" w:lineRule="auto"/>
        <w:ind w:left="1353" w:right="-1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D3909" w:rsidRPr="003D3909" w:rsidRDefault="003D3909" w:rsidP="003D39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D3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данным Управления Федеральной службы государственной статистики по Тюменской области, Ханты-Мансийскому 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тономному округу – Югре и Ямало-</w:t>
      </w:r>
      <w:r w:rsidRPr="003D3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Ненецко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 автономному округу за январь-</w:t>
      </w:r>
      <w:r w:rsidRPr="003D3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сентябрь 2020 года объем отгруженных товаров собственного производства, выполненных работ и услуг собственными силами по крупным и средним предприятиям составил 20 441,9 млн. руб. или 101,7% к соответствующему периоду 2019 года (20 627,5 млн. руб.).</w:t>
      </w:r>
      <w:proofErr w:type="gramEnd"/>
      <w:r w:rsidRPr="003D3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Увеличение объемов производства произошло за счет предприятий, занимающихся обеспечением электрической энергией, газом и паром, кондиционированием воздуха; обеспечением водоснабжения, водоотведения, организацией сбора и утилизацией отходов, деятельностью по ликвидации загрязнений.</w:t>
      </w:r>
    </w:p>
    <w:p w:rsidR="003D3909" w:rsidRDefault="003D3909" w:rsidP="00DD7B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3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объемов производства предприятий, занимающихся обеспечением электрической энергией, газом и паром, кондиционированием воздуха; обеспечением водоснабжения, водоотведения, организацией сбора и утилизацией отходов, деятельностью по ликвидации загрязнений составляет – 55,9% (соответствующий период 2019 года – 42,1%). Большинство предприятий, осуществляющих данный вид экономической деятельности, по своим функциям относятся к предприятиям жилищно-коммунального комплекса. </w:t>
      </w:r>
    </w:p>
    <w:p w:rsidR="003D3909" w:rsidRPr="003D3909" w:rsidRDefault="003D3909" w:rsidP="003D39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3601" w:rsidRPr="00E359C0" w:rsidRDefault="00D53601" w:rsidP="003261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1BF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 </w:t>
      </w:r>
    </w:p>
    <w:p w:rsidR="003D45B9" w:rsidRPr="00E359C0" w:rsidRDefault="003D45B9" w:rsidP="003261B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359C0">
        <w:rPr>
          <w:rFonts w:ascii="Times New Roman" w:hAnsi="Times New Roman" w:cs="Times New Roman"/>
          <w:b/>
          <w:bCs/>
          <w:i/>
          <w:sz w:val="28"/>
          <w:szCs w:val="28"/>
        </w:rPr>
        <w:t>Инвестиции</w:t>
      </w:r>
    </w:p>
    <w:p w:rsidR="002D69E8" w:rsidRPr="00E359C0" w:rsidRDefault="002D69E8" w:rsidP="003261BF">
      <w:pPr>
        <w:pStyle w:val="a3"/>
        <w:widowControl w:val="0"/>
        <w:tabs>
          <w:tab w:val="left" w:pos="993"/>
        </w:tabs>
        <w:spacing w:after="0" w:line="240" w:lineRule="auto"/>
        <w:ind w:left="135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D3909" w:rsidRPr="00DD7B6E" w:rsidRDefault="003D45B9" w:rsidP="003D3909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C0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3D3909" w:rsidRPr="00DD7B6E">
        <w:rPr>
          <w:rFonts w:ascii="Times New Roman" w:eastAsia="Calibri" w:hAnsi="Times New Roman" w:cs="Times New Roman"/>
          <w:sz w:val="28"/>
          <w:szCs w:val="28"/>
        </w:rPr>
        <w:t xml:space="preserve">По данным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объем инвестиций в основной капитал по крупным и средним предприятиям за счет всех источников финансирования за январь-июнь 2020 года составил 15 658,5 млн. руб. или 131,6% к соответствующему периоду 2019 года (11 897,7 млн. руб.). </w:t>
      </w:r>
      <w:proofErr w:type="gramEnd"/>
    </w:p>
    <w:p w:rsidR="003D3909" w:rsidRPr="003D3909" w:rsidRDefault="003D3909" w:rsidP="003D39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909">
        <w:rPr>
          <w:rFonts w:ascii="Times New Roman" w:eastAsia="Calibri" w:hAnsi="Times New Roman" w:cs="Times New Roman"/>
          <w:sz w:val="28"/>
          <w:szCs w:val="28"/>
        </w:rPr>
        <w:t xml:space="preserve">Основную долю в структуре инвестиций по источникам финансирования занимают собственные средства предприятий – 62,8% или </w:t>
      </w:r>
      <w:r w:rsidRPr="003D3909">
        <w:rPr>
          <w:rFonts w:ascii="Times New Roman" w:eastAsia="Calibri" w:hAnsi="Times New Roman" w:cs="Times New Roman"/>
          <w:sz w:val="28"/>
          <w:szCs w:val="28"/>
        </w:rPr>
        <w:lastRenderedPageBreak/>
        <w:t>9 840,8 млн. руб. (соответствующий период 2019 года – 75,1% или 8 940,7 млн. руб.).</w:t>
      </w:r>
    </w:p>
    <w:p w:rsidR="003D3909" w:rsidRPr="003D3909" w:rsidRDefault="003D3909" w:rsidP="003D39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909">
        <w:rPr>
          <w:rFonts w:ascii="Times New Roman" w:eastAsia="Calibri" w:hAnsi="Times New Roman" w:cs="Times New Roman"/>
          <w:sz w:val="28"/>
          <w:szCs w:val="28"/>
        </w:rPr>
        <w:t>Привлеченные средства – 37,2% или 5 817,7 млн. руб. (соответствующий период 2019 года – 24,9% или 2 957,0 млн. руб.).</w:t>
      </w:r>
      <w:r w:rsidRPr="003D3909">
        <w:rPr>
          <w:rFonts w:ascii="Times New Roman" w:eastAsia="Calibri" w:hAnsi="Times New Roman" w:cs="Times New Roman"/>
          <w:sz w:val="28"/>
          <w:szCs w:val="28"/>
        </w:rPr>
        <w:tab/>
      </w:r>
    </w:p>
    <w:p w:rsidR="00DD7B6E" w:rsidRPr="00DD7B6E" w:rsidRDefault="002D69E8" w:rsidP="00DD7B6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1F">
        <w:rPr>
          <w:rFonts w:ascii="Times New Roman" w:hAnsi="Times New Roman" w:cs="Times New Roman"/>
          <w:bCs/>
          <w:sz w:val="28"/>
          <w:szCs w:val="28"/>
        </w:rPr>
        <w:tab/>
      </w:r>
      <w:r w:rsidR="00DD7B6E" w:rsidRPr="00DD7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3558C" w:rsidRPr="009A471F" w:rsidRDefault="00F3558C" w:rsidP="003D390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5B9" w:rsidRPr="009A471F" w:rsidRDefault="003D45B9" w:rsidP="003261BF">
      <w:pPr>
        <w:widowControl w:val="0"/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 w:rsidRPr="009A471F">
        <w:rPr>
          <w:rFonts w:ascii="Times New Roman" w:hAnsi="Times New Roman" w:cs="Times New Roman"/>
          <w:bCs/>
          <w:sz w:val="28"/>
          <w:szCs w:val="28"/>
        </w:rPr>
        <w:tab/>
      </w:r>
    </w:p>
    <w:p w:rsidR="003D45B9" w:rsidRPr="00375387" w:rsidRDefault="003D45B9" w:rsidP="003261BF">
      <w:pPr>
        <w:pStyle w:val="a3"/>
        <w:widowControl w:val="0"/>
        <w:numPr>
          <w:ilvl w:val="0"/>
          <w:numId w:val="1"/>
        </w:numPr>
        <w:tabs>
          <w:tab w:val="num" w:pos="1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Ввод жилья</w:t>
      </w:r>
    </w:p>
    <w:p w:rsidR="00A433ED" w:rsidRDefault="00A433ED" w:rsidP="0032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B6E" w:rsidRPr="00DD7B6E" w:rsidRDefault="00DD7B6E" w:rsidP="00DD7B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B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январь-сентябрь 2020 года в городе Ханты-Мансийске введено жилой площади в объеме 81,1 тыс. кв. м. (соответствующий период 2019 года –11,7 тыс. кв. м.), из них многоквартирные жилые дома – 73,8 тыс. кв. м. (соответствующий период 2019 года – 3,1 тыс. кв. м.), индивидуальное жилищное строительство – 7,3 тыс. кв. м. (соответствующий период 2019 года – 8,6 тыс. кв. м.).</w:t>
      </w:r>
      <w:proofErr w:type="gramEnd"/>
    </w:p>
    <w:p w:rsidR="00A433ED" w:rsidRPr="00375387" w:rsidRDefault="00DD7B6E" w:rsidP="0032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D7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текущем году</w:t>
      </w:r>
      <w:r w:rsidRPr="00DD7B6E">
        <w:rPr>
          <w:rFonts w:ascii="Times New Roman" w:hAnsi="Times New Roman" w:cs="Times New Roman"/>
          <w:sz w:val="28"/>
          <w:szCs w:val="28"/>
        </w:rPr>
        <w:t xml:space="preserve"> выдано 18 разрешений на строительство и реконструкцию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5387" w:rsidRPr="00375387">
        <w:rPr>
          <w:rFonts w:ascii="Times New Roman" w:hAnsi="Times New Roman" w:cs="Times New Roman"/>
          <w:sz w:val="28"/>
          <w:szCs w:val="28"/>
        </w:rPr>
        <w:t>Осуществлен</w:t>
      </w:r>
      <w:r w:rsidR="00A433ED" w:rsidRPr="00375387">
        <w:rPr>
          <w:rFonts w:ascii="Times New Roman" w:hAnsi="Times New Roman" w:cs="Times New Roman"/>
          <w:sz w:val="28"/>
          <w:szCs w:val="28"/>
        </w:rPr>
        <w:t xml:space="preserve"> ввод в эксплуатацию </w:t>
      </w:r>
      <w:r w:rsidR="00375387" w:rsidRPr="00375387">
        <w:rPr>
          <w:rFonts w:ascii="Times New Roman" w:hAnsi="Times New Roman" w:cs="Times New Roman"/>
          <w:sz w:val="28"/>
          <w:szCs w:val="28"/>
        </w:rPr>
        <w:t>11 объектов</w:t>
      </w:r>
      <w:r w:rsidR="00A433ED" w:rsidRPr="00375387">
        <w:rPr>
          <w:rFonts w:ascii="Times New Roman" w:hAnsi="Times New Roman" w:cs="Times New Roman"/>
          <w:sz w:val="28"/>
          <w:szCs w:val="28"/>
        </w:rPr>
        <w:t>.</w:t>
      </w:r>
    </w:p>
    <w:p w:rsidR="00F3558C" w:rsidRPr="00A503F0" w:rsidRDefault="00DD7B6E" w:rsidP="0032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итогу 2020</w:t>
      </w:r>
      <w:r w:rsidR="00F3558C" w:rsidRPr="00A503F0">
        <w:rPr>
          <w:rFonts w:ascii="Times New Roman" w:hAnsi="Times New Roman" w:cs="Times New Roman"/>
          <w:sz w:val="28"/>
          <w:szCs w:val="28"/>
        </w:rPr>
        <w:t xml:space="preserve"> года сохранятся умеренные темпы роста строительной отрасли, в денежном выражении объем строительных работ составит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="00F3558C" w:rsidRPr="00A50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F3558C" w:rsidRPr="00A503F0">
        <w:rPr>
          <w:rFonts w:ascii="Times New Roman" w:hAnsi="Times New Roman" w:cs="Times New Roman"/>
          <w:sz w:val="28"/>
          <w:szCs w:val="28"/>
        </w:rPr>
        <w:t xml:space="preserve"> млрд. рублей. </w:t>
      </w:r>
    </w:p>
    <w:p w:rsidR="00F3558C" w:rsidRPr="00A503F0" w:rsidRDefault="00F3558C" w:rsidP="0032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F0">
        <w:rPr>
          <w:rFonts w:ascii="Times New Roman" w:hAnsi="Times New Roman" w:cs="Times New Roman"/>
          <w:sz w:val="28"/>
          <w:szCs w:val="28"/>
        </w:rPr>
        <w:t>Стратегической целью жилищной политики остается создание условий для дальнейшего повышения уровня доступности жилья.</w:t>
      </w:r>
    </w:p>
    <w:p w:rsidR="00F3558C" w:rsidRPr="00A503F0" w:rsidRDefault="00F3558C" w:rsidP="0032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F0">
        <w:rPr>
          <w:rFonts w:ascii="Times New Roman" w:hAnsi="Times New Roman" w:cs="Times New Roman"/>
          <w:sz w:val="28"/>
          <w:szCs w:val="28"/>
        </w:rPr>
        <w:t>Основной инструмент достижения целей данной отрасли в прогнозном периоде – государственные и муниципальные программы.</w:t>
      </w:r>
    </w:p>
    <w:p w:rsidR="00F3558C" w:rsidRPr="00A503F0" w:rsidRDefault="00F3558C" w:rsidP="0032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F0">
        <w:rPr>
          <w:rFonts w:ascii="Times New Roman" w:hAnsi="Times New Roman" w:cs="Times New Roman"/>
          <w:sz w:val="28"/>
          <w:szCs w:val="28"/>
        </w:rPr>
        <w:t>С целью стимулирования жилищного строительства будет продолжена работа по  переселению из аварийного жилья, ликвидации аварийного жилого фонда.</w:t>
      </w:r>
    </w:p>
    <w:p w:rsidR="00A503F0" w:rsidRPr="00A503F0" w:rsidRDefault="00A503F0" w:rsidP="00A50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03F0">
        <w:rPr>
          <w:rFonts w:ascii="Times New Roman" w:hAnsi="Times New Roman" w:cs="Times New Roman"/>
          <w:sz w:val="28"/>
          <w:szCs w:val="28"/>
        </w:rPr>
        <w:t xml:space="preserve">Задачей </w:t>
      </w:r>
      <w:r w:rsidR="00DD7B6E">
        <w:rPr>
          <w:rFonts w:ascii="Times New Roman" w:hAnsi="Times New Roman" w:cs="Times New Roman"/>
          <w:sz w:val="28"/>
          <w:szCs w:val="28"/>
        </w:rPr>
        <w:t>2020</w:t>
      </w:r>
      <w:r w:rsidRPr="00A503F0">
        <w:rPr>
          <w:rFonts w:ascii="Times New Roman" w:hAnsi="Times New Roman" w:cs="Times New Roman"/>
          <w:sz w:val="28"/>
          <w:szCs w:val="28"/>
        </w:rPr>
        <w:t xml:space="preserve"> года является обеспечение плановых показателей </w:t>
      </w:r>
      <w:r w:rsidR="005C7A70">
        <w:rPr>
          <w:rFonts w:ascii="Times New Roman" w:hAnsi="Times New Roman" w:cs="Times New Roman"/>
          <w:sz w:val="28"/>
          <w:szCs w:val="28"/>
        </w:rPr>
        <w:br/>
      </w:r>
      <w:r w:rsidRPr="00A503F0">
        <w:rPr>
          <w:rFonts w:ascii="Times New Roman" w:hAnsi="Times New Roman" w:cs="Times New Roman"/>
          <w:sz w:val="28"/>
          <w:szCs w:val="28"/>
        </w:rPr>
        <w:t xml:space="preserve">по вводу жилья в объеме </w:t>
      </w:r>
      <w:r w:rsidR="00DD7B6E">
        <w:rPr>
          <w:rFonts w:ascii="Times New Roman" w:hAnsi="Times New Roman" w:cs="Times New Roman"/>
          <w:sz w:val="28"/>
          <w:szCs w:val="28"/>
        </w:rPr>
        <w:t>не менее 126</w:t>
      </w:r>
      <w:r w:rsidRPr="00A503F0">
        <w:rPr>
          <w:rFonts w:ascii="Times New Roman" w:hAnsi="Times New Roman" w:cs="Times New Roman"/>
          <w:sz w:val="28"/>
          <w:szCs w:val="28"/>
        </w:rPr>
        <w:t xml:space="preserve"> тыс. кв. м.</w:t>
      </w:r>
    </w:p>
    <w:p w:rsidR="00A433ED" w:rsidRPr="0094319F" w:rsidRDefault="00A433ED" w:rsidP="0032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5B9" w:rsidRPr="0094319F" w:rsidRDefault="003D45B9" w:rsidP="003261BF">
      <w:pPr>
        <w:pStyle w:val="a3"/>
        <w:widowControl w:val="0"/>
        <w:numPr>
          <w:ilvl w:val="0"/>
          <w:numId w:val="1"/>
        </w:numPr>
        <w:tabs>
          <w:tab w:val="num" w:pos="1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31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Малое предпринимательство</w:t>
      </w:r>
    </w:p>
    <w:p w:rsidR="002D69E8" w:rsidRPr="0094319F" w:rsidRDefault="002D69E8" w:rsidP="003261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D45B9" w:rsidRPr="0094319F" w:rsidRDefault="003D45B9" w:rsidP="003261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проводимые по формированию благоприятных условий для развития бизнеса в городе, имеют позитивную динамику.</w:t>
      </w:r>
    </w:p>
    <w:p w:rsidR="00A433ED" w:rsidRPr="0094319F" w:rsidRDefault="00510B3C" w:rsidP="003261BF">
      <w:pPr>
        <w:pStyle w:val="a4"/>
        <w:widowControl w:val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01.10.2020</w:t>
      </w:r>
      <w:r w:rsidR="00A433ED" w:rsidRPr="0094319F">
        <w:rPr>
          <w:sz w:val="28"/>
          <w:szCs w:val="28"/>
          <w:lang w:val="ru-RU"/>
        </w:rPr>
        <w:t xml:space="preserve"> года в городе Ханты-Мансийске ос</w:t>
      </w:r>
      <w:r>
        <w:rPr>
          <w:sz w:val="28"/>
          <w:szCs w:val="28"/>
          <w:lang w:val="ru-RU"/>
        </w:rPr>
        <w:t>уществляют свою деятельность 3604</w:t>
      </w:r>
      <w:r w:rsidR="00A433ED" w:rsidRPr="0094319F">
        <w:rPr>
          <w:sz w:val="28"/>
          <w:szCs w:val="28"/>
          <w:lang w:val="ru-RU"/>
        </w:rPr>
        <w:t xml:space="preserve"> </w:t>
      </w:r>
      <w:r w:rsidR="00A433ED" w:rsidRPr="0094319F">
        <w:rPr>
          <w:sz w:val="28"/>
          <w:szCs w:val="28"/>
          <w:lang w:eastAsia="ru-RU"/>
        </w:rPr>
        <w:t>субъект</w:t>
      </w:r>
      <w:r w:rsidR="0094319F" w:rsidRPr="0094319F">
        <w:rPr>
          <w:sz w:val="28"/>
          <w:szCs w:val="28"/>
          <w:lang w:val="ru-RU" w:eastAsia="ru-RU"/>
        </w:rPr>
        <w:t>а</w:t>
      </w:r>
      <w:r w:rsidR="00A433ED" w:rsidRPr="0094319F">
        <w:rPr>
          <w:sz w:val="28"/>
          <w:szCs w:val="28"/>
          <w:lang w:eastAsia="ru-RU"/>
        </w:rPr>
        <w:t xml:space="preserve"> малого и среднего предпринимательства</w:t>
      </w:r>
      <w:r w:rsidR="00A433ED" w:rsidRPr="0094319F">
        <w:rPr>
          <w:sz w:val="28"/>
          <w:szCs w:val="28"/>
          <w:lang w:val="ru-RU"/>
        </w:rPr>
        <w:t xml:space="preserve"> (соответствующий период 201</w:t>
      </w:r>
      <w:r w:rsidR="0094319F" w:rsidRPr="0094319F">
        <w:rPr>
          <w:sz w:val="28"/>
          <w:szCs w:val="28"/>
          <w:lang w:val="ru-RU"/>
        </w:rPr>
        <w:t>8</w:t>
      </w:r>
      <w:r w:rsidR="00A433ED" w:rsidRPr="0094319F">
        <w:rPr>
          <w:sz w:val="28"/>
          <w:szCs w:val="28"/>
          <w:lang w:val="ru-RU"/>
        </w:rPr>
        <w:t xml:space="preserve"> года – 3</w:t>
      </w:r>
      <w:r w:rsidR="0094319F" w:rsidRPr="0094319F">
        <w:rPr>
          <w:sz w:val="28"/>
          <w:szCs w:val="28"/>
          <w:lang w:val="ru-RU"/>
        </w:rPr>
        <w:t>016</w:t>
      </w:r>
      <w:r w:rsidR="00A433ED" w:rsidRPr="0094319F">
        <w:rPr>
          <w:sz w:val="28"/>
          <w:szCs w:val="28"/>
          <w:lang w:val="ru-RU"/>
        </w:rPr>
        <w:t xml:space="preserve"> ед</w:t>
      </w:r>
      <w:r w:rsidR="0094319F" w:rsidRPr="0094319F">
        <w:rPr>
          <w:sz w:val="28"/>
          <w:szCs w:val="28"/>
          <w:lang w:val="ru-RU"/>
        </w:rPr>
        <w:t>иниц</w:t>
      </w:r>
      <w:r w:rsidR="00A433ED" w:rsidRPr="0094319F">
        <w:rPr>
          <w:sz w:val="28"/>
          <w:szCs w:val="28"/>
          <w:lang w:val="ru-RU"/>
        </w:rPr>
        <w:t>), в том числе:</w:t>
      </w:r>
    </w:p>
    <w:p w:rsidR="00510B3C" w:rsidRPr="00510B3C" w:rsidRDefault="00510B3C" w:rsidP="00510B3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10B3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1356 малых и средних предприятий, включая </w:t>
      </w:r>
      <w:proofErr w:type="spellStart"/>
      <w:r w:rsidRPr="00510B3C">
        <w:rPr>
          <w:rFonts w:ascii="Times New Roman" w:eastAsia="Times New Roman" w:hAnsi="Times New Roman" w:cs="Times New Roman"/>
          <w:sz w:val="28"/>
          <w:szCs w:val="28"/>
          <w:lang w:eastAsia="x-none"/>
        </w:rPr>
        <w:t>микропредприятия</w:t>
      </w:r>
      <w:proofErr w:type="spellEnd"/>
      <w:r w:rsidRPr="00510B3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(соответствующий период 2019 года – 1207 единиц);</w:t>
      </w:r>
    </w:p>
    <w:p w:rsidR="00510B3C" w:rsidRDefault="00510B3C" w:rsidP="00510B3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10B3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2248 </w:t>
      </w:r>
      <w:proofErr w:type="gramStart"/>
      <w:r w:rsidRPr="00510B3C">
        <w:rPr>
          <w:rFonts w:ascii="Times New Roman" w:eastAsia="Times New Roman" w:hAnsi="Times New Roman" w:cs="Times New Roman"/>
          <w:sz w:val="28"/>
          <w:szCs w:val="28"/>
          <w:lang w:eastAsia="x-none"/>
        </w:rPr>
        <w:t>индивидуальных</w:t>
      </w:r>
      <w:proofErr w:type="gramEnd"/>
      <w:r w:rsidRPr="00510B3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предпринимателя (соответствующий период 2019 года – 1868 единицы).</w:t>
      </w:r>
    </w:p>
    <w:p w:rsidR="00617935" w:rsidRPr="00617935" w:rsidRDefault="00617935" w:rsidP="006179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793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связи с введенным режимом повышенной готовности на территории Ханты-Мансийского автономного округа – Югры расширены направления </w:t>
      </w:r>
      <w:r w:rsidRPr="00617935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предоставления финансовой поддержки субъектам малого и среднего предпринимательства на возмещение затрат:</w:t>
      </w:r>
    </w:p>
    <w:p w:rsidR="00617935" w:rsidRPr="00617935" w:rsidRDefault="00617935" w:rsidP="006179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7935"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Pr="00617935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на приобретение сырья, расходных материалов, необходимых для пошива гигиенических одноразовых масок;</w:t>
      </w:r>
    </w:p>
    <w:p w:rsidR="00617935" w:rsidRPr="00617935" w:rsidRDefault="00617935" w:rsidP="006179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7935"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Pr="00617935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по проведению дезинфекции нежилого помещения и для проведения дезинфекции нежилого помещения;</w:t>
      </w:r>
    </w:p>
    <w:p w:rsidR="00617935" w:rsidRPr="00617935" w:rsidRDefault="00617935" w:rsidP="006179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7935"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Pr="00617935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хозяйствующих субъектов на привлечение работников субъектов к выполнению работ, связанных с содержанием, благоустройством и озеленением территории города;</w:t>
      </w:r>
    </w:p>
    <w:p w:rsidR="00617935" w:rsidRPr="00617935" w:rsidRDefault="00617935" w:rsidP="006179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7935"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Pr="00617935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по уплате налогов на имущество физических лиц (индивидуальными предпринимателями) за объекты недвижимости, находящиеся на территории города Ханты-Мансийска и (или) земельного налога за земельные участки, расположенные на территории города Ханты-Мансийска;</w:t>
      </w:r>
    </w:p>
    <w:p w:rsidR="00617935" w:rsidRPr="00617935" w:rsidRDefault="00617935" w:rsidP="006179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7935"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Pr="00617935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на прохождение сотрудниками предварительного или периодического медицинского осмотра, на тестирование сотрудников на наличие антител к </w:t>
      </w:r>
      <w:proofErr w:type="spellStart"/>
      <w:r w:rsidRPr="00617935">
        <w:rPr>
          <w:rFonts w:ascii="Times New Roman" w:eastAsia="Times New Roman" w:hAnsi="Times New Roman" w:cs="Times New Roman"/>
          <w:sz w:val="28"/>
          <w:szCs w:val="28"/>
          <w:lang w:eastAsia="x-none"/>
        </w:rPr>
        <w:t>коронавирусной</w:t>
      </w:r>
      <w:proofErr w:type="spellEnd"/>
      <w:r w:rsidRPr="0061793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инфекции различными методами;</w:t>
      </w:r>
    </w:p>
    <w:p w:rsidR="00617935" w:rsidRPr="00617935" w:rsidRDefault="00617935" w:rsidP="006179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7935"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Pr="00617935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на приобретение программного продукта для дистанционной работы с клиентами используемого в предпринимательской деятельности;</w:t>
      </w:r>
    </w:p>
    <w:p w:rsidR="00617935" w:rsidRPr="00617935" w:rsidRDefault="00617935" w:rsidP="006179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7935"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Pr="00617935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связанных с прохождением обучения или курсов повышения квалификации Субъекта и его сотрудников в период действия режима повышенной готовности.</w:t>
      </w:r>
    </w:p>
    <w:p w:rsidR="00617935" w:rsidRPr="00510B3C" w:rsidRDefault="00617935" w:rsidP="006179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7935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действующим направлениям увеличены объемы финансовой поддержки в форме субсидий на возмещение части затрат: на аренду нежилого помещения максимальная сумма выплат увеличена в 2 раза (до 400 тыс. руб.), на приобретение оборудования (основных средств) более чем в 1,5 раза (до 500 тыс. руб.).</w:t>
      </w:r>
    </w:p>
    <w:p w:rsidR="00A433ED" w:rsidRPr="00EB432A" w:rsidRDefault="00A433ED" w:rsidP="0032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3D45B9" w:rsidRPr="00EB432A" w:rsidRDefault="003D45B9" w:rsidP="003261BF">
      <w:pPr>
        <w:pStyle w:val="a3"/>
        <w:widowControl w:val="0"/>
        <w:numPr>
          <w:ilvl w:val="0"/>
          <w:numId w:val="1"/>
        </w:numPr>
        <w:tabs>
          <w:tab w:val="num" w:pos="1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43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Потребительский рынок</w:t>
      </w:r>
    </w:p>
    <w:p w:rsidR="00A433ED" w:rsidRPr="00EB432A" w:rsidRDefault="00A433ED" w:rsidP="003261BF">
      <w:pPr>
        <w:pStyle w:val="a3"/>
        <w:widowControl w:val="0"/>
        <w:tabs>
          <w:tab w:val="num" w:pos="1495"/>
        </w:tabs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0B3C" w:rsidRPr="00510B3C" w:rsidRDefault="00510B3C" w:rsidP="00494F7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2020 году </w:t>
      </w:r>
      <w:r w:rsidRPr="00510B3C">
        <w:rPr>
          <w:rFonts w:ascii="Times New Roman" w:eastAsia="Calibri" w:hAnsi="Times New Roman" w:cs="Times New Roman"/>
          <w:sz w:val="28"/>
          <w:szCs w:val="28"/>
        </w:rPr>
        <w:t xml:space="preserve">в Ханты-Мансийске на отчетный период осуществляли деятельность на 139 торговых  объектах.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510B3C">
        <w:rPr>
          <w:rFonts w:ascii="Times New Roman" w:eastAsia="Calibri" w:hAnsi="Times New Roman" w:cs="Times New Roman"/>
          <w:sz w:val="28"/>
          <w:szCs w:val="28"/>
        </w:rPr>
        <w:t>а 9 месяцев 2020 года открылись новые предприятия федеральных сетевых операторов: второй магазин цифровой и  бытовой техники «Эльдорадо», книжный магазин  «Читай город» ул. Энгельса, 1, второй магазин «</w:t>
      </w:r>
      <w:proofErr w:type="spellStart"/>
      <w:r w:rsidRPr="00510B3C">
        <w:rPr>
          <w:rFonts w:ascii="Times New Roman" w:eastAsia="Calibri" w:hAnsi="Times New Roman" w:cs="Times New Roman"/>
          <w:sz w:val="28"/>
          <w:szCs w:val="28"/>
        </w:rPr>
        <w:t>Fix</w:t>
      </w:r>
      <w:proofErr w:type="spellEnd"/>
      <w:r w:rsidRPr="00510B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0B3C">
        <w:rPr>
          <w:rFonts w:ascii="Times New Roman" w:eastAsia="Calibri" w:hAnsi="Times New Roman" w:cs="Times New Roman"/>
          <w:sz w:val="28"/>
          <w:szCs w:val="28"/>
        </w:rPr>
        <w:t>Price</w:t>
      </w:r>
      <w:proofErr w:type="spellEnd"/>
      <w:r w:rsidRPr="00510B3C">
        <w:rPr>
          <w:rFonts w:ascii="Times New Roman" w:eastAsia="Calibri" w:hAnsi="Times New Roman" w:cs="Times New Roman"/>
          <w:sz w:val="28"/>
          <w:szCs w:val="28"/>
        </w:rPr>
        <w:t>» ул. Рябиновая, 10,  два продовольственных  магазина  «Пятерочка» (ул. Ленина, д. 36, ул. Объездная, д.67), второй универсам «Перекрёсток», ул. Мира, 45.</w:t>
      </w:r>
      <w:proofErr w:type="gramEnd"/>
      <w:r w:rsidRPr="00510B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510B3C">
        <w:rPr>
          <w:rFonts w:ascii="Times New Roman" w:eastAsia="Calibri" w:hAnsi="Times New Roman" w:cs="Times New Roman"/>
          <w:sz w:val="28"/>
          <w:szCs w:val="28"/>
        </w:rPr>
        <w:t>азвиваются местные торговые сети. За  9 месяцев 2020 года открылись  новые магазины  в  современном формате   торговый центр «</w:t>
      </w:r>
      <w:proofErr w:type="spellStart"/>
      <w:r w:rsidRPr="00510B3C">
        <w:rPr>
          <w:rFonts w:ascii="Times New Roman" w:eastAsia="Calibri" w:hAnsi="Times New Roman" w:cs="Times New Roman"/>
          <w:sz w:val="28"/>
          <w:szCs w:val="28"/>
        </w:rPr>
        <w:t>Еврострой</w:t>
      </w:r>
      <w:proofErr w:type="spellEnd"/>
      <w:r w:rsidRPr="00510B3C">
        <w:rPr>
          <w:rFonts w:ascii="Times New Roman" w:eastAsia="Calibri" w:hAnsi="Times New Roman" w:cs="Times New Roman"/>
          <w:sz w:val="28"/>
          <w:szCs w:val="28"/>
        </w:rPr>
        <w:t>», специализированные  магазины «</w:t>
      </w:r>
      <w:proofErr w:type="spellStart"/>
      <w:r w:rsidRPr="00510B3C">
        <w:rPr>
          <w:rFonts w:ascii="Times New Roman" w:eastAsia="Calibri" w:hAnsi="Times New Roman" w:cs="Times New Roman"/>
          <w:sz w:val="28"/>
          <w:szCs w:val="28"/>
        </w:rPr>
        <w:t>Акмол</w:t>
      </w:r>
      <w:proofErr w:type="spellEnd"/>
      <w:r w:rsidRPr="00510B3C">
        <w:rPr>
          <w:rFonts w:ascii="Times New Roman" w:eastAsia="Calibri" w:hAnsi="Times New Roman" w:cs="Times New Roman"/>
          <w:sz w:val="28"/>
          <w:szCs w:val="28"/>
        </w:rPr>
        <w:t xml:space="preserve"> авто», «</w:t>
      </w:r>
      <w:proofErr w:type="spellStart"/>
      <w:r w:rsidRPr="00510B3C">
        <w:rPr>
          <w:rFonts w:ascii="Times New Roman" w:eastAsia="Calibri" w:hAnsi="Times New Roman" w:cs="Times New Roman"/>
          <w:sz w:val="28"/>
          <w:szCs w:val="28"/>
        </w:rPr>
        <w:t>Мотоцентр</w:t>
      </w:r>
      <w:proofErr w:type="spellEnd"/>
      <w:r w:rsidRPr="00510B3C">
        <w:rPr>
          <w:rFonts w:ascii="Times New Roman" w:eastAsia="Calibri" w:hAnsi="Times New Roman" w:cs="Times New Roman"/>
          <w:sz w:val="28"/>
          <w:szCs w:val="28"/>
        </w:rPr>
        <w:t xml:space="preserve">», «Семь морей», мясная лавка «Сибирские колбасы». </w:t>
      </w:r>
    </w:p>
    <w:p w:rsidR="00510B3C" w:rsidRPr="00510B3C" w:rsidRDefault="00510B3C" w:rsidP="00510B3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B3C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01.10.2020 года услуги общественного питания в городе предоставляли 171 предприятие общественного питания на 7894  посадочных места (2019 год – 182 предприятий  на 9474 посадочных места), в </w:t>
      </w:r>
      <w:r w:rsidRPr="00510B3C">
        <w:rPr>
          <w:rFonts w:ascii="Times New Roman" w:eastAsia="Calibri" w:hAnsi="Times New Roman" w:cs="Times New Roman"/>
          <w:sz w:val="28"/>
          <w:szCs w:val="28"/>
        </w:rPr>
        <w:lastRenderedPageBreak/>
        <w:t>том числе 142 предприятия  общедоступной сети на 5202  посадочных места.</w:t>
      </w:r>
    </w:p>
    <w:p w:rsidR="00510B3C" w:rsidRPr="00510B3C" w:rsidRDefault="00510B3C" w:rsidP="00494F7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B3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494F7A">
        <w:rPr>
          <w:rFonts w:ascii="Times New Roman" w:eastAsia="Calibri" w:hAnsi="Times New Roman" w:cs="Times New Roman"/>
          <w:sz w:val="28"/>
          <w:szCs w:val="28"/>
        </w:rPr>
        <w:t>В</w:t>
      </w:r>
      <w:r w:rsidRPr="00510B3C">
        <w:rPr>
          <w:rFonts w:ascii="Times New Roman" w:eastAsia="Calibri" w:hAnsi="Times New Roman" w:cs="Times New Roman"/>
          <w:sz w:val="28"/>
          <w:szCs w:val="28"/>
        </w:rPr>
        <w:t xml:space="preserve">ведено в эксплуатацию 11 предприятий общественного питания на 551 посадочное место, в их числе  предприятия местного бизнеса, кафе в современных форматах  «PRO ИТАЛИЯ», «Моя кондитерская», детское кафе «Хомяк», пекарня доставка «Смак», </w:t>
      </w:r>
      <w:proofErr w:type="spellStart"/>
      <w:r w:rsidRPr="00510B3C">
        <w:rPr>
          <w:rFonts w:ascii="Times New Roman" w:eastAsia="Calibri" w:hAnsi="Times New Roman" w:cs="Times New Roman"/>
          <w:sz w:val="28"/>
          <w:szCs w:val="28"/>
        </w:rPr>
        <w:t>Гастромаркет</w:t>
      </w:r>
      <w:proofErr w:type="spellEnd"/>
      <w:r w:rsidRPr="00510B3C">
        <w:rPr>
          <w:rFonts w:ascii="Times New Roman" w:eastAsia="Calibri" w:hAnsi="Times New Roman" w:cs="Times New Roman"/>
          <w:sz w:val="28"/>
          <w:szCs w:val="28"/>
        </w:rPr>
        <w:t xml:space="preserve"> – состоящий из 6 корнеров по направлениям: японская, восточная, русская, европейская, рыбная, мясная кухни, два  бара «</w:t>
      </w:r>
      <w:proofErr w:type="spellStart"/>
      <w:r w:rsidRPr="00510B3C">
        <w:rPr>
          <w:rFonts w:ascii="Times New Roman" w:eastAsia="Calibri" w:hAnsi="Times New Roman" w:cs="Times New Roman"/>
          <w:sz w:val="28"/>
          <w:szCs w:val="28"/>
        </w:rPr>
        <w:t>Рестобар</w:t>
      </w:r>
      <w:proofErr w:type="spellEnd"/>
      <w:r w:rsidRPr="00510B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0B3C">
        <w:rPr>
          <w:rFonts w:ascii="Times New Roman" w:eastAsia="Calibri" w:hAnsi="Times New Roman" w:cs="Times New Roman"/>
          <w:sz w:val="28"/>
          <w:szCs w:val="28"/>
        </w:rPr>
        <w:t>Bro</w:t>
      </w:r>
      <w:proofErr w:type="spellEnd"/>
      <w:r w:rsidRPr="00510B3C">
        <w:rPr>
          <w:rFonts w:ascii="Times New Roman" w:eastAsia="Calibri" w:hAnsi="Times New Roman" w:cs="Times New Roman"/>
          <w:sz w:val="28"/>
          <w:szCs w:val="28"/>
        </w:rPr>
        <w:t xml:space="preserve">», «13 </w:t>
      </w:r>
      <w:proofErr w:type="spellStart"/>
      <w:r w:rsidRPr="00510B3C">
        <w:rPr>
          <w:rFonts w:ascii="Times New Roman" w:eastAsia="Calibri" w:hAnsi="Times New Roman" w:cs="Times New Roman"/>
          <w:sz w:val="28"/>
          <w:szCs w:val="28"/>
        </w:rPr>
        <w:t>Ruloes</w:t>
      </w:r>
      <w:proofErr w:type="spellEnd"/>
      <w:r w:rsidRPr="00510B3C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510B3C" w:rsidRPr="00510B3C" w:rsidRDefault="00510B3C" w:rsidP="00510B3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B3C">
        <w:rPr>
          <w:rFonts w:ascii="Times New Roman" w:eastAsia="Calibri" w:hAnsi="Times New Roman" w:cs="Times New Roman"/>
          <w:sz w:val="28"/>
          <w:szCs w:val="28"/>
        </w:rPr>
        <w:t>По состоянию на 01.10.2020 на территории города функционируют 390 объектов бытового обслуживания населения (на 01.10.2019 – 388 объектов), которые оказывают более 800 видов услуг, предусмотренные общероссийским классификатором услуг населению и востребованных жителями города Ханты-Мансийска.</w:t>
      </w:r>
      <w:r w:rsidR="00494F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B3C">
        <w:rPr>
          <w:rFonts w:ascii="Times New Roman" w:eastAsia="Calibri" w:hAnsi="Times New Roman" w:cs="Times New Roman"/>
          <w:sz w:val="28"/>
          <w:szCs w:val="28"/>
        </w:rPr>
        <w:t xml:space="preserve">Наибольшую долю бытовых услуг по-прежнему занимают парикмахерские услуги (28,2%), услуги автосервиса (25,7%), по пошиву и ремонту одежды (14,3%), по ремонту обуви (7,2%), услуги по ремонту и техническому обслуживанию бытовой, </w:t>
      </w:r>
      <w:proofErr w:type="spellStart"/>
      <w:r w:rsidRPr="00510B3C">
        <w:rPr>
          <w:rFonts w:ascii="Times New Roman" w:eastAsia="Calibri" w:hAnsi="Times New Roman" w:cs="Times New Roman"/>
          <w:sz w:val="28"/>
          <w:szCs w:val="28"/>
        </w:rPr>
        <w:t>телерадиоаппаратуры</w:t>
      </w:r>
      <w:proofErr w:type="spellEnd"/>
      <w:r w:rsidRPr="00510B3C">
        <w:rPr>
          <w:rFonts w:ascii="Times New Roman" w:eastAsia="Calibri" w:hAnsi="Times New Roman" w:cs="Times New Roman"/>
          <w:sz w:val="28"/>
          <w:szCs w:val="28"/>
        </w:rPr>
        <w:t xml:space="preserve"> (12,1%), которые являются более востребованными и социально значимыми.  </w:t>
      </w:r>
    </w:p>
    <w:p w:rsidR="00510B3C" w:rsidRDefault="00510B3C" w:rsidP="00510B3C">
      <w:pPr>
        <w:pStyle w:val="a3"/>
        <w:widowControl w:val="0"/>
        <w:spacing w:after="0" w:line="240" w:lineRule="auto"/>
        <w:ind w:left="135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B3C" w:rsidRDefault="00510B3C" w:rsidP="00510B3C">
      <w:pPr>
        <w:pStyle w:val="a3"/>
        <w:widowControl w:val="0"/>
        <w:spacing w:after="0" w:line="240" w:lineRule="auto"/>
        <w:ind w:left="135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45B9" w:rsidRPr="0099591D" w:rsidRDefault="00494F7A" w:rsidP="00510B3C">
      <w:pPr>
        <w:pStyle w:val="a3"/>
        <w:widowControl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</w:t>
      </w:r>
      <w:r w:rsidR="003D45B9" w:rsidRPr="009959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Деятельность жилищно-коммунального комплекса </w:t>
      </w:r>
    </w:p>
    <w:p w:rsidR="002D69E8" w:rsidRPr="0099591D" w:rsidRDefault="002D69E8" w:rsidP="003261BF">
      <w:pPr>
        <w:pStyle w:val="a3"/>
        <w:widowControl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F7A" w:rsidRDefault="00494F7A" w:rsidP="0099591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01.10.2020 в городе Ханты-Мансийске в сфере предоставления жилищно-коммунальных услуг осуществляют деятельность 29 предприятий различных форм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F7A" w:rsidRPr="00494F7A" w:rsidRDefault="00494F7A" w:rsidP="00494F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F7A">
        <w:rPr>
          <w:rFonts w:ascii="Times New Roman" w:hAnsi="Times New Roman" w:cs="Times New Roman"/>
          <w:bCs/>
          <w:sz w:val="28"/>
          <w:szCs w:val="28"/>
        </w:rPr>
        <w:t>По предварительной оценке по состоянию на 01.10.2020 муниципальными предприятиями коммунального комплекса получено доходов в сумме 1 953,3 млн. руб., или 104,4% к соответствующему периоду 2019 года (соответствующий период 2019 года – 1 870,8 млн. руб.).</w:t>
      </w:r>
    </w:p>
    <w:p w:rsidR="00494F7A" w:rsidRPr="00494F7A" w:rsidRDefault="00494F7A" w:rsidP="00494F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F7A">
        <w:rPr>
          <w:rFonts w:ascii="Times New Roman" w:hAnsi="Times New Roman" w:cs="Times New Roman"/>
          <w:bCs/>
          <w:sz w:val="28"/>
          <w:szCs w:val="28"/>
        </w:rPr>
        <w:t>Сумма дебиторской задолженности потребителей жилищно-коммунальных услуг за январь-сентябрь 2020 года составляет 812,05 млн. рублей, в том числе население – 561,8 млн. рублей (69,2%).</w:t>
      </w:r>
    </w:p>
    <w:p w:rsidR="00494F7A" w:rsidRDefault="00494F7A" w:rsidP="00494F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F7A">
        <w:rPr>
          <w:rFonts w:ascii="Times New Roman" w:hAnsi="Times New Roman" w:cs="Times New Roman"/>
          <w:bCs/>
          <w:sz w:val="28"/>
          <w:szCs w:val="28"/>
        </w:rPr>
        <w:t>Уровень собираемости платежей граждан за жилищно-коммунальные услуги за январь-сентябрь 2020 года составляет 97,3% при 97,4% за соответствующий период 2019 года.</w:t>
      </w:r>
    </w:p>
    <w:p w:rsidR="00494F7A" w:rsidRDefault="00494F7A" w:rsidP="00494F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F7A">
        <w:rPr>
          <w:rFonts w:ascii="Times New Roman" w:hAnsi="Times New Roman" w:cs="Times New Roman"/>
          <w:bCs/>
          <w:sz w:val="28"/>
          <w:szCs w:val="28"/>
        </w:rPr>
        <w:t>Общая площадь жилищного фонда города Ханты-Мансийска по состоянию на 01.10.2020 по предварительным данным составила 2 494,2 тыс. кв. м.</w:t>
      </w:r>
    </w:p>
    <w:p w:rsidR="00494F7A" w:rsidRDefault="00494F7A" w:rsidP="003261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F7A">
        <w:rPr>
          <w:rFonts w:ascii="Times New Roman" w:hAnsi="Times New Roman" w:cs="Times New Roman"/>
          <w:bCs/>
          <w:sz w:val="28"/>
          <w:szCs w:val="28"/>
        </w:rPr>
        <w:t xml:space="preserve">По состоянию на 01.10.2020 в городе Ханты-Мансийске в установленном порядке </w:t>
      </w:r>
      <w:proofErr w:type="gramStart"/>
      <w:r w:rsidRPr="00494F7A">
        <w:rPr>
          <w:rFonts w:ascii="Times New Roman" w:hAnsi="Times New Roman" w:cs="Times New Roman"/>
          <w:bCs/>
          <w:sz w:val="28"/>
          <w:szCs w:val="28"/>
        </w:rPr>
        <w:t>признаны</w:t>
      </w:r>
      <w:proofErr w:type="gramEnd"/>
      <w:r w:rsidRPr="00494F7A">
        <w:rPr>
          <w:rFonts w:ascii="Times New Roman" w:hAnsi="Times New Roman" w:cs="Times New Roman"/>
          <w:bCs/>
          <w:sz w:val="28"/>
          <w:szCs w:val="28"/>
        </w:rPr>
        <w:t xml:space="preserve"> аварийными и подлежащими сносу 59 многоквартирных жилых домов, общей площадью 24,4 тыс. кв. м. (на 01.10.2019 – 75 многоквартирных жилых домов, общей площадью 31,8 тыс. кв. м.).</w:t>
      </w:r>
    </w:p>
    <w:p w:rsidR="00631FB6" w:rsidRPr="0099591D" w:rsidRDefault="00631FB6" w:rsidP="003261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91D">
        <w:rPr>
          <w:rFonts w:ascii="Times New Roman" w:hAnsi="Times New Roman" w:cs="Times New Roman"/>
          <w:bCs/>
          <w:sz w:val="28"/>
          <w:szCs w:val="28"/>
        </w:rPr>
        <w:t xml:space="preserve">Основными задачами деятельности Администрации города </w:t>
      </w:r>
      <w:r w:rsidR="005C7A70">
        <w:rPr>
          <w:rFonts w:ascii="Times New Roman" w:hAnsi="Times New Roman" w:cs="Times New Roman"/>
          <w:bCs/>
          <w:sz w:val="28"/>
          <w:szCs w:val="28"/>
        </w:rPr>
        <w:br/>
      </w:r>
      <w:r w:rsidRPr="0099591D">
        <w:rPr>
          <w:rFonts w:ascii="Times New Roman" w:hAnsi="Times New Roman" w:cs="Times New Roman"/>
          <w:bCs/>
          <w:sz w:val="28"/>
          <w:szCs w:val="28"/>
        </w:rPr>
        <w:t xml:space="preserve">Ханты-Мансийска в сфере жилищно-коммунального хозяйства до конца года </w:t>
      </w:r>
      <w:r w:rsidRPr="0099591D">
        <w:rPr>
          <w:rFonts w:ascii="Times New Roman" w:hAnsi="Times New Roman" w:cs="Times New Roman"/>
          <w:bCs/>
          <w:sz w:val="28"/>
          <w:szCs w:val="28"/>
        </w:rPr>
        <w:lastRenderedPageBreak/>
        <w:t>останутся повышение уровня и качества предоставления жилищно-коммунальных услуг, создание комфортных условий для проживания населения.</w:t>
      </w:r>
    </w:p>
    <w:p w:rsidR="002336EA" w:rsidRPr="00D10E78" w:rsidRDefault="002336EA" w:rsidP="003261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5B9" w:rsidRPr="00D10E78" w:rsidRDefault="003D45B9" w:rsidP="003261B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0E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Исполнение бюджета города </w:t>
      </w:r>
    </w:p>
    <w:p w:rsidR="003D45B9" w:rsidRPr="00D10E78" w:rsidRDefault="003D45B9" w:rsidP="00326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F7A" w:rsidRDefault="00494F7A" w:rsidP="00D10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города за январь-сентябрь 2020 года исполнен по доходам в размере 7 565,1 млн. рублей или 133,8% к соответствующему периоду 2019 года (5 652,3 млн. руб.). </w:t>
      </w:r>
    </w:p>
    <w:p w:rsidR="00AB7C87" w:rsidRPr="00AB7C87" w:rsidRDefault="00AB7C87" w:rsidP="00AB7C8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за январь-сентябрь 2020 года составили 7 541,1 млн. руб., или 136,6% к уровню 2019 года (соответствующий период 2019 года – 5 520,7 млн. руб.).</w:t>
      </w:r>
    </w:p>
    <w:p w:rsidR="00AB7C87" w:rsidRPr="00AB7C87" w:rsidRDefault="00AB7C87" w:rsidP="00AB7C8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Существенный удельный вес расходов приходится на следующие статьи бюджетной классификации:</w:t>
      </w:r>
    </w:p>
    <w:p w:rsidR="00AB7C87" w:rsidRPr="00AB7C87" w:rsidRDefault="00AB7C87" w:rsidP="00AB7C8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– 3 839,8 млн. рублей или 50,9% от общей суммы расходов городского бюджета (соответствующий период 2019 года – 3066,3 млн. рублей или 55,5%);</w:t>
      </w:r>
    </w:p>
    <w:p w:rsidR="00AB7C87" w:rsidRPr="00AB7C87" w:rsidRDefault="00AB7C87" w:rsidP="00AB7C8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 – 1 148,2 млн. рублей или 15,2% (соответствующий период 2019 года – 866,0 млн. рублей или 15,7%);</w:t>
      </w:r>
    </w:p>
    <w:p w:rsidR="00AB7C87" w:rsidRPr="00AB7C87" w:rsidRDefault="00AB7C87" w:rsidP="00AB7C8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 – 1 319,6 млн. рублей или 17,5% (соответствующий период 2019 года –451,4 млн. рублей или 8,2%);</w:t>
      </w:r>
    </w:p>
    <w:p w:rsidR="00AB7C87" w:rsidRPr="00AB7C87" w:rsidRDefault="00AB7C87" w:rsidP="00AB7C8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 – 552,8 млн. рублей или 7,3% (соответствующий период 2019 года – 516,6 млн. рублей или 9,4%);</w:t>
      </w:r>
    </w:p>
    <w:p w:rsidR="00AB7C87" w:rsidRPr="00AB7C87" w:rsidRDefault="00AB7C87" w:rsidP="00AB7C8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политика – 242,1 млн. рублей или 3,2% (соответствующий период 2019 года – 1214,8 млн. рублей или 3,9%) и т.д.</w:t>
      </w:r>
    </w:p>
    <w:p w:rsidR="00631FB6" w:rsidRPr="00887D42" w:rsidRDefault="00631FB6" w:rsidP="00326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итогу 201</w:t>
      </w:r>
      <w:r w:rsidR="00887D42" w:rsidRPr="00887D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структура доходов и расходов бюджета </w:t>
      </w:r>
      <w:r w:rsidR="005C7A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изменится. Доходы бюджета с учетом налоговых, неналоговых доходов </w:t>
      </w:r>
      <w:r w:rsidR="005C7A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B7C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за 2020</w:t>
      </w:r>
      <w:r w:rsidRPr="0088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оценке ожидаются </w:t>
      </w:r>
      <w:r w:rsidR="002F4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</w:t>
      </w:r>
      <w:r w:rsidR="00A709DF" w:rsidRPr="0088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A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7C87">
        <w:rPr>
          <w:rFonts w:ascii="Times New Roman" w:eastAsia="Times New Roman" w:hAnsi="Times New Roman" w:cs="Times New Roman"/>
          <w:sz w:val="28"/>
          <w:szCs w:val="28"/>
          <w:lang w:eastAsia="ru-RU"/>
        </w:rPr>
        <w:t>12345,2</w:t>
      </w:r>
      <w:r w:rsidRPr="0088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 </w:t>
      </w:r>
    </w:p>
    <w:p w:rsidR="002336EA" w:rsidRPr="006F761A" w:rsidRDefault="002336EA" w:rsidP="00326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5B9" w:rsidRPr="0036388F" w:rsidRDefault="003D45B9" w:rsidP="003261B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F76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Ситуация на рынке труда</w:t>
      </w:r>
    </w:p>
    <w:p w:rsidR="0036388F" w:rsidRPr="006F761A" w:rsidRDefault="0036388F" w:rsidP="0036388F">
      <w:pPr>
        <w:pStyle w:val="a3"/>
        <w:widowControl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B7C87" w:rsidRDefault="00AB7C87" w:rsidP="00AB7C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87" w:rsidRPr="00AB7C87" w:rsidRDefault="00AB7C87" w:rsidP="00AB7C8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C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 году ситуация  на рынке труда  является отражением негативных процессов и снижения экономической активности в результате распространения новой </w:t>
      </w:r>
      <w:proofErr w:type="spellStart"/>
      <w:r w:rsidRPr="00AB7C87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B7C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инфекции. С момента ввода режима повышенной готовности на территории Ханты-Мансийского автономного округа – Югры наблюдается рост числа безработных граждан, что в первую очередь связано с изменением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безработными.</w:t>
      </w:r>
    </w:p>
    <w:p w:rsidR="00AB7C87" w:rsidRPr="00AB7C87" w:rsidRDefault="00AB7C87" w:rsidP="00AB7C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 октября 2020 года численность безработных </w:t>
      </w:r>
      <w:r w:rsidRPr="00AB7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граждан, стоящих на регистрационном учете в центре занятости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еления, составила 1274 человека</w:t>
      </w:r>
      <w:r w:rsidRPr="00AB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01.10.2019 – 170 человек). Уровень регистрируемой безработицы увеличился с 0,29% до 2,14% от экономически активного населения. Коэффициент напряженности увеличился с 0,34 человека до 1,71 человека на 1 свободное рабочее место.</w:t>
      </w:r>
    </w:p>
    <w:p w:rsidR="002F49D0" w:rsidRDefault="002F49D0" w:rsidP="003261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9D0">
        <w:rPr>
          <w:rFonts w:ascii="Times New Roman" w:hAnsi="Times New Roman" w:cs="Times New Roman"/>
          <w:sz w:val="28"/>
          <w:szCs w:val="28"/>
        </w:rPr>
        <w:t>Численность экономически активного населения на 01.10.2020 составила 60061 чел. или 60% от общей численности на</w:t>
      </w:r>
      <w:r>
        <w:rPr>
          <w:rFonts w:ascii="Times New Roman" w:hAnsi="Times New Roman" w:cs="Times New Roman"/>
          <w:sz w:val="28"/>
          <w:szCs w:val="28"/>
        </w:rPr>
        <w:t xml:space="preserve">селения города Ханты-Мансийска. </w:t>
      </w:r>
    </w:p>
    <w:p w:rsidR="002F49D0" w:rsidRPr="00284CF0" w:rsidRDefault="002F49D0" w:rsidP="002F49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5B9" w:rsidRPr="00284CF0" w:rsidRDefault="003D45B9" w:rsidP="003261BF">
      <w:pPr>
        <w:pStyle w:val="a3"/>
        <w:widowControl w:val="0"/>
        <w:numPr>
          <w:ilvl w:val="0"/>
          <w:numId w:val="2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4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Демографическая ситуация </w:t>
      </w:r>
    </w:p>
    <w:p w:rsidR="002D69E8" w:rsidRPr="00284CF0" w:rsidRDefault="002D69E8" w:rsidP="003261BF">
      <w:pPr>
        <w:pStyle w:val="a3"/>
        <w:widowControl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49D0" w:rsidRPr="002F49D0" w:rsidRDefault="002F49D0" w:rsidP="002F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9D0">
        <w:rPr>
          <w:rFonts w:ascii="Times New Roman" w:hAnsi="Times New Roman" w:cs="Times New Roman"/>
          <w:sz w:val="28"/>
          <w:szCs w:val="28"/>
        </w:rPr>
        <w:t xml:space="preserve">По данным Управления Федеральной службы государственной статистики по Тюменской области, Ханты-Мансийскому </w:t>
      </w:r>
      <w:r w:rsidR="00610B25">
        <w:rPr>
          <w:rFonts w:ascii="Times New Roman" w:hAnsi="Times New Roman" w:cs="Times New Roman"/>
          <w:sz w:val="28"/>
          <w:szCs w:val="28"/>
        </w:rPr>
        <w:t>автономному округу Югре и Ямало-</w:t>
      </w:r>
      <w:r w:rsidRPr="002F49D0">
        <w:rPr>
          <w:rFonts w:ascii="Times New Roman" w:hAnsi="Times New Roman" w:cs="Times New Roman"/>
          <w:sz w:val="28"/>
          <w:szCs w:val="28"/>
        </w:rPr>
        <w:t xml:space="preserve">Ненецкому автономному округу (далее – служба статистики) на 01.07.2020 численность постоянного населения составила 102450 чел. или 102,8% к соответствующему периоду 2019 года (на 01.07.2019 – 99612 чел.). </w:t>
      </w:r>
    </w:p>
    <w:p w:rsidR="002F49D0" w:rsidRPr="002F49D0" w:rsidRDefault="002F49D0" w:rsidP="002F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9D0">
        <w:rPr>
          <w:rFonts w:ascii="Times New Roman" w:hAnsi="Times New Roman" w:cs="Times New Roman"/>
          <w:sz w:val="28"/>
          <w:szCs w:val="28"/>
        </w:rPr>
        <w:t>Среднегодовая численность населения составила 101958 чел. или 102,5% к соответствующему периоду 2019 года (99499 чел.).</w:t>
      </w:r>
    </w:p>
    <w:p w:rsidR="00610B25" w:rsidRDefault="002F49D0" w:rsidP="002F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9D0">
        <w:rPr>
          <w:rFonts w:ascii="Times New Roman" w:hAnsi="Times New Roman" w:cs="Times New Roman"/>
          <w:sz w:val="28"/>
          <w:szCs w:val="28"/>
        </w:rPr>
        <w:t xml:space="preserve">Фактором сохранения демографического потенциала продолжает оставаться естественный прирост населения, который по предварительным данным службы статистики по состоянию на 01.07.2020 года составил 384 чел. (соответствующий период 2019 года – 329 чел.). Количество родившихся по данным службы статистики по состоянию на 01.07.2020 составило 652 чел. (соответствующий период 2019 года – 582 чел.). </w:t>
      </w:r>
    </w:p>
    <w:p w:rsidR="00610B25" w:rsidRPr="00102B8F" w:rsidRDefault="00610B25" w:rsidP="003261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5B9" w:rsidRPr="00102B8F" w:rsidRDefault="003D45B9" w:rsidP="003261BF">
      <w:pPr>
        <w:pStyle w:val="a3"/>
        <w:widowControl w:val="0"/>
        <w:numPr>
          <w:ilvl w:val="0"/>
          <w:numId w:val="2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2B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Уровень жизни населения</w:t>
      </w:r>
    </w:p>
    <w:p w:rsidR="00981D81" w:rsidRPr="00102B8F" w:rsidRDefault="00981D81" w:rsidP="003261BF">
      <w:pPr>
        <w:pStyle w:val="a3"/>
        <w:widowControl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0B25" w:rsidRDefault="00610B25" w:rsidP="0010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службы статистики по состоянию на 01.10.2020 среднемесячная заработная плата работников (по крупным и средним предприятиям) составила 86027,2 руб., или 105,2% к соответствующему периоду 2019 года – 81805,4 руб.</w:t>
      </w:r>
    </w:p>
    <w:p w:rsidR="00610B25" w:rsidRDefault="00610B25" w:rsidP="00A27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Среднемесячный размер пенсии одного пенсионера по данным государственного учреждения Отделение Пенсионного Фонда РФ по Ханты Мансийскому автономному округу-Югре в городе Ханты-Мансийске по состоянию на 01.10.2020 составил 21 926,42 руб. </w:t>
      </w:r>
    </w:p>
    <w:p w:rsidR="003B0FDD" w:rsidRPr="003B0FDD" w:rsidRDefault="003B0FDD" w:rsidP="003B0F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Среднедушевой доход в расчете на одного жителя города за январь-сентябрь 2020 года по предварительным данным составил 51 374,1 руб. или 102,5 % к соответствующему периоду 2019 года (50 118,3 руб.).</w:t>
      </w:r>
    </w:p>
    <w:p w:rsidR="003B0FDD" w:rsidRPr="003B0FDD" w:rsidRDefault="003B0FDD" w:rsidP="003B0F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прожиточного минимума за 3 квартал 2020 года составила:</w:t>
      </w:r>
    </w:p>
    <w:p w:rsidR="003B0FDD" w:rsidRPr="003B0FDD" w:rsidRDefault="003B0FDD" w:rsidP="003B0F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на душу населения – 16306 руб. или 106,0 % к соответствующему периоду 2019 года (15376 руб.);</w:t>
      </w:r>
    </w:p>
    <w:p w:rsidR="003B0FDD" w:rsidRPr="003B0FDD" w:rsidRDefault="003B0FDD" w:rsidP="003B0F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одного трудоспособного – 17544 руб. или 105,4% к соответствующему периоду 2019 года (16647 руб.);</w:t>
      </w:r>
    </w:p>
    <w:p w:rsidR="003B0FDD" w:rsidRPr="003B0FDD" w:rsidRDefault="003B0FDD" w:rsidP="003B0F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одного пенсионера – 13242 руб. или 104,9% к соответствующему периоду 2019 года (12625 руб.);</w:t>
      </w:r>
    </w:p>
    <w:p w:rsidR="003B0FDD" w:rsidRDefault="003B0FDD" w:rsidP="003B0F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одного ребенка – 16407 руб. или 107,8% к соответствующему периоду 2019 года (15225 руб.).</w:t>
      </w:r>
    </w:p>
    <w:p w:rsidR="00610B25" w:rsidRPr="00ED7CFC" w:rsidRDefault="00610B25" w:rsidP="001D237D">
      <w:pPr>
        <w:widowControl w:val="0"/>
        <w:tabs>
          <w:tab w:val="left" w:pos="64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EF6" w:rsidRPr="00681EF6" w:rsidRDefault="00681EF6" w:rsidP="0068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81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Ожидаемые итоги </w:t>
      </w:r>
      <w:r w:rsidRPr="00681EF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социально-экономического развития</w:t>
      </w:r>
      <w:r w:rsidR="003B0F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3B0F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br/>
        <w:t>города Ханты-Мансийска за 2020</w:t>
      </w:r>
      <w:r w:rsidRPr="00681EF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год</w:t>
      </w:r>
    </w:p>
    <w:p w:rsidR="00681EF6" w:rsidRPr="00681EF6" w:rsidRDefault="00681EF6" w:rsidP="00681EF6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81EF6" w:rsidRPr="00681EF6" w:rsidRDefault="00681EF6" w:rsidP="00681E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EF6" w:rsidRPr="00681EF6" w:rsidRDefault="00681EF6" w:rsidP="00681E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F6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оценка социально-экономической ситуации в городе Ханты</w:t>
      </w:r>
      <w:r w:rsidRPr="00681EF6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  <w:t xml:space="preserve">Мансийске до конца 2019 года будет характеризоваться </w:t>
      </w:r>
      <w:r w:rsidRPr="0068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устойчивостью и социальной стабильностью. </w:t>
      </w:r>
      <w:r w:rsidRPr="00681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1EF6" w:rsidRPr="00681EF6" w:rsidRDefault="00681EF6" w:rsidP="00681E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F6" w:rsidRPr="00681EF6" w:rsidRDefault="00681EF6" w:rsidP="00681EF6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1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Тенденции социально-экономического развития города </w:t>
      </w:r>
      <w:r w:rsidRPr="00681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до конца 2019 года </w:t>
      </w:r>
    </w:p>
    <w:p w:rsidR="00681EF6" w:rsidRPr="00681EF6" w:rsidRDefault="00681EF6" w:rsidP="00681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1EF6" w:rsidRPr="00681EF6" w:rsidRDefault="00681EF6" w:rsidP="00681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1.1.Демографическая ситуация</w:t>
      </w:r>
    </w:p>
    <w:p w:rsidR="00681EF6" w:rsidRDefault="00681EF6" w:rsidP="00681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города Ханты-Мансийска сложилась стабильная тенденция увеличения численности населения. </w:t>
      </w:r>
      <w:r w:rsidR="003B0FDD" w:rsidRPr="003B0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Среднегодовая численность населения в 2020 году ожидается на уровне 102 тыс. человек, что составляет 102% к уровню 2019 года. Коэффициент рождаемости также как и в предыдущие годы будет в 2,3 раза превышать общий коэффициент смертности.  </w:t>
      </w:r>
    </w:p>
    <w:p w:rsidR="003B0FDD" w:rsidRPr="00681EF6" w:rsidRDefault="003B0FDD" w:rsidP="00681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EF6" w:rsidRPr="00681EF6" w:rsidRDefault="00681EF6" w:rsidP="00681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1.2.Ситуация на рынке труда</w:t>
      </w:r>
    </w:p>
    <w:p w:rsidR="003B0FDD" w:rsidRDefault="003B0FDD" w:rsidP="003B0F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9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2020 году</w:t>
      </w:r>
      <w:r w:rsidRPr="002F49D0">
        <w:rPr>
          <w:rFonts w:ascii="Times New Roman" w:hAnsi="Times New Roman" w:cs="Times New Roman"/>
          <w:sz w:val="28"/>
          <w:szCs w:val="28"/>
        </w:rPr>
        <w:t xml:space="preserve">  ситуация на рынке труда будет зависеть от скорости восстановления экономики, деятельности промышленных предприятий и сектора малого и среднего бизнеса.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49D0">
        <w:rPr>
          <w:rFonts w:ascii="Times New Roman" w:hAnsi="Times New Roman" w:cs="Times New Roman"/>
          <w:sz w:val="28"/>
          <w:szCs w:val="28"/>
        </w:rPr>
        <w:t xml:space="preserve">ровень безработицы </w:t>
      </w:r>
      <w:r>
        <w:rPr>
          <w:rFonts w:ascii="Times New Roman" w:hAnsi="Times New Roman" w:cs="Times New Roman"/>
          <w:sz w:val="28"/>
          <w:szCs w:val="28"/>
        </w:rPr>
        <w:t>к концу года составит 1,7%.</w:t>
      </w:r>
    </w:p>
    <w:p w:rsidR="003B0FDD" w:rsidRPr="003B0FDD" w:rsidRDefault="003B0FDD" w:rsidP="003B0F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0FDD">
        <w:rPr>
          <w:rFonts w:ascii="Times New Roman" w:eastAsia="Calibri" w:hAnsi="Times New Roman" w:cs="Times New Roman"/>
          <w:sz w:val="28"/>
          <w:szCs w:val="28"/>
          <w:lang w:eastAsia="ru-RU"/>
        </w:rPr>
        <w:t>Учитывая меры, направленные на поддержку занятости населения, в том числе в условиях режима повышенной готовности, в прогнозном периоде численность занятых в экономике будет постепенно увеличиваться, и в 2023 году достигнет отметки 62,327 тыс. человек.</w:t>
      </w:r>
    </w:p>
    <w:p w:rsidR="003B0FDD" w:rsidRDefault="003B0FDD" w:rsidP="003B0F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EF6" w:rsidRPr="00681EF6" w:rsidRDefault="00681EF6" w:rsidP="00681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681EF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1.3.Показате</w:t>
      </w:r>
      <w:r w:rsidR="0032385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ли уровня жизни населения.</w:t>
      </w:r>
    </w:p>
    <w:p w:rsidR="001D237D" w:rsidRPr="001D237D" w:rsidRDefault="001D237D" w:rsidP="001D23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сохранится существующая структура денежных доходов населения, основной составляющей которых будет являться заработная плата.</w:t>
      </w:r>
    </w:p>
    <w:p w:rsidR="0032385E" w:rsidRPr="0032385E" w:rsidRDefault="001D237D" w:rsidP="003238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в 2020 году начисленная номинальная среднемесячная заработная плата на одного работника по крупным и средним предприятиям района составит 87 192,6 </w:t>
      </w:r>
      <w:proofErr w:type="spellStart"/>
      <w:r w:rsidRPr="001D23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1D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103% к уровню 2019 года. Увеличение связано в первую очередь с индексацией заработной платы, а также доведением минимального </w:t>
      </w:r>
      <w:proofErr w:type="gramStart"/>
      <w:r w:rsidRPr="001D23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1D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величины прожиточного минимума трудоспособного населения.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85E" w:rsidRPr="003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необходимо отметить </w:t>
      </w:r>
      <w:r w:rsidR="0032385E" w:rsidRPr="00323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незначительное замедление темпов роста заработной платы в </w:t>
      </w:r>
      <w:r w:rsidR="003238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="0032385E" w:rsidRPr="003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периоде.</w:t>
      </w:r>
    </w:p>
    <w:p w:rsidR="00681EF6" w:rsidRDefault="0032385E" w:rsidP="001D23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23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 доходов оценивается в среднем на уровне 5%</w:t>
      </w:r>
      <w:r w:rsidR="001D23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пенсионного возраста, индексация страховых пенсий темпами, превышающими инфляцию предшествующего года, пожизненное назначение дополнительной пенсии для отдельных категорий граждан позволит обеспечить ежегодное увеличение страховой пенсии неработающим пенсионерам. В результате предпринимаемых мер по совершенствованию пенсионной системы в 2020 году размер трудовой пенсии по старости одного пенсионера по оценке составит 23206,5 руб. </w:t>
      </w:r>
    </w:p>
    <w:p w:rsidR="0032385E" w:rsidRPr="00681EF6" w:rsidRDefault="0032385E" w:rsidP="00323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EF6" w:rsidRPr="00681EF6" w:rsidRDefault="00681EF6" w:rsidP="00681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F6">
        <w:rPr>
          <w:rFonts w:ascii="Times New Roman" w:eastAsia="Times New Roman" w:hAnsi="Times New Roman" w:cs="Times New Roman"/>
          <w:sz w:val="28"/>
          <w:szCs w:val="28"/>
          <w:lang w:eastAsia="ru-RU"/>
        </w:rPr>
        <w:t>1.4.Промышленность</w:t>
      </w:r>
    </w:p>
    <w:p w:rsidR="00681EF6" w:rsidRDefault="001D237D" w:rsidP="001D237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</w:t>
      </w:r>
      <w:r w:rsidRPr="001D237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труктура промышленного комплекса останется без изменений, основу промышленного производства также будут обеспечивать предприятия коммунальной сферы. По оценке в 2020 году объём промышленного производства сферы коммунального комплекса по базовому варианту составляет 15861,9 млн. рублей.</w:t>
      </w:r>
    </w:p>
    <w:p w:rsidR="001D237D" w:rsidRPr="00681EF6" w:rsidRDefault="001D237D" w:rsidP="001D23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1EF6" w:rsidRPr="00681EF6" w:rsidRDefault="00681EF6" w:rsidP="00681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F6">
        <w:rPr>
          <w:rFonts w:ascii="Times New Roman" w:eastAsia="Times New Roman" w:hAnsi="Times New Roman" w:cs="Times New Roman"/>
          <w:sz w:val="28"/>
          <w:szCs w:val="28"/>
          <w:lang w:eastAsia="ru-RU"/>
        </w:rPr>
        <w:t>1.5.Инвестиции</w:t>
      </w:r>
    </w:p>
    <w:p w:rsidR="00681EF6" w:rsidRDefault="001D237D" w:rsidP="001D23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в 2020 году объем инвестиций в основной капитал по крупным и средним предприятиям составит 31488,8 млн. рублей, что составляет 104% к 2019 году. Основную долю в структуре инвестиций по источникам финансирования составят собственные средства - 69%.</w:t>
      </w:r>
    </w:p>
    <w:p w:rsidR="001D237D" w:rsidRPr="00681EF6" w:rsidRDefault="001D237D" w:rsidP="001D23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EF6" w:rsidRPr="00681EF6" w:rsidRDefault="00681EF6" w:rsidP="00681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F6">
        <w:rPr>
          <w:rFonts w:ascii="Times New Roman" w:eastAsia="Times New Roman" w:hAnsi="Times New Roman" w:cs="Times New Roman"/>
          <w:sz w:val="28"/>
          <w:szCs w:val="28"/>
          <w:lang w:eastAsia="ru-RU"/>
        </w:rPr>
        <w:t>1.6.Малое и среднее предпринимательство</w:t>
      </w:r>
    </w:p>
    <w:p w:rsidR="00681EF6" w:rsidRDefault="001D237D" w:rsidP="00681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237D">
        <w:rPr>
          <w:rFonts w:ascii="Times New Roman" w:eastAsia="Times New Roman" w:hAnsi="Times New Roman" w:cs="Times New Roman"/>
          <w:sz w:val="28"/>
          <w:szCs w:val="28"/>
        </w:rPr>
        <w:t xml:space="preserve">Несмотря на ожидаемое к концу 2020  года незначительное снижение числа малых и средних предприятий,   обусловленное, как ограничительными мерами в связи с распространением новой </w:t>
      </w:r>
      <w:proofErr w:type="spellStart"/>
      <w:r w:rsidRPr="001D237D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1D237D">
        <w:rPr>
          <w:rFonts w:ascii="Times New Roman" w:eastAsia="Times New Roman" w:hAnsi="Times New Roman" w:cs="Times New Roman"/>
          <w:sz w:val="28"/>
          <w:szCs w:val="28"/>
        </w:rPr>
        <w:t xml:space="preserve"> инфекции, так и вступившими в 2020 году положениями законодательства Российской Федерации по исключению из государственного реестра  индивидуальных предпринимателей фактически не осуществляющих деятельность, учитывая активно  реализующиеся на территории города Ханты-Мансийска меры поддержки предпринимательства, а также комплекс мер</w:t>
      </w:r>
      <w:proofErr w:type="gramEnd"/>
      <w:r w:rsidRPr="001D237D">
        <w:rPr>
          <w:rFonts w:ascii="Times New Roman" w:eastAsia="Times New Roman" w:hAnsi="Times New Roman" w:cs="Times New Roman"/>
          <w:sz w:val="28"/>
          <w:szCs w:val="28"/>
        </w:rPr>
        <w:t>, предусмотренных национальным проектом, среднесписочная численность работников таких  предприятий возрастет  с 18 тыс. человек в 2020 году до 18,3 тыс. человек в 2023. Оборот малых и средних предприятий к концу 2019 года по оценке составит 25 870 млн. рублей.</w:t>
      </w:r>
    </w:p>
    <w:p w:rsidR="001D237D" w:rsidRPr="00681EF6" w:rsidRDefault="001D237D" w:rsidP="00681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EF6" w:rsidRPr="00681EF6" w:rsidRDefault="00681EF6" w:rsidP="00681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F6">
        <w:rPr>
          <w:rFonts w:ascii="Times New Roman" w:eastAsia="Times New Roman" w:hAnsi="Times New Roman" w:cs="Times New Roman"/>
          <w:sz w:val="28"/>
          <w:szCs w:val="28"/>
          <w:lang w:eastAsia="ru-RU"/>
        </w:rPr>
        <w:t>1.7.Развитие потребительского рынка города</w:t>
      </w:r>
    </w:p>
    <w:p w:rsidR="00681EF6" w:rsidRDefault="00681EF6" w:rsidP="00681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EF6">
        <w:rPr>
          <w:rFonts w:ascii="Times New Roman" w:eastAsia="Times New Roman" w:hAnsi="Times New Roman" w:cs="Times New Roman"/>
          <w:sz w:val="28"/>
          <w:szCs w:val="28"/>
        </w:rPr>
        <w:t>Оборот розничной торговли п</w:t>
      </w:r>
      <w:r w:rsidR="00617935">
        <w:rPr>
          <w:rFonts w:ascii="Times New Roman" w:eastAsia="Times New Roman" w:hAnsi="Times New Roman" w:cs="Times New Roman"/>
          <w:sz w:val="28"/>
          <w:szCs w:val="28"/>
        </w:rPr>
        <w:t>о всем формам проявления за 2020</w:t>
      </w:r>
      <w:r w:rsidRPr="00681EF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681EF6">
        <w:rPr>
          <w:rFonts w:ascii="Times New Roman" w:eastAsia="Times New Roman" w:hAnsi="Times New Roman" w:cs="Times New Roman"/>
          <w:sz w:val="28"/>
          <w:szCs w:val="28"/>
        </w:rPr>
        <w:br/>
        <w:t>по о</w:t>
      </w:r>
      <w:r w:rsidR="00617935">
        <w:rPr>
          <w:rFonts w:ascii="Times New Roman" w:eastAsia="Times New Roman" w:hAnsi="Times New Roman" w:cs="Times New Roman"/>
          <w:sz w:val="28"/>
          <w:szCs w:val="28"/>
        </w:rPr>
        <w:t>ценке ожидается в сумме 21147,13  млн. руб. или 102</w:t>
      </w:r>
      <w:r w:rsidRPr="00681EF6">
        <w:rPr>
          <w:rFonts w:ascii="Times New Roman" w:eastAsia="Times New Roman" w:hAnsi="Times New Roman" w:cs="Times New Roman"/>
          <w:sz w:val="28"/>
          <w:szCs w:val="28"/>
        </w:rPr>
        <w:t xml:space="preserve">% в </w:t>
      </w:r>
      <w:r w:rsidR="00617935">
        <w:rPr>
          <w:rFonts w:ascii="Times New Roman" w:eastAsia="Times New Roman" w:hAnsi="Times New Roman" w:cs="Times New Roman"/>
          <w:sz w:val="28"/>
          <w:szCs w:val="28"/>
        </w:rPr>
        <w:t>сопоставимых ценах к уровню 2019</w:t>
      </w:r>
      <w:r w:rsidRPr="00681EF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17935">
        <w:rPr>
          <w:rFonts w:ascii="Times New Roman" w:eastAsia="Times New Roman" w:hAnsi="Times New Roman" w:cs="Times New Roman"/>
          <w:sz w:val="28"/>
          <w:szCs w:val="28"/>
        </w:rPr>
        <w:t>. В связи с введением ограничительных мер наблюдается снижение темпов роста оборота розничной торговли.</w:t>
      </w:r>
      <w:r w:rsidRPr="00681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EF6" w:rsidRPr="00681EF6" w:rsidRDefault="00681EF6" w:rsidP="00681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EF6" w:rsidRPr="00681EF6" w:rsidRDefault="00681EF6" w:rsidP="00681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81EF6" w:rsidRPr="00681EF6" w:rsidRDefault="00681EF6" w:rsidP="00681EF6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основных показателей ожидаемых итогов социально</w:t>
      </w:r>
      <w:r w:rsidR="0061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-экономического развития за 2020</w:t>
      </w:r>
      <w:r w:rsidRPr="00681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81EF6" w:rsidRPr="00681EF6" w:rsidRDefault="00681EF6" w:rsidP="00681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3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61"/>
        <w:gridCol w:w="1416"/>
        <w:gridCol w:w="1466"/>
        <w:gridCol w:w="1812"/>
      </w:tblGrid>
      <w:tr w:rsidR="00681EF6" w:rsidRPr="00681EF6" w:rsidTr="008D6919">
        <w:trPr>
          <w:tblHeader/>
          <w:jc w:val="center"/>
        </w:trPr>
        <w:tc>
          <w:tcPr>
            <w:tcW w:w="2666" w:type="pct"/>
            <w:vAlign w:val="center"/>
          </w:tcPr>
          <w:p w:rsidR="00681EF6" w:rsidRPr="00681EF6" w:rsidRDefault="00681EF6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04" w:type="pct"/>
            <w:vAlign w:val="center"/>
          </w:tcPr>
          <w:p w:rsidR="00681EF6" w:rsidRPr="00681EF6" w:rsidRDefault="00617935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29" w:type="pct"/>
            <w:vAlign w:val="center"/>
          </w:tcPr>
          <w:p w:rsidR="00681EF6" w:rsidRPr="00681EF6" w:rsidRDefault="00681EF6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681EF6" w:rsidRPr="00681EF6" w:rsidRDefault="00617935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1" w:type="pct"/>
            <w:vAlign w:val="center"/>
          </w:tcPr>
          <w:p w:rsidR="00681EF6" w:rsidRPr="00681EF6" w:rsidRDefault="00617935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2019 года к 2020</w:t>
            </w:r>
            <w:r w:rsidR="00681EF6"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%</w:t>
            </w:r>
          </w:p>
        </w:tc>
      </w:tr>
      <w:tr w:rsidR="00681EF6" w:rsidRPr="00681EF6" w:rsidTr="008D6919">
        <w:trPr>
          <w:jc w:val="center"/>
        </w:trPr>
        <w:tc>
          <w:tcPr>
            <w:tcW w:w="2666" w:type="pct"/>
          </w:tcPr>
          <w:p w:rsidR="00681EF6" w:rsidRPr="00681EF6" w:rsidRDefault="00681EF6" w:rsidP="0068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деятельности, млн. рублей</w:t>
            </w:r>
          </w:p>
        </w:tc>
        <w:tc>
          <w:tcPr>
            <w:tcW w:w="704" w:type="pct"/>
            <w:vAlign w:val="center"/>
          </w:tcPr>
          <w:p w:rsidR="00681EF6" w:rsidRPr="00681EF6" w:rsidRDefault="00617935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28 296,3</w:t>
            </w:r>
          </w:p>
        </w:tc>
        <w:tc>
          <w:tcPr>
            <w:tcW w:w="729" w:type="pct"/>
            <w:vAlign w:val="center"/>
          </w:tcPr>
          <w:p w:rsidR="00681EF6" w:rsidRPr="00681EF6" w:rsidRDefault="00617935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33064,6</w:t>
            </w:r>
          </w:p>
        </w:tc>
        <w:tc>
          <w:tcPr>
            <w:tcW w:w="901" w:type="pct"/>
            <w:vAlign w:val="center"/>
          </w:tcPr>
          <w:p w:rsidR="00681EF6" w:rsidRPr="00681EF6" w:rsidRDefault="00617935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681EF6" w:rsidRPr="00681EF6" w:rsidTr="008D6919">
        <w:trPr>
          <w:jc w:val="center"/>
        </w:trPr>
        <w:tc>
          <w:tcPr>
            <w:tcW w:w="2666" w:type="pct"/>
          </w:tcPr>
          <w:p w:rsidR="00681EF6" w:rsidRPr="00681EF6" w:rsidRDefault="00681EF6" w:rsidP="0068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капитал, млн. руб.</w:t>
            </w:r>
          </w:p>
        </w:tc>
        <w:tc>
          <w:tcPr>
            <w:tcW w:w="704" w:type="pct"/>
            <w:vAlign w:val="center"/>
          </w:tcPr>
          <w:p w:rsidR="00681EF6" w:rsidRPr="00681EF6" w:rsidRDefault="00170F2F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30 277,7</w:t>
            </w:r>
          </w:p>
        </w:tc>
        <w:tc>
          <w:tcPr>
            <w:tcW w:w="729" w:type="pct"/>
            <w:vAlign w:val="center"/>
          </w:tcPr>
          <w:p w:rsidR="00681EF6" w:rsidRPr="00681EF6" w:rsidRDefault="00170F2F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31 488,8</w:t>
            </w:r>
          </w:p>
        </w:tc>
        <w:tc>
          <w:tcPr>
            <w:tcW w:w="901" w:type="pct"/>
            <w:vAlign w:val="center"/>
          </w:tcPr>
          <w:p w:rsidR="00681EF6" w:rsidRPr="00681EF6" w:rsidRDefault="00170F2F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681EF6" w:rsidRPr="00681EF6" w:rsidTr="008D6919">
        <w:trPr>
          <w:jc w:val="center"/>
        </w:trPr>
        <w:tc>
          <w:tcPr>
            <w:tcW w:w="2666" w:type="pct"/>
            <w:vAlign w:val="bottom"/>
          </w:tcPr>
          <w:p w:rsidR="00681EF6" w:rsidRPr="00681EF6" w:rsidRDefault="00681EF6" w:rsidP="0068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оборота розничной торговли, млн. руб.</w:t>
            </w:r>
          </w:p>
        </w:tc>
        <w:tc>
          <w:tcPr>
            <w:tcW w:w="704" w:type="pct"/>
            <w:vAlign w:val="center"/>
          </w:tcPr>
          <w:p w:rsidR="00681EF6" w:rsidRPr="00681EF6" w:rsidRDefault="00170F2F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20313</w:t>
            </w:r>
          </w:p>
        </w:tc>
        <w:tc>
          <w:tcPr>
            <w:tcW w:w="729" w:type="pct"/>
            <w:vAlign w:val="center"/>
          </w:tcPr>
          <w:p w:rsidR="00681EF6" w:rsidRPr="00681EF6" w:rsidRDefault="00C64E04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21147,13</w:t>
            </w:r>
          </w:p>
        </w:tc>
        <w:tc>
          <w:tcPr>
            <w:tcW w:w="901" w:type="pct"/>
            <w:vAlign w:val="center"/>
          </w:tcPr>
          <w:p w:rsidR="00681EF6" w:rsidRPr="00681EF6" w:rsidRDefault="00C64E04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681EF6" w:rsidRPr="00681EF6" w:rsidTr="008D6919">
        <w:trPr>
          <w:jc w:val="center"/>
        </w:trPr>
        <w:tc>
          <w:tcPr>
            <w:tcW w:w="2666" w:type="pct"/>
          </w:tcPr>
          <w:p w:rsidR="00681EF6" w:rsidRPr="00681EF6" w:rsidRDefault="00681EF6" w:rsidP="0068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681EF6" w:rsidRPr="00681EF6" w:rsidRDefault="00C64E04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84 653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81EF6" w:rsidRPr="00681EF6" w:rsidRDefault="00C64E04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87192,6</w:t>
            </w:r>
          </w:p>
        </w:tc>
        <w:tc>
          <w:tcPr>
            <w:tcW w:w="901" w:type="pct"/>
            <w:vAlign w:val="center"/>
          </w:tcPr>
          <w:p w:rsidR="00681EF6" w:rsidRPr="00681EF6" w:rsidRDefault="00C64E04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681EF6" w:rsidRPr="00681EF6" w:rsidTr="008D6919">
        <w:trPr>
          <w:jc w:val="center"/>
        </w:trPr>
        <w:tc>
          <w:tcPr>
            <w:tcW w:w="2666" w:type="pct"/>
            <w:vAlign w:val="bottom"/>
          </w:tcPr>
          <w:p w:rsidR="00681EF6" w:rsidRPr="00681EF6" w:rsidRDefault="00681EF6" w:rsidP="0068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Среднемесячный размер пенсии, руб.*</w:t>
            </w:r>
          </w:p>
        </w:tc>
        <w:tc>
          <w:tcPr>
            <w:tcW w:w="704" w:type="pct"/>
            <w:vAlign w:val="center"/>
          </w:tcPr>
          <w:p w:rsidR="00681EF6" w:rsidRPr="00681EF6" w:rsidRDefault="00C64E04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22 614,9</w:t>
            </w:r>
          </w:p>
        </w:tc>
        <w:tc>
          <w:tcPr>
            <w:tcW w:w="729" w:type="pct"/>
            <w:vAlign w:val="center"/>
          </w:tcPr>
          <w:p w:rsidR="00681EF6" w:rsidRPr="00C64E04" w:rsidRDefault="00C64E04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23206,5</w:t>
            </w:r>
          </w:p>
        </w:tc>
        <w:tc>
          <w:tcPr>
            <w:tcW w:w="901" w:type="pct"/>
            <w:vAlign w:val="center"/>
          </w:tcPr>
          <w:p w:rsidR="00681EF6" w:rsidRPr="00681EF6" w:rsidRDefault="00C64E04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681EF6" w:rsidRPr="00681EF6" w:rsidTr="008D6919">
        <w:trPr>
          <w:jc w:val="center"/>
        </w:trPr>
        <w:tc>
          <w:tcPr>
            <w:tcW w:w="2666" w:type="pct"/>
          </w:tcPr>
          <w:p w:rsidR="00681EF6" w:rsidRPr="00681EF6" w:rsidRDefault="00681EF6" w:rsidP="0068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Среднедушевой денежный доход, руб.</w:t>
            </w:r>
          </w:p>
        </w:tc>
        <w:tc>
          <w:tcPr>
            <w:tcW w:w="704" w:type="pct"/>
            <w:vAlign w:val="center"/>
          </w:tcPr>
          <w:p w:rsidR="00681EF6" w:rsidRPr="00681EF6" w:rsidRDefault="00C64E04" w:rsidP="00C6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50 275,21</w:t>
            </w:r>
          </w:p>
        </w:tc>
        <w:tc>
          <w:tcPr>
            <w:tcW w:w="729" w:type="pct"/>
            <w:vAlign w:val="center"/>
          </w:tcPr>
          <w:p w:rsidR="00681EF6" w:rsidRPr="00681EF6" w:rsidRDefault="00FB765F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51294,7</w:t>
            </w:r>
            <w:bookmarkStart w:id="2" w:name="_GoBack"/>
            <w:bookmarkEnd w:id="2"/>
          </w:p>
        </w:tc>
        <w:tc>
          <w:tcPr>
            <w:tcW w:w="901" w:type="pct"/>
            <w:vAlign w:val="center"/>
          </w:tcPr>
          <w:p w:rsidR="00681EF6" w:rsidRPr="00681EF6" w:rsidRDefault="00681EF6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</w:tbl>
    <w:p w:rsidR="00681EF6" w:rsidRPr="00681EF6" w:rsidRDefault="00681EF6" w:rsidP="00681EF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учета дополнительных выплат</w:t>
      </w:r>
    </w:p>
    <w:p w:rsidR="00DB1DA3" w:rsidRDefault="00DB1DA3"/>
    <w:sectPr w:rsidR="00DB1DA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86" w:rsidRDefault="00973D86" w:rsidP="00681EF6">
      <w:pPr>
        <w:spacing w:after="0" w:line="240" w:lineRule="auto"/>
      </w:pPr>
      <w:r>
        <w:separator/>
      </w:r>
    </w:p>
  </w:endnote>
  <w:endnote w:type="continuationSeparator" w:id="0">
    <w:p w:rsidR="00973D86" w:rsidRDefault="00973D86" w:rsidP="0068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o UI">
    <w:altName w:val="Segoe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86" w:rsidRDefault="00973D86" w:rsidP="00681EF6">
      <w:pPr>
        <w:spacing w:after="0" w:line="240" w:lineRule="auto"/>
      </w:pPr>
      <w:r>
        <w:separator/>
      </w:r>
    </w:p>
  </w:footnote>
  <w:footnote w:type="continuationSeparator" w:id="0">
    <w:p w:rsidR="00973D86" w:rsidRDefault="00973D86" w:rsidP="0068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94870"/>
      <w:docPartObj>
        <w:docPartGallery w:val="Page Numbers (Top of Page)"/>
        <w:docPartUnique/>
      </w:docPartObj>
    </w:sdtPr>
    <w:sdtEndPr/>
    <w:sdtContent>
      <w:p w:rsidR="00681EF6" w:rsidRDefault="00681EF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65F">
          <w:rPr>
            <w:noProof/>
          </w:rPr>
          <w:t>9</w:t>
        </w:r>
        <w:r>
          <w:fldChar w:fldCharType="end"/>
        </w:r>
      </w:p>
    </w:sdtContent>
  </w:sdt>
  <w:p w:rsidR="00681EF6" w:rsidRDefault="00681E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DFB"/>
    <w:multiLevelType w:val="hybridMultilevel"/>
    <w:tmpl w:val="0CD21EF0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2140AE"/>
    <w:multiLevelType w:val="hybridMultilevel"/>
    <w:tmpl w:val="2BEE9D0E"/>
    <w:lvl w:ilvl="0" w:tplc="94449A86">
      <w:start w:val="1"/>
      <w:numFmt w:val="bullet"/>
      <w:lvlText w:val="–"/>
      <w:lvlJc w:val="left"/>
      <w:pPr>
        <w:ind w:left="1211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B20C8D"/>
    <w:multiLevelType w:val="multilevel"/>
    <w:tmpl w:val="774884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48A076A"/>
    <w:multiLevelType w:val="hybridMultilevel"/>
    <w:tmpl w:val="1362E77C"/>
    <w:lvl w:ilvl="0" w:tplc="52E212D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DE77716"/>
    <w:multiLevelType w:val="hybridMultilevel"/>
    <w:tmpl w:val="0DF8255E"/>
    <w:lvl w:ilvl="0" w:tplc="11E03D54">
      <w:start w:val="1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E2A6AB1"/>
    <w:multiLevelType w:val="hybridMultilevel"/>
    <w:tmpl w:val="B7969D22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0B326A"/>
    <w:multiLevelType w:val="multilevel"/>
    <w:tmpl w:val="AB02E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85F5D27"/>
    <w:multiLevelType w:val="hybridMultilevel"/>
    <w:tmpl w:val="54A80FE4"/>
    <w:lvl w:ilvl="0" w:tplc="EF04FA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B9"/>
    <w:rsid w:val="000371AA"/>
    <w:rsid w:val="000573D3"/>
    <w:rsid w:val="00102B8F"/>
    <w:rsid w:val="0011688A"/>
    <w:rsid w:val="00170F2F"/>
    <w:rsid w:val="001B2578"/>
    <w:rsid w:val="001D237D"/>
    <w:rsid w:val="001E3BDB"/>
    <w:rsid w:val="002336EA"/>
    <w:rsid w:val="0027223D"/>
    <w:rsid w:val="00284CF0"/>
    <w:rsid w:val="002C0586"/>
    <w:rsid w:val="002D3059"/>
    <w:rsid w:val="002D69E8"/>
    <w:rsid w:val="002F49D0"/>
    <w:rsid w:val="002F7B90"/>
    <w:rsid w:val="0032385E"/>
    <w:rsid w:val="003261BF"/>
    <w:rsid w:val="0036388F"/>
    <w:rsid w:val="00367485"/>
    <w:rsid w:val="00375387"/>
    <w:rsid w:val="003B045D"/>
    <w:rsid w:val="003B0FDD"/>
    <w:rsid w:val="003D3909"/>
    <w:rsid w:val="003D45B9"/>
    <w:rsid w:val="0042420A"/>
    <w:rsid w:val="004315FE"/>
    <w:rsid w:val="0047380E"/>
    <w:rsid w:val="00482468"/>
    <w:rsid w:val="004845C0"/>
    <w:rsid w:val="00494F7A"/>
    <w:rsid w:val="00510B3C"/>
    <w:rsid w:val="005C7A70"/>
    <w:rsid w:val="00610B25"/>
    <w:rsid w:val="00617935"/>
    <w:rsid w:val="00631FB6"/>
    <w:rsid w:val="00665F3B"/>
    <w:rsid w:val="00681EF6"/>
    <w:rsid w:val="006F761A"/>
    <w:rsid w:val="00747D87"/>
    <w:rsid w:val="00847DE1"/>
    <w:rsid w:val="00887D42"/>
    <w:rsid w:val="008E5B4E"/>
    <w:rsid w:val="0094319F"/>
    <w:rsid w:val="00973D86"/>
    <w:rsid w:val="00981D81"/>
    <w:rsid w:val="0099591D"/>
    <w:rsid w:val="009A471F"/>
    <w:rsid w:val="00A27115"/>
    <w:rsid w:val="00A433ED"/>
    <w:rsid w:val="00A503F0"/>
    <w:rsid w:val="00A709DF"/>
    <w:rsid w:val="00A764D9"/>
    <w:rsid w:val="00AA25F7"/>
    <w:rsid w:val="00AB7C87"/>
    <w:rsid w:val="00AE65F2"/>
    <w:rsid w:val="00B376B1"/>
    <w:rsid w:val="00C4060D"/>
    <w:rsid w:val="00C60DE7"/>
    <w:rsid w:val="00C64E04"/>
    <w:rsid w:val="00D10E78"/>
    <w:rsid w:val="00D35649"/>
    <w:rsid w:val="00D53601"/>
    <w:rsid w:val="00D72CCA"/>
    <w:rsid w:val="00D92F75"/>
    <w:rsid w:val="00DB1DA3"/>
    <w:rsid w:val="00DD7B6E"/>
    <w:rsid w:val="00E359C0"/>
    <w:rsid w:val="00E76181"/>
    <w:rsid w:val="00EB432A"/>
    <w:rsid w:val="00ED7CFC"/>
    <w:rsid w:val="00F175ED"/>
    <w:rsid w:val="00F3558C"/>
    <w:rsid w:val="00F44EEB"/>
    <w:rsid w:val="00F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B9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D4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33E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A433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A433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D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9E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420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8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1EF6"/>
  </w:style>
  <w:style w:type="paragraph" w:styleId="ab">
    <w:name w:val="footer"/>
    <w:basedOn w:val="a"/>
    <w:link w:val="ac"/>
    <w:uiPriority w:val="99"/>
    <w:unhideWhenUsed/>
    <w:rsid w:val="0068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1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B9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D4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33E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A433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A433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D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9E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420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8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1EF6"/>
  </w:style>
  <w:style w:type="paragraph" w:styleId="ab">
    <w:name w:val="footer"/>
    <w:basedOn w:val="a"/>
    <w:link w:val="ac"/>
    <w:uiPriority w:val="99"/>
    <w:unhideWhenUsed/>
    <w:rsid w:val="0068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1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Малюгина Людмила Анатольевна</dc:creator>
  <cp:lastModifiedBy>Малюгина Людмила Анатольевна</cp:lastModifiedBy>
  <cp:revision>3</cp:revision>
  <cp:lastPrinted>2019-11-08T06:00:00Z</cp:lastPrinted>
  <dcterms:created xsi:type="dcterms:W3CDTF">2020-11-26T06:00:00Z</dcterms:created>
  <dcterms:modified xsi:type="dcterms:W3CDTF">2020-11-26T08:24:00Z</dcterms:modified>
</cp:coreProperties>
</file>