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4C" w:rsidRDefault="0050404C" w:rsidP="0050404C">
      <w:pPr>
        <w:jc w:val="center"/>
      </w:pPr>
      <w:r>
        <w:t xml:space="preserve">Информация </w:t>
      </w:r>
    </w:p>
    <w:p w:rsidR="0050404C" w:rsidRDefault="0050404C" w:rsidP="0050404C">
      <w:pPr>
        <w:jc w:val="center"/>
      </w:pPr>
      <w:r>
        <w:t>о деятельности муниципальной комиссии по делам несовершеннолетних и защите их прав</w:t>
      </w:r>
    </w:p>
    <w:p w:rsidR="0050404C" w:rsidRDefault="0050404C" w:rsidP="0050404C">
      <w:pPr>
        <w:jc w:val="center"/>
      </w:pPr>
      <w:r>
        <w:t xml:space="preserve"> города Ханты-Мансийска в сфере профилактики безнадзорности и </w:t>
      </w:r>
    </w:p>
    <w:p w:rsidR="0050404C" w:rsidRDefault="0050404C" w:rsidP="0050404C">
      <w:pPr>
        <w:jc w:val="center"/>
      </w:pPr>
      <w:r>
        <w:t>правонарушений несовершеннолетних в 2020 году</w:t>
      </w:r>
    </w:p>
    <w:p w:rsidR="0050404C" w:rsidRDefault="0050404C" w:rsidP="0050404C">
      <w:pPr>
        <w:jc w:val="center"/>
      </w:pPr>
    </w:p>
    <w:p w:rsidR="0050404C" w:rsidRDefault="0050404C" w:rsidP="0050404C">
      <w:pPr>
        <w:ind w:firstLine="709"/>
        <w:jc w:val="both"/>
      </w:pPr>
      <w:r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от 3 сентября 2020 года № 1037.</w:t>
      </w:r>
    </w:p>
    <w:p w:rsidR="0050404C" w:rsidRDefault="0050404C" w:rsidP="0050404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В соответствии со статьей 2 закона Ханты-Мансийского автономного округа-Югры </w:t>
      </w:r>
      <w:r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деятельность органов и учреждений системы профилактики безнадзорности и</w:t>
      </w:r>
      <w:proofErr w:type="gramEnd"/>
      <w:r>
        <w:t xml:space="preserve"> правонарушений несовершеннолетних на территории города Ханты-Мансийска по </w:t>
      </w:r>
      <w:r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50404C" w:rsidRDefault="0050404C" w:rsidP="0050404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В 2020 году проведено: </w:t>
      </w:r>
    </w:p>
    <w:p w:rsidR="0050404C" w:rsidRDefault="0050404C" w:rsidP="0050404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24 заседания муниципальной комиссии, в ходе которых рассмотрено 102 (2019 - 107) вопроса, в том числе: по профилактической работе -  84 (2019 - 90), по защите прав и законных интересов несовершеннолетних - 18 (2019 - 17);</w:t>
      </w:r>
    </w:p>
    <w:p w:rsidR="0050404C" w:rsidRDefault="0050404C" w:rsidP="0050404C">
      <w:pPr>
        <w:autoSpaceDE w:val="0"/>
        <w:autoSpaceDN w:val="0"/>
        <w:adjustRightInd w:val="0"/>
        <w:ind w:firstLine="709"/>
        <w:jc w:val="both"/>
      </w:pPr>
      <w:r>
        <w:t xml:space="preserve">12 заседаний рабочей группы </w:t>
      </w:r>
      <w:r>
        <w:rPr>
          <w:sz w:val="23"/>
          <w:szCs w:val="23"/>
        </w:rPr>
        <w:t xml:space="preserve">при муниципальной комиссии по проведению </w:t>
      </w:r>
      <w:r>
        <w:rPr>
          <w:bCs/>
          <w:iCs/>
          <w:color w:val="000000"/>
          <w:sz w:val="23"/>
          <w:szCs w:val="23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>
        <w:rPr>
          <w:sz w:val="23"/>
          <w:szCs w:val="23"/>
        </w:rPr>
        <w:t xml:space="preserve">, действующей в соответствии с </w:t>
      </w:r>
      <w:r>
        <w:rPr>
          <w:color w:val="000000"/>
          <w:sz w:val="23"/>
          <w:szCs w:val="23"/>
        </w:rPr>
        <w:t xml:space="preserve">Порядком, утвержденным </w:t>
      </w:r>
      <w:r>
        <w:rPr>
          <w:sz w:val="23"/>
          <w:szCs w:val="23"/>
        </w:rPr>
        <w:t>постановлением от 19 декабря 2019 года № 103;</w:t>
      </w:r>
    </w:p>
    <w:p w:rsidR="0050404C" w:rsidRDefault="0050404C" w:rsidP="0050404C">
      <w:pPr>
        <w:ind w:firstLine="708"/>
        <w:jc w:val="both"/>
      </w:pPr>
      <w:proofErr w:type="gramStart"/>
      <w:r>
        <w:t xml:space="preserve">1 семинар с использованием дистанционных технологий для специалистов органов и учреждений системы профилактики безнадзорности и правонарушений несовершеннолетних на тему «Современные технологии организации межведомственного взаимодействия в профилактической работе с семьями и детьми» при участии </w:t>
      </w:r>
      <w:proofErr w:type="spellStart"/>
      <w:r>
        <w:t>Спивака</w:t>
      </w:r>
      <w:proofErr w:type="spellEnd"/>
      <w:r>
        <w:t xml:space="preserve"> Александра Михайловича, председателя Правления Национального фонда защиты детей от жестокого обращения, члена Координационного совета при Правительстве Российской Федерации по проведению Десятилетия детства, члена Совета при Правительстве</w:t>
      </w:r>
      <w:proofErr w:type="gramEnd"/>
      <w:r>
        <w:t xml:space="preserve"> Российской Федерации по вопросам попечительства в социальной сфере, члена Правительственной комиссии по делам несовершеннолетних и защите их прав, члена Совета Министерства просвещения Российской Федерации по защите прав детей-сирот и детей, оставшихся без попечения родителей (14-15 декабря, охват - 25 специалистов органов и учреждений системы профилактики безнадзорности и правонарушений несовершеннолетних).</w:t>
      </w:r>
    </w:p>
    <w:p w:rsidR="0050404C" w:rsidRDefault="0050404C" w:rsidP="0050404C">
      <w:pPr>
        <w:ind w:firstLine="708"/>
        <w:jc w:val="both"/>
      </w:pPr>
      <w:r>
        <w:t xml:space="preserve">При содействии муниципальной комиссии в рамках </w:t>
      </w:r>
      <w:r>
        <w:rPr>
          <w:lang w:val="en-US"/>
        </w:rPr>
        <w:t>XI</w:t>
      </w:r>
      <w:r>
        <w:t xml:space="preserve"> Всероссийской выставки-форума «Вместе ради детей! Ключевые программы партнерства» в составе делегации Ханты-Мансийского автономного округа-Югры презентован опыт бюджетного учреждения дополнительного образования «Центр психолого-педагогической, медицинской и социальной помощи» по реализации проекта </w:t>
      </w:r>
      <w:r>
        <w:rPr>
          <w:bCs/>
        </w:rPr>
        <w:t xml:space="preserve">«Понять, принять и уберечь. Система работы по профилактике суицидального поведения в образовательных организациях города Ханты-Мансийска», направленная на </w:t>
      </w:r>
      <w:r>
        <w:t>систематизацию деятельности организаций, осуществляющих образовательную деятельность, по предупреждению суицидального поведения обучающихся, обеспечение механизма межведомственного взаимодействия по вопросам суицидальной превенции несовершеннолетних.</w:t>
      </w:r>
    </w:p>
    <w:p w:rsidR="0050404C" w:rsidRDefault="0050404C" w:rsidP="0050404C">
      <w:pPr>
        <w:ind w:right="23"/>
        <w:jc w:val="center"/>
      </w:pPr>
    </w:p>
    <w:p w:rsidR="0050404C" w:rsidRDefault="0050404C" w:rsidP="0050404C">
      <w:pPr>
        <w:ind w:right="23"/>
        <w:jc w:val="center"/>
      </w:pPr>
    </w:p>
    <w:p w:rsidR="0050404C" w:rsidRDefault="0050404C" w:rsidP="0050404C">
      <w:pPr>
        <w:ind w:right="23"/>
        <w:jc w:val="center"/>
      </w:pPr>
      <w:r>
        <w:rPr>
          <w:lang w:val="en-US"/>
        </w:rPr>
        <w:lastRenderedPageBreak/>
        <w:t>I</w:t>
      </w:r>
      <w:r>
        <w:t>. О мерах по предупреждению социального сиротства</w:t>
      </w:r>
    </w:p>
    <w:p w:rsidR="0050404C" w:rsidRDefault="0050404C" w:rsidP="0050404C">
      <w:pPr>
        <w:pStyle w:val="aa"/>
        <w:ind w:left="1428" w:right="23"/>
        <w:rPr>
          <w:color w:val="C00000"/>
        </w:rPr>
      </w:pPr>
    </w:p>
    <w:p w:rsidR="0050404C" w:rsidRDefault="0050404C" w:rsidP="0050404C">
      <w:pPr>
        <w:ind w:firstLine="709"/>
        <w:jc w:val="both"/>
      </w:pPr>
      <w:proofErr w:type="gramStart"/>
      <w:r>
        <w:t>В 2020 году в адрес управления опеки и попечительства Администрации города Ханты-Мансийска поступило 106 (2019 - 180, 2018 - 153, 2017 - 174, 2016 - 125) сообщений в отношении 204 (2019 - 376, 2018 - 325, 2017 - 328, 2016 - 229) детей, права и законные интересы которых нарушены, в том числе: от граждан - 54 (50%), бюджетного учреждения Ханты-Мансийского автономного округа-Югры «Окружная клиническая больница» - 14 (13%), организаций, осуществляющих</w:t>
      </w:r>
      <w:proofErr w:type="gramEnd"/>
      <w:r>
        <w:t xml:space="preserve"> образовательную деятельность - 13 (12%), межмуниципального отдела Министерства внутренних дел Российской Федерации «Ханты-Мансийский» -</w:t>
      </w:r>
      <w:r>
        <w:rPr>
          <w:color w:val="C00000"/>
        </w:rPr>
        <w:t xml:space="preserve"> </w:t>
      </w:r>
      <w:r>
        <w:t>9 (8%), учреждений социальной защиты населения - 4 (3%), иных организаций - 12 (11%). Подтверждено 38 фактов в 35 % случаях, в адрес муниципальной комиссии направлено 38 заключений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16 семей признаны находящимися в социально опасном положении.</w:t>
      </w:r>
    </w:p>
    <w:p w:rsidR="0050404C" w:rsidRDefault="0050404C" w:rsidP="0050404C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76200</wp:posOffset>
            </wp:positionV>
            <wp:extent cx="3090545" cy="1786255"/>
            <wp:effectExtent l="0" t="0" r="14605" b="2349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proofErr w:type="gramStart"/>
      <w:r>
        <w:t xml:space="preserve">По состоянию на 30 декабря </w:t>
      </w:r>
      <w:r>
        <w:rPr>
          <w:color w:val="000000"/>
        </w:rPr>
        <w:t xml:space="preserve">2020 года индивидуальная профилактическая работа осуществлялась в отношении 21 семьи (2019 - 20, 2018 - 25, </w:t>
      </w:r>
      <w:r>
        <w:rPr>
          <w:rFonts w:eastAsia="Calibri"/>
          <w:lang w:eastAsia="en-US"/>
        </w:rPr>
        <w:t>2017 - 20, 2016 - 16)</w:t>
      </w:r>
      <w:r>
        <w:t>,</w:t>
      </w:r>
      <w:r>
        <w:rPr>
          <w:color w:val="000000"/>
        </w:rPr>
        <w:t xml:space="preserve"> в которых воспитывается 37 детей </w:t>
      </w:r>
      <w:r>
        <w:rPr>
          <w:rFonts w:eastAsia="Calibri"/>
          <w:lang w:eastAsia="en-US"/>
        </w:rPr>
        <w:t>(2019 - 41, 2018 - 52, 2017 - 54, 2016 - 39)</w:t>
      </w:r>
      <w:r>
        <w:rPr>
          <w:color w:val="000000"/>
        </w:rPr>
        <w:t xml:space="preserve">, из них выявлено в течение 2020 года - 14 семей, состоящие на профилактическом учете более 2 лет отсутствуют. </w:t>
      </w:r>
      <w:proofErr w:type="gramEnd"/>
    </w:p>
    <w:p w:rsidR="0050404C" w:rsidRDefault="0050404C" w:rsidP="0050404C">
      <w:pPr>
        <w:pStyle w:val="20"/>
        <w:spacing w:after="0" w:line="240" w:lineRule="auto"/>
        <w:ind w:firstLine="709"/>
        <w:jc w:val="both"/>
      </w:pPr>
      <w:r>
        <w:t xml:space="preserve">В 2020 году </w:t>
      </w:r>
      <w:r>
        <w:rPr>
          <w:rFonts w:eastAsia="Calibri"/>
          <w:lang w:eastAsia="en-US"/>
        </w:rPr>
        <w:t xml:space="preserve">завершена индивидуальная профилактическая работа в отношении 14 семей, из них </w:t>
      </w:r>
      <w:r>
        <w:rPr>
          <w:lang w:eastAsia="en-US"/>
        </w:rPr>
        <w:t xml:space="preserve">по причине исправления в отношении 10 семей (2019 - 17, 2018 - 20, 2017 - 13, 2016 - 12). </w:t>
      </w:r>
    </w:p>
    <w:p w:rsidR="0050404C" w:rsidRDefault="0050404C" w:rsidP="0050404C">
      <w:pPr>
        <w:ind w:firstLine="709"/>
        <w:jc w:val="both"/>
        <w:rPr>
          <w:color w:val="000000"/>
        </w:rPr>
      </w:pPr>
      <w:r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 города Ханты-Мансийска реализуется:</w:t>
      </w:r>
    </w:p>
    <w:p w:rsidR="0050404C" w:rsidRDefault="0050404C" w:rsidP="0050404C">
      <w:pPr>
        <w:ind w:firstLine="709"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 xml:space="preserve">Межведомственный комплексный </w:t>
      </w:r>
      <w:r>
        <w:rPr>
          <w:spacing w:val="-1"/>
        </w:rPr>
        <w:t>план по профилактике социального сиротства в городе Ханты-Мансийске, направленный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новорожденных, предупреждение безнадзорности и правонарушений несовершеннолетних</w:t>
      </w:r>
      <w:proofErr w:type="gramEnd"/>
      <w:r>
        <w:rPr>
          <w:spacing w:val="-1"/>
        </w:rPr>
        <w:t xml:space="preserve"> на 2018-2020 годы</w:t>
      </w:r>
      <w:r>
        <w:t xml:space="preserve"> (утвержден постановлением от 25 января 2018 года № 9), который по итогам 2020 года признан исполненным в полном объеме (постановление от 24 декабря 2020 года № 99).</w:t>
      </w:r>
    </w:p>
    <w:p w:rsidR="0050404C" w:rsidRDefault="0050404C" w:rsidP="0050404C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Муниципальной комиссией </w:t>
      </w:r>
      <w:r>
        <w:t xml:space="preserve">в 2020 году </w:t>
      </w:r>
      <w:r>
        <w:rPr>
          <w:color w:val="000000"/>
          <w:spacing w:val="-1"/>
        </w:rPr>
        <w:t xml:space="preserve">рассмотрены вопросы: </w:t>
      </w:r>
    </w:p>
    <w:p w:rsidR="0050404C" w:rsidRDefault="0050404C" w:rsidP="0050404C">
      <w:pPr>
        <w:ind w:firstLine="709"/>
        <w:jc w:val="both"/>
      </w:pPr>
      <w:r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(постановление от 27 февраля 2020 года № 16),</w:t>
      </w:r>
    </w:p>
    <w:p w:rsidR="0050404C" w:rsidRDefault="0050404C" w:rsidP="0050404C">
      <w:pPr>
        <w:ind w:firstLine="709"/>
        <w:jc w:val="both"/>
      </w:pPr>
      <w:r>
        <w:t xml:space="preserve"> «О реализации мероприятий, направленных на профилактику социального сиротства» (постановление от 23 июля 2020 года № 61).</w:t>
      </w:r>
    </w:p>
    <w:p w:rsidR="0050404C" w:rsidRDefault="0050404C" w:rsidP="0050404C">
      <w:pPr>
        <w:ind w:firstLine="709"/>
        <w:jc w:val="both"/>
      </w:pPr>
      <w:r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организована следующая работа:</w:t>
      </w:r>
    </w:p>
    <w:p w:rsidR="0050404C" w:rsidRDefault="0050404C" w:rsidP="0050404C">
      <w:pPr>
        <w:ind w:firstLine="709"/>
        <w:jc w:val="both"/>
      </w:pPr>
      <w:r>
        <w:t>проведение</w:t>
      </w:r>
    </w:p>
    <w:p w:rsidR="0050404C" w:rsidRDefault="0050404C" w:rsidP="0050404C">
      <w:pPr>
        <w:pStyle w:val="a6"/>
        <w:spacing w:after="0"/>
        <w:ind w:firstLine="709"/>
        <w:jc w:val="both"/>
      </w:pPr>
      <w:proofErr w:type="gramStart"/>
      <w:r>
        <w:lastRenderedPageBreak/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года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опеки и попечительства Администрации города Ханты-Мансийска),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t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осуществления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rPr>
          <w:bCs/>
        </w:rPr>
        <w:t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управления опеки и попечительства Администрации города Ханты-Мансийска 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Российской Федерации «Ханты-Мансийский»).</w:t>
      </w:r>
      <w:proofErr w:type="gramEnd"/>
    </w:p>
    <w:p w:rsidR="0050404C" w:rsidRDefault="0050404C" w:rsidP="00504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За 2020 год в рамках деятельности рабочей группой при муниципальной комиссии организовано ежеквартальное проведение анализа (70) реализации</w:t>
      </w:r>
      <w:r>
        <w:rPr>
          <w:color w:val="FF0000"/>
        </w:rPr>
        <w:t xml:space="preserve"> </w:t>
      </w:r>
      <w:r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в результате которого приняты решения:</w:t>
      </w:r>
    </w:p>
    <w:p w:rsidR="0050404C" w:rsidRDefault="0050404C" w:rsidP="00504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о завершении проведения индивидуальной профилактической работы в связи с устранением причин и условий, способствующих социально опасному положению в отношении 10 семей, воспитывающих 18 детей,</w:t>
      </w:r>
    </w:p>
    <w:p w:rsidR="0050404C" w:rsidRDefault="0050404C" w:rsidP="00504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>
        <w:t xml:space="preserve">о продлении проведения индивидуальной профилактической работы с 11 семьями, находящимися в социально опасном положении, в которых воспитывается 20 детей,  </w:t>
      </w:r>
    </w:p>
    <w:p w:rsidR="0050404C" w:rsidRDefault="0050404C" w:rsidP="005040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о рассмотрении на заседании муниципальной комиссии вопроса о целесообразности лишения (ограничения) прав 4 родителей, проживающих в 3 семьях, находящихся в социально опасном положении,</w:t>
      </w:r>
      <w:r>
        <w:rPr>
          <w:i/>
        </w:rPr>
        <w:t xml:space="preserve"> </w:t>
      </w:r>
      <w:r>
        <w:t>в отношении 6 детей.</w:t>
      </w:r>
    </w:p>
    <w:p w:rsidR="0050404C" w:rsidRDefault="0050404C" w:rsidP="0050404C">
      <w:pPr>
        <w:ind w:firstLine="709"/>
        <w:jc w:val="both"/>
      </w:pPr>
      <w:r>
        <w:t>Основными причинами для продления в 2020 году индивидуальной профилактической работы с семьями, находящимися в социально опасном положении являются:</w:t>
      </w:r>
    </w:p>
    <w:p w:rsidR="0050404C" w:rsidRDefault="0050404C" w:rsidP="0050404C">
      <w:pPr>
        <w:ind w:firstLine="709"/>
        <w:jc w:val="both"/>
        <w:rPr>
          <w:color w:val="000000"/>
        </w:rPr>
      </w:pPr>
      <w:r>
        <w:t xml:space="preserve">- отсутствие постоянного места работы у родителей: </w:t>
      </w:r>
      <w:r>
        <w:rPr>
          <w:color w:val="000000"/>
        </w:rPr>
        <w:t>работают - 15, состоят на учете в центре занятости в качестве ищущих работу - 3, не работают - 8,</w:t>
      </w:r>
    </w:p>
    <w:p w:rsidR="0050404C" w:rsidRDefault="0050404C" w:rsidP="0050404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злоупотребление родителей спиртными напитками: пролечено от алкогольной зависимости - 7, </w:t>
      </w:r>
    </w:p>
    <w:p w:rsidR="0050404C" w:rsidRDefault="0050404C" w:rsidP="0050404C">
      <w:pPr>
        <w:ind w:firstLine="709"/>
        <w:jc w:val="both"/>
      </w:pPr>
      <w:proofErr w:type="gramStart"/>
      <w:r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>
        <w:rPr>
          <w:color w:val="C00000"/>
        </w:rPr>
        <w:t xml:space="preserve"> </w:t>
      </w:r>
      <w:r>
        <w:t>18 родителей, из них неоднократно - 8, выявлено 2 детей по акту выявления безнадзорного и беспризорного несовершеннолетнего, воспитывающихся в 2 семьях, находящихся в социально опасном положении,</w:t>
      </w:r>
      <w:proofErr w:type="gramEnd"/>
    </w:p>
    <w:p w:rsidR="0050404C" w:rsidRDefault="0050404C" w:rsidP="0050404C">
      <w:pPr>
        <w:ind w:firstLine="709"/>
        <w:jc w:val="both"/>
        <w:rPr>
          <w:color w:val="000000"/>
        </w:rPr>
      </w:pPr>
      <w:r>
        <w:t>- содержание детей из семей, находящихся в социально опасном положении, в государственных учреждениях: 6 детей из 4 семей, находящихся в социально опасном положении, содержатся в медицинских организациях, учреждениях для детей, нуждающихся в социальной реабилитации.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Принимаемые в 2020 году меры, </w:t>
      </w:r>
      <w:r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 же на снижение случаев отказа от новорожденных</w:t>
      </w:r>
      <w:r>
        <w:t xml:space="preserve"> способствовали:</w:t>
      </w:r>
      <w:proofErr w:type="gramEnd"/>
    </w:p>
    <w:p w:rsidR="0050404C" w:rsidRDefault="0050404C" w:rsidP="0050404C">
      <w:pPr>
        <w:ind w:firstLine="709"/>
        <w:jc w:val="both"/>
      </w:pPr>
      <w:r>
        <w:t xml:space="preserve">снижению количества </w:t>
      </w:r>
    </w:p>
    <w:p w:rsidR="0050404C" w:rsidRDefault="0050404C" w:rsidP="0050404C">
      <w:pPr>
        <w:ind w:firstLine="709"/>
        <w:jc w:val="both"/>
      </w:pPr>
      <w:r>
        <w:t>детей, оставшихся без попечения родителей, по причинам лишения либо ограничения их родителей в родительских правах (2020 - 13, 2019 - 18, 2018 - 17, 2017 - 7, 2016 - 12),</w:t>
      </w:r>
    </w:p>
    <w:p w:rsidR="0050404C" w:rsidRDefault="0050404C" w:rsidP="0050404C">
      <w:pPr>
        <w:ind w:firstLine="709"/>
        <w:jc w:val="both"/>
      </w:pPr>
      <w:r>
        <w:t>несовершеннолетних, выявленных в результате безнадзорности (2020 - 12, 2019 - 37, 2018 - 37, 2017 - 26, 2016 - 14);</w:t>
      </w:r>
    </w:p>
    <w:p w:rsidR="0050404C" w:rsidRDefault="0050404C" w:rsidP="0050404C">
      <w:pPr>
        <w:ind w:firstLine="709"/>
        <w:jc w:val="both"/>
      </w:pPr>
      <w:r>
        <w:t xml:space="preserve">отсутствию фактов </w:t>
      </w:r>
    </w:p>
    <w:p w:rsidR="0050404C" w:rsidRDefault="0050404C" w:rsidP="0050404C">
      <w:pPr>
        <w:ind w:firstLine="709"/>
        <w:jc w:val="both"/>
      </w:pPr>
      <w:r>
        <w:t>отобрания несовершеннолетних у родителей в связи с угрозой жизни и здоровью (2020 - 0, 2019 - 0, 2018 - 0, 2017 - 0, 2016 - 0),</w:t>
      </w:r>
    </w:p>
    <w:p w:rsidR="0050404C" w:rsidRDefault="0050404C" w:rsidP="0050404C">
      <w:pPr>
        <w:ind w:firstLine="709"/>
        <w:jc w:val="both"/>
      </w:pPr>
      <w:r>
        <w:t xml:space="preserve">выявления детей, оставшихся без попечения родителей, в отношении которых отменено решение об их передаче в замещающие семьи (2020 - 0, 2019 - 0, 2018 - 2, 2017 - 2, 2016 - 3), </w:t>
      </w:r>
    </w:p>
    <w:p w:rsidR="0050404C" w:rsidRDefault="0050404C" w:rsidP="0050404C">
      <w:pPr>
        <w:ind w:firstLine="709"/>
        <w:jc w:val="both"/>
      </w:pPr>
      <w:r>
        <w:t>оставления новорожденного в медицинской организации (2020 - 0, 2019 - 1, 2018 - 1, 2017 - 1, 2016 - 2);</w:t>
      </w:r>
    </w:p>
    <w:p w:rsidR="0050404C" w:rsidRDefault="0050404C" w:rsidP="0050404C">
      <w:pPr>
        <w:ind w:firstLine="709"/>
        <w:jc w:val="both"/>
      </w:pPr>
      <w:r>
        <w:t xml:space="preserve">сохранению приоритетного права на проживание в семье при устройстве детей, оставшихся без попечения родителей (2020 - 27, 2019 - 26, 2018 - 37, 2017 - 21, 2016 - 22). </w:t>
      </w:r>
    </w:p>
    <w:p w:rsidR="0050404C" w:rsidRDefault="0050404C" w:rsidP="0050404C">
      <w:pPr>
        <w:ind w:firstLine="709"/>
        <w:jc w:val="both"/>
      </w:pPr>
      <w:r>
        <w:t>Вместе с тем, в 2020 году наметилась тревожная тенденция, выразившаяся:</w:t>
      </w:r>
    </w:p>
    <w:p w:rsidR="0050404C" w:rsidRDefault="0050404C" w:rsidP="0050404C">
      <w:pPr>
        <w:ind w:firstLine="709"/>
        <w:jc w:val="both"/>
      </w:pPr>
      <w:r>
        <w:t>в отсутствии фактов восстановления в родительских правах/отмены ограничения в родительских правах родителями, в том числе из семей, находящихся в социально опасном положении (2020 - 0/0/0, 2019 - 0/0/0, 2018 - 0/0/0, 2017 - 1/0/0, 2016 - 1/0/0),</w:t>
      </w:r>
    </w:p>
    <w:p w:rsidR="0050404C" w:rsidRDefault="0050404C" w:rsidP="0050404C">
      <w:pPr>
        <w:ind w:firstLine="709"/>
        <w:jc w:val="both"/>
      </w:pPr>
      <w:r>
        <w:t>в снижении количества семей, снятых с профилактического учета в связи с положительной динамикой  (2020 - 10, 2019 - 17, 2018 - 20, 2017 - 13, 2016 - 12),</w:t>
      </w:r>
    </w:p>
    <w:p w:rsidR="0050404C" w:rsidRDefault="0050404C" w:rsidP="0050404C">
      <w:pPr>
        <w:ind w:firstLine="709"/>
        <w:jc w:val="both"/>
      </w:pPr>
      <w:r>
        <w:t>в увеличении числа лишенных родительских прав (2020 - 4, 2019 - 2, 2018 - 2, 2017 - 3, 2016 - 4) родителей из общего числа проживающих в семьях, находящихся в социально опасном положении.</w:t>
      </w:r>
    </w:p>
    <w:p w:rsidR="0050404C" w:rsidRDefault="0050404C" w:rsidP="0050404C">
      <w:pPr>
        <w:pStyle w:val="20"/>
        <w:spacing w:after="0" w:line="240" w:lineRule="auto"/>
        <w:ind w:firstLine="709"/>
        <w:jc w:val="center"/>
      </w:pPr>
    </w:p>
    <w:p w:rsidR="0050404C" w:rsidRDefault="0050404C" w:rsidP="0050404C">
      <w:pPr>
        <w:ind w:right="23"/>
        <w:jc w:val="center"/>
      </w:pPr>
      <w:r>
        <w:rPr>
          <w:lang w:val="en-US"/>
        </w:rPr>
        <w:t>II</w:t>
      </w:r>
      <w:r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50404C" w:rsidRDefault="0050404C" w:rsidP="0050404C">
      <w:pPr>
        <w:ind w:right="23"/>
        <w:jc w:val="center"/>
      </w:pPr>
      <w:r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50404C" w:rsidRDefault="0050404C" w:rsidP="0050404C">
      <w:pPr>
        <w:jc w:val="both"/>
      </w:pPr>
    </w:p>
    <w:p w:rsidR="0050404C" w:rsidRDefault="0050404C" w:rsidP="0050404C">
      <w:pPr>
        <w:ind w:firstLine="708"/>
        <w:jc w:val="both"/>
      </w:pPr>
      <w:r>
        <w:t xml:space="preserve">По состоянию на 30 декабря 2020 года на профилактическом учете межмуниципального отдела Министерства внутренних дел Российской Федерации «Ханты-Мансийский» состоят 34 несовершеннолетних, из них являются обучающимися общеобразовательных организаций - 31, учреждений профессионального образования - 2, неработающими, </w:t>
      </w:r>
      <w:proofErr w:type="spellStart"/>
      <w:r>
        <w:t>необучающимися</w:t>
      </w:r>
      <w:proofErr w:type="spellEnd"/>
      <w:r>
        <w:t xml:space="preserve"> - 1.</w:t>
      </w:r>
      <w:r>
        <w:rPr>
          <w:noProof/>
        </w:rPr>
        <w:t xml:space="preserve"> </w:t>
      </w:r>
    </w:p>
    <w:p w:rsidR="0050404C" w:rsidRDefault="0050404C" w:rsidP="0050404C">
      <w:pPr>
        <w:pStyle w:val="a4"/>
        <w:ind w:right="-2" w:firstLine="5670"/>
        <w:jc w:val="both"/>
        <w:rPr>
          <w:b w:val="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5950AA" wp14:editId="18787655">
            <wp:simplePos x="0" y="0"/>
            <wp:positionH relativeFrom="column">
              <wp:posOffset>137795</wp:posOffset>
            </wp:positionH>
            <wp:positionV relativeFrom="paragraph">
              <wp:posOffset>95250</wp:posOffset>
            </wp:positionV>
            <wp:extent cx="3057525" cy="1514475"/>
            <wp:effectExtent l="0" t="0" r="9525" b="9525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4C" w:rsidRDefault="0050404C" w:rsidP="0050404C">
      <w:pPr>
        <w:pStyle w:val="a4"/>
        <w:ind w:right="-2" w:firstLine="567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>
        <w:rPr>
          <w:b w:val="0"/>
          <w:szCs w:val="24"/>
        </w:rPr>
        <w:t>За 2020 год закончено расследование 18 преступлений (2019 - 32, 2018 - 21, 2017 - 26, 2016 - 20), совершенных 12 несовершеннолетними и при их участии (2019 - 27, 2018 - 17, 2017 - 17, 2016 - 16) на территории города Ханты-Мансийска.</w:t>
      </w:r>
    </w:p>
    <w:p w:rsidR="004A639A" w:rsidRDefault="004A639A" w:rsidP="0050404C">
      <w:pPr>
        <w:pStyle w:val="a4"/>
        <w:ind w:right="-2"/>
        <w:jc w:val="both"/>
        <w:rPr>
          <w:b w:val="0"/>
          <w:szCs w:val="24"/>
        </w:rPr>
      </w:pPr>
    </w:p>
    <w:p w:rsidR="0050404C" w:rsidRDefault="0050404C" w:rsidP="0050404C">
      <w:pPr>
        <w:pStyle w:val="a4"/>
        <w:ind w:right="-2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В 2020 году зафиксированы преступления, совершенные несовершеннолетними, по следующим статьям Уголовного кодекса Российской Федерации: </w:t>
      </w:r>
      <w:r>
        <w:rPr>
          <w:b w:val="0"/>
          <w:sz w:val="23"/>
          <w:szCs w:val="23"/>
        </w:rPr>
        <w:t>111 (</w:t>
      </w:r>
      <w:hyperlink r:id="rId7" w:history="1">
        <w:r w:rsidRPr="0050404C">
          <w:rPr>
            <w:rStyle w:val="a3"/>
            <w:b w:val="0"/>
            <w:color w:val="auto"/>
            <w:u w:val="none"/>
          </w:rPr>
          <w:t>умышленное причинение тяжкого вреда здоровью</w:t>
        </w:r>
      </w:hyperlink>
      <w:r>
        <w:rPr>
          <w:b w:val="0"/>
        </w:rPr>
        <w:t xml:space="preserve">) - 2, </w:t>
      </w:r>
      <w:r>
        <w:rPr>
          <w:b w:val="0"/>
          <w:sz w:val="23"/>
          <w:szCs w:val="23"/>
        </w:rPr>
        <w:t>112 (умышленное причинение средней тяжести вреда здоровью) - 1, 158 (кража) - 9, 161 (грабеж) - 2, 166 (</w:t>
      </w:r>
      <w:hyperlink r:id="rId8" w:history="1">
        <w:r w:rsidRPr="0050404C">
          <w:rPr>
            <w:rStyle w:val="a3"/>
            <w:b w:val="0"/>
            <w:color w:val="auto"/>
            <w:u w:val="none"/>
          </w:rPr>
          <w:t>неправомерное завладение автомобилем или иным транспортным средством без цели хищения</w:t>
        </w:r>
      </w:hyperlink>
      <w:r>
        <w:rPr>
          <w:b w:val="0"/>
          <w:szCs w:val="24"/>
        </w:rPr>
        <w:t>) - 2, 242 (</w:t>
      </w:r>
      <w:hyperlink r:id="rId9" w:history="1">
        <w:r w:rsidRPr="0050404C">
          <w:rPr>
            <w:rStyle w:val="a3"/>
            <w:b w:val="0"/>
            <w:color w:val="auto"/>
            <w:u w:val="none"/>
          </w:rPr>
          <w:t>незаконные изготовление и оборот порнографических материалов или предметов</w:t>
        </w:r>
      </w:hyperlink>
      <w:r>
        <w:rPr>
          <w:b w:val="0"/>
        </w:rPr>
        <w:t xml:space="preserve">) - 1, </w:t>
      </w:r>
      <w:r>
        <w:rPr>
          <w:b w:val="0"/>
          <w:sz w:val="23"/>
          <w:szCs w:val="23"/>
        </w:rPr>
        <w:t>318 (</w:t>
      </w:r>
      <w:hyperlink r:id="rId10" w:history="1">
        <w:r w:rsidRPr="0050404C">
          <w:rPr>
            <w:rStyle w:val="a3"/>
            <w:b w:val="0"/>
            <w:color w:val="auto"/>
            <w:u w:val="none"/>
          </w:rPr>
          <w:t>применение насилия</w:t>
        </w:r>
        <w:proofErr w:type="gramEnd"/>
        <w:r w:rsidRPr="0050404C">
          <w:rPr>
            <w:rStyle w:val="a3"/>
            <w:b w:val="0"/>
            <w:color w:val="auto"/>
            <w:u w:val="none"/>
          </w:rPr>
          <w:t xml:space="preserve"> в отношении  представителя власти</w:t>
        </w:r>
      </w:hyperlink>
      <w:r>
        <w:rPr>
          <w:b w:val="0"/>
        </w:rPr>
        <w:t>) - 1.</w:t>
      </w:r>
      <w:r>
        <w:t xml:space="preserve"> </w:t>
      </w:r>
    </w:p>
    <w:p w:rsidR="0050404C" w:rsidRDefault="0050404C" w:rsidP="0050404C">
      <w:pPr>
        <w:pStyle w:val="a4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Участниками преступлений, совершенных в 2020 году являлись: обучающиеся общеобразовательных организаций - 8, студенты организаций профессионального образования - 1, неработающие - 2, работающие - 1.</w:t>
      </w:r>
    </w:p>
    <w:p w:rsidR="0050404C" w:rsidRDefault="0050404C" w:rsidP="0050404C">
      <w:pPr>
        <w:pStyle w:val="a8"/>
        <w:spacing w:after="0"/>
        <w:ind w:left="0" w:firstLine="709"/>
        <w:jc w:val="both"/>
      </w:pPr>
      <w:r>
        <w:t xml:space="preserve">В группе совершено 5 преступлений (2019 - 8, 2018 - 6, 2017 - 8, 2016 - 2), из них: в группе с взрослыми  совершено 2  преступлений (2019 - 5, 2018 - 2, 2017 - 5, 2016 - 2), в группах, состоящих из одних несовершеннолетних - 3 (2019 - 3, 2018 - 4, 2017 - 3, 2016 - 0). </w:t>
      </w:r>
    </w:p>
    <w:p w:rsidR="0050404C" w:rsidRDefault="0050404C" w:rsidP="0050404C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38100</wp:posOffset>
            </wp:positionV>
            <wp:extent cx="2962910" cy="1877695"/>
            <wp:effectExtent l="0" t="0" r="27940" b="27305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04C" w:rsidRDefault="0050404C" w:rsidP="0050404C">
      <w:pPr>
        <w:widowControl w:val="0"/>
        <w:autoSpaceDE w:val="0"/>
        <w:autoSpaceDN w:val="0"/>
        <w:adjustRightInd w:val="0"/>
        <w:ind w:right="-2"/>
      </w:pPr>
      <w:r>
        <w:rPr>
          <w:noProof/>
        </w:rPr>
        <w:drawing>
          <wp:inline distT="0" distB="0" distL="0" distR="0">
            <wp:extent cx="3057525" cy="188595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404C" w:rsidRDefault="0050404C" w:rsidP="0050404C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</w:p>
    <w:p w:rsidR="0050404C" w:rsidRDefault="0050404C" w:rsidP="0050404C">
      <w:pPr>
        <w:widowControl w:val="0"/>
        <w:autoSpaceDE w:val="0"/>
        <w:autoSpaceDN w:val="0"/>
        <w:adjustRightInd w:val="0"/>
        <w:ind w:firstLine="709"/>
        <w:jc w:val="both"/>
      </w:pPr>
      <w:r>
        <w:t>За 2020 год совершено 13 общественно опасных деяний (2019 - 20, 2018 - 18, 2017 - 34, 2016 - 18) 9</w:t>
      </w:r>
      <w:r>
        <w:rPr>
          <w:color w:val="FF0000"/>
        </w:rPr>
        <w:t xml:space="preserve"> </w:t>
      </w:r>
      <w:r>
        <w:t>несовершеннолетними (2019 - 22, 2018 - 22, 2017 - 43, 2016 - 26). Зафиксировано 3 факта совершения 1 подростком повторных общественно опасных деяний. В отношении каждого несовершеннолетнего, совершившего общественно опасное деяние, организовано проведение индивидуальной профилактической работы.</w:t>
      </w:r>
    </w:p>
    <w:p w:rsidR="0050404C" w:rsidRDefault="0050404C" w:rsidP="0050404C">
      <w:pPr>
        <w:ind w:firstLine="709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874395</wp:posOffset>
            </wp:positionV>
            <wp:extent cx="3212465" cy="1694815"/>
            <wp:effectExtent l="0" t="0" r="26035" b="19685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lang w:eastAsia="en-US"/>
        </w:rPr>
        <w:t xml:space="preserve">Муниципальной комиссией в рамках исполнения полномочия по подготовке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решения не принимались </w:t>
      </w:r>
      <w:r>
        <w:t xml:space="preserve">(2019 - 0, 2018 - 1).  </w:t>
      </w:r>
    </w:p>
    <w:p w:rsidR="0050404C" w:rsidRDefault="0050404C" w:rsidP="0050404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течение 2020 года к административной ответственности привлечено 113 (2019 - 69, 2018 - 93, 2017 - 72, 2016 - 34) несовершеннолетних за совершение 157 (2019 - 87, 2018 - 109, 2017 - 97, 2016 - 46) административных правонарушений. </w:t>
      </w:r>
    </w:p>
    <w:p w:rsidR="0050404C" w:rsidRDefault="0050404C" w:rsidP="0050404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В структуре административных правонарушений в 2020 году преобладают следующие статьи, предусмотренные Кодексом </w:t>
      </w:r>
      <w:r>
        <w:lastRenderedPageBreak/>
        <w:t>Российской Федерации об административных правонарушениях: 20.6.1 (</w:t>
      </w:r>
      <w:hyperlink r:id="rId14" w:history="1">
        <w:r w:rsidRPr="0050404C">
          <w:rPr>
            <w:rStyle w:val="a3"/>
            <w:color w:val="auto"/>
            <w:u w:val="none"/>
          </w:rPr>
          <w:t>невыполнение правил поведения при чрезвычайной ситуации или угрозе ее возникновения</w:t>
        </w:r>
      </w:hyperlink>
      <w:r w:rsidRPr="0050404C">
        <w:rPr>
          <w:u w:val="single"/>
        </w:rPr>
        <w:t xml:space="preserve">) </w:t>
      </w:r>
      <w:r>
        <w:t xml:space="preserve">- 52,  главой 12 (административные правонарушения в области дорожного движения) - 41, статьей 20.20, часть 1 (потребление (распитие) алкогольной продукции в местах, запрещенных </w:t>
      </w:r>
      <w:hyperlink r:id="rId15" w:anchor="block_1607" w:history="1">
        <w:r w:rsidRPr="0050404C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) - 21, статьей 7.27 (мелкое хищение) - 18. </w:t>
      </w:r>
      <w:proofErr w:type="gramEnd"/>
    </w:p>
    <w:p w:rsidR="0050404C" w:rsidRDefault="0050404C" w:rsidP="0050404C">
      <w:pPr>
        <w:ind w:firstLine="709"/>
        <w:jc w:val="both"/>
      </w:pPr>
      <w:r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50404C" w:rsidRDefault="0050404C" w:rsidP="0050404C">
      <w:pPr>
        <w:ind w:firstLine="709"/>
        <w:jc w:val="both"/>
      </w:pPr>
      <w:r>
        <w:t>«Анализ состояния преступности, правонарушений среди несовершеннолетних по итогам 1 квартала, 1 полугодия, 9 месяцев, года» (постановления от 30 января 2020 года № 7, от 23 апреля 2020 года № 31, от 23 июля 2020 года № 59, от 22 октября 2020 года № 85),</w:t>
      </w:r>
    </w:p>
    <w:p w:rsidR="0050404C" w:rsidRDefault="0050404C" w:rsidP="0050404C">
      <w:pPr>
        <w:ind w:firstLine="709"/>
        <w:jc w:val="both"/>
      </w:pPr>
      <w:r>
        <w:t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родителями» (постановления от 13 февраля 2020 года № 10, от 11 июня 2020 года № 49),</w:t>
      </w:r>
    </w:p>
    <w:p w:rsidR="0050404C" w:rsidRDefault="0050404C" w:rsidP="0050404C">
      <w:pPr>
        <w:ind w:firstLine="709"/>
        <w:jc w:val="both"/>
      </w:pPr>
      <w:r>
        <w:t>«О состоянии работы по профилактике безнадзорности и правонарушений несовершеннолетних на территории города Ханты-Мансийска» (постановление от 30 января 2020 года № 8),</w:t>
      </w:r>
    </w:p>
    <w:p w:rsidR="0050404C" w:rsidRDefault="0050404C" w:rsidP="0050404C">
      <w:pPr>
        <w:ind w:firstLine="709"/>
        <w:jc w:val="both"/>
      </w:pPr>
      <w:r>
        <w:t xml:space="preserve"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13 февраля 2020 года № 11),      </w:t>
      </w:r>
    </w:p>
    <w:p w:rsidR="0050404C" w:rsidRDefault="0050404C" w:rsidP="0050404C">
      <w:pPr>
        <w:ind w:firstLine="709"/>
        <w:jc w:val="both"/>
      </w:pPr>
      <w:r>
        <w:t xml:space="preserve">«О принимаемых мерах по профилактике употребления несовершеннолетними </w:t>
      </w:r>
      <w:proofErr w:type="spellStart"/>
      <w:r>
        <w:t>психоактивных</w:t>
      </w:r>
      <w:proofErr w:type="spellEnd"/>
      <w:r>
        <w:t xml:space="preserve"> веществ, алкогольной продукции, заболеваемости несовершеннолетних наркоманией, токсикоманией» (постановление от 12 марта 2020 года № 19),   </w:t>
      </w:r>
    </w:p>
    <w:p w:rsidR="0050404C" w:rsidRDefault="0050404C" w:rsidP="0050404C">
      <w:pPr>
        <w:tabs>
          <w:tab w:val="left" w:pos="426"/>
        </w:tabs>
        <w:ind w:firstLine="709"/>
        <w:jc w:val="both"/>
      </w:pPr>
      <w:r>
        <w:t xml:space="preserve"> «Об итогах проведения специализированных мероприятий межведомственной профилактической операции «Подросток» (постановления от 11 июня 2020 года № 48, от 22 июля 2020 года № 60, от 8 октября 2020 года № 78, от 22 октября 2020 года № 84). </w:t>
      </w:r>
    </w:p>
    <w:p w:rsidR="0050404C" w:rsidRDefault="0050404C" w:rsidP="0050404C">
      <w:pPr>
        <w:ind w:firstLine="709"/>
        <w:jc w:val="both"/>
      </w:pPr>
      <w:r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50404C" w:rsidRDefault="0050404C" w:rsidP="0050404C">
      <w:pPr>
        <w:ind w:firstLine="709"/>
        <w:jc w:val="both"/>
      </w:pPr>
      <w:r>
        <w:t xml:space="preserve">организация </w:t>
      </w:r>
    </w:p>
    <w:p w:rsidR="0050404C" w:rsidRDefault="0050404C" w:rsidP="0050404C">
      <w:pPr>
        <w:ind w:firstLine="709"/>
        <w:jc w:val="both"/>
      </w:pPr>
      <w:r>
        <w:t xml:space="preserve">работы по персональному информированию родителей (законных представителей) несовершеннолетних с </w:t>
      </w:r>
      <w:proofErr w:type="spellStart"/>
      <w:r>
        <w:t>девиантным</w:t>
      </w:r>
      <w:proofErr w:type="spellEnd"/>
      <w:r>
        <w:t xml:space="preserve"> поведением, находящихся на </w:t>
      </w:r>
      <w:proofErr w:type="spellStart"/>
      <w:r>
        <w:t>внутришкольном</w:t>
      </w:r>
      <w:proofErr w:type="spellEnd"/>
      <w:r>
        <w:t xml:space="preserve"> наблюдении, в социально опасном положении, состоящих на профилактическом учете, о деятельности территориальной психолого-медико-педагогическая комиссии, содействия в оформлении пакета документов в целях проведения обследования (исполнитель - Департамент образования Администрации города Ханты-Мансийска),</w:t>
      </w:r>
    </w:p>
    <w:p w:rsidR="0050404C" w:rsidRDefault="0050404C" w:rsidP="0050404C">
      <w:pPr>
        <w:ind w:firstLine="709"/>
        <w:jc w:val="both"/>
      </w:pPr>
      <w:r>
        <w:t>публичных выступлений руководителей (сотрудников) территориального органа внутренних дел в эфире городского телевидения «Новая студия» в рамках программы «Диалог», иных средствах массовой информации в целях обсуждения вопроса о предупреждении совершения противоправных деяний несовершеннолетними (исполнитель: межмуниципального отдела Министерства внутренних дел Российской Федерации «Ханты-Мансийский»),</w:t>
      </w:r>
    </w:p>
    <w:p w:rsidR="0050404C" w:rsidRDefault="0050404C" w:rsidP="0050404C">
      <w:pPr>
        <w:ind w:firstLine="709"/>
        <w:jc w:val="both"/>
      </w:pPr>
      <w:r>
        <w:t>взаимодействия</w:t>
      </w:r>
      <w:r>
        <w:rPr>
          <w:bCs/>
        </w:rPr>
        <w:t xml:space="preserve"> с </w:t>
      </w:r>
      <w:r>
        <w:t xml:space="preserve">Общественным советом при территориальном органе внутренних дел в части проведения </w:t>
      </w:r>
      <w:r>
        <w:rPr>
          <w:bCs/>
        </w:rPr>
        <w:t xml:space="preserve">индивидуальной профилактической работы с несовершеннолетними, состоящими на профилактическом учете </w:t>
      </w:r>
      <w:r>
        <w:t>(исполнитель: межмуниципального отдела Министерства внутренних дел Российской Федерации «Ханты-Мансийский»),</w:t>
      </w:r>
    </w:p>
    <w:p w:rsidR="0050404C" w:rsidRDefault="0050404C" w:rsidP="0050404C">
      <w:pPr>
        <w:ind w:firstLine="709"/>
        <w:jc w:val="both"/>
      </w:pPr>
      <w:r>
        <w:t xml:space="preserve">проведение 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</w:t>
      </w:r>
      <w:r>
        <w:lastRenderedPageBreak/>
        <w:t xml:space="preserve">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6" w:history="1">
        <w:r w:rsidRPr="004A639A">
          <w:rPr>
            <w:rStyle w:val="a3"/>
            <w:color w:val="auto"/>
            <w:u w:val="none"/>
          </w:rPr>
          <w:t>принудительных мер</w:t>
        </w:r>
      </w:hyperlink>
      <w:r w:rsidRPr="004A639A">
        <w:t xml:space="preserve"> </w:t>
      </w:r>
      <w:r>
        <w:t>воспитательного воздействия, осужденных к мерам наказания, не связанным с лишением свободы с целью осуществления контроля</w:t>
      </w:r>
      <w:bookmarkStart w:id="0" w:name="_GoBack"/>
      <w:bookmarkEnd w:id="0"/>
      <w:r>
        <w:t xml:space="preserve"> за времяпровождением подростков, организацией их досуга (исполнители - Ханты-Мансийский межмуниципальный филиал</w:t>
      </w:r>
      <w:proofErr w:type="gramEnd"/>
      <w:r>
        <w:t xml:space="preserve"> </w:t>
      </w:r>
      <w:proofErr w:type="gramStart"/>
      <w:r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t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- Управление физической культуры, спорта и молодежной политики Администрации города Ханты-Мансийска),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Администрации города Ханты-Мансийска),</w:t>
      </w:r>
      <w:proofErr w:type="gramEnd"/>
    </w:p>
    <w:p w:rsidR="0050404C" w:rsidRDefault="0050404C" w:rsidP="0050404C">
      <w:pPr>
        <w:ind w:firstLine="709"/>
        <w:jc w:val="both"/>
        <w:rPr>
          <w:color w:val="C00000"/>
        </w:rPr>
      </w:pPr>
      <w:r>
        <w:t xml:space="preserve">профилактических мероприятий в общеобразовательных организациях, направленных </w:t>
      </w:r>
      <w:r>
        <w:rPr>
          <w:sz w:val="23"/>
          <w:szCs w:val="23"/>
        </w:rPr>
        <w:t xml:space="preserve">на профилактику противоправных и антиобщественных действий, формирование навыков здорового образа жизни и законопослушного поведения, в классных коллективах, обучающиеся которых являются несовершеннолетними,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«Ханты-Мансийский» </w:t>
      </w:r>
      <w:r>
        <w:t>(исполнитель - Департамент образования Администрации города Ханты-Мансийска),</w:t>
      </w:r>
    </w:p>
    <w:p w:rsidR="0050404C" w:rsidRDefault="0050404C" w:rsidP="0050404C">
      <w:pPr>
        <w:ind w:firstLine="709"/>
        <w:jc w:val="both"/>
      </w:pPr>
      <w:r>
        <w:t xml:space="preserve">единых дней профилактики в организациях, осуществляющих образовательную деятельность,,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>
        <w:t>обучающимися</w:t>
      </w:r>
      <w:proofErr w:type="gramEnd"/>
      <w:r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 (исполнитель - Департамент образования Администрации города Ханты-Мансийска), </w:t>
      </w:r>
    </w:p>
    <w:p w:rsidR="0050404C" w:rsidRDefault="0050404C" w:rsidP="0050404C">
      <w:pPr>
        <w:ind w:firstLine="709"/>
        <w:jc w:val="both"/>
      </w:pPr>
      <w:r>
        <w:t xml:space="preserve">анализа </w:t>
      </w:r>
      <w:proofErr w:type="gramStart"/>
      <w:r>
        <w:t>эффективности реализации планов воспитательной работы двух общеобразовательных организаций</w:t>
      </w:r>
      <w:proofErr w:type="gramEnd"/>
      <w:r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>
        <w:t>девиантным</w:t>
      </w:r>
      <w:proofErr w:type="spellEnd"/>
      <w:r>
        <w:t xml:space="preserve"> поведением, принятия мер по совершенствованию работы в данном направлении деятельности (исполнитель - Департамент образования Администрации города Ханты-Мансийска),</w:t>
      </w:r>
    </w:p>
    <w:p w:rsidR="0050404C" w:rsidRDefault="0050404C" w:rsidP="0050404C">
      <w:pPr>
        <w:ind w:firstLine="709"/>
        <w:jc w:val="both"/>
      </w:pPr>
      <w:proofErr w:type="gramStart"/>
      <w:r>
        <w:t>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 учреждений, распространения информационных материалов («памятки», листовки, буклеты) о внедрении в молодежной среде субкультуры, ориентированной на применение в повседневной жизни</w:t>
      </w:r>
      <w:proofErr w:type="gramEnd"/>
      <w:r>
        <w:t xml:space="preserve"> стиля общения и «законов» криминального мира (исполнители - межмуниципальный отдел Министерства внутренних дел Российской Федерации «Ханты-Мансийский», филиал ФКУ УИИ УФСИН России по Ханты-Мансийскому автономному округу-Югре).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способствующих совершению преступлений, антиобщественных действий </w:t>
      </w:r>
      <w:r>
        <w:lastRenderedPageBreak/>
        <w:t>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противоправное деяние», всего за 2020 год индивидуальная профилактическая работа организована в отношении</w:t>
      </w:r>
      <w:proofErr w:type="gramEnd"/>
      <w:r>
        <w:t xml:space="preserve"> 44 несовершеннолетних, совершивших противоправные деяния (общественно опасные деяния, преступления), самовольные уходы.</w:t>
      </w:r>
    </w:p>
    <w:p w:rsidR="0050404C" w:rsidRDefault="0050404C" w:rsidP="0050404C">
      <w:pPr>
        <w:ind w:firstLine="709"/>
        <w:jc w:val="both"/>
      </w:pPr>
      <w:r>
        <w:t>В рамках деятельности рабочей группы при муниципальной комиссии в 2020 году осуществлен ежеквартальный анализ (120) эффективности реализуемых запланированных профилактических, реабилитационных мероприятий в отношении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процесса.</w:t>
      </w:r>
    </w:p>
    <w:p w:rsidR="0050404C" w:rsidRDefault="0050404C" w:rsidP="0050404C">
      <w:pPr>
        <w:suppressAutoHyphens/>
        <w:ind w:firstLine="709"/>
        <w:jc w:val="both"/>
      </w:pPr>
      <w:proofErr w:type="gramStart"/>
      <w:r>
        <w:t xml:space="preserve">В соответствии с постановлением муниципальной комиссии по делам несовершеннолетних и защите их прав города Ханты-Мансийска от 23 апреля 2020 года № 33 </w:t>
      </w:r>
      <w:r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>
        <w:rPr>
          <w:b/>
        </w:rPr>
        <w:t>»</w:t>
      </w:r>
      <w:r>
        <w:t xml:space="preserve"> в целях предупреждения безнадзорности, правонарушений несовершеннолетних и защиты их прав в период с 1 июня по 1 октября 2020 года проводилась межведомственная профилактическая операция «Подросток».</w:t>
      </w:r>
      <w:proofErr w:type="gramEnd"/>
    </w:p>
    <w:p w:rsidR="0050404C" w:rsidRDefault="0050404C" w:rsidP="0050404C">
      <w:pPr>
        <w:suppressAutoHyphens/>
        <w:ind w:firstLine="709"/>
        <w:jc w:val="both"/>
        <w:rPr>
          <w:bCs/>
        </w:rPr>
      </w:pPr>
      <w:r>
        <w:rPr>
          <w:bCs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50404C" w:rsidRDefault="0050404C" w:rsidP="0050404C">
      <w:pPr>
        <w:suppressAutoHyphens/>
        <w:ind w:firstLine="709"/>
        <w:jc w:val="both"/>
      </w:pPr>
      <w:r>
        <w:rPr>
          <w:bCs/>
        </w:rPr>
        <w:t>снижение</w:t>
      </w:r>
      <w:r>
        <w:t xml:space="preserve"> (стабилизации) количества</w:t>
      </w:r>
    </w:p>
    <w:p w:rsidR="0050404C" w:rsidRDefault="0050404C" w:rsidP="0050404C">
      <w:pPr>
        <w:suppressAutoHyphens/>
        <w:ind w:firstLine="709"/>
        <w:jc w:val="both"/>
      </w:pPr>
      <w:r>
        <w:t>- возбужденных дел в отношении несовершеннолетних, совершивших  преступления - 0 (</w:t>
      </w:r>
      <w:proofErr w:type="spellStart"/>
      <w:r>
        <w:t>аппг</w:t>
      </w:r>
      <w:proofErr w:type="spellEnd"/>
      <w:r>
        <w:t xml:space="preserve"> - 6),</w:t>
      </w:r>
    </w:p>
    <w:p w:rsidR="0050404C" w:rsidRDefault="0050404C" w:rsidP="0050404C">
      <w:pPr>
        <w:suppressAutoHyphens/>
        <w:ind w:firstLine="709"/>
        <w:jc w:val="both"/>
      </w:pPr>
      <w:r>
        <w:t>- выявленных безнадзорных несовершеннолетних - 4 (</w:t>
      </w:r>
      <w:proofErr w:type="spellStart"/>
      <w:r>
        <w:t>аппг</w:t>
      </w:r>
      <w:proofErr w:type="spellEnd"/>
      <w:r>
        <w:t xml:space="preserve"> - 4),</w:t>
      </w:r>
    </w:p>
    <w:p w:rsidR="0050404C" w:rsidRDefault="0050404C" w:rsidP="0050404C">
      <w:pPr>
        <w:suppressAutoHyphens/>
        <w:ind w:firstLine="709"/>
        <w:jc w:val="both"/>
      </w:pPr>
      <w:r>
        <w:t>- фактов самовольных уходов, совершенных несовершеннолетними из семьи - 3 (</w:t>
      </w:r>
      <w:proofErr w:type="spellStart"/>
      <w:r>
        <w:t>аппг</w:t>
      </w:r>
      <w:proofErr w:type="spellEnd"/>
      <w:r>
        <w:t xml:space="preserve"> - 3);</w:t>
      </w:r>
    </w:p>
    <w:p w:rsidR="0050404C" w:rsidRDefault="0050404C" w:rsidP="0050404C">
      <w:pPr>
        <w:suppressAutoHyphens/>
        <w:ind w:firstLine="709"/>
        <w:jc w:val="both"/>
        <w:rPr>
          <w:bCs/>
        </w:rPr>
      </w:pPr>
      <w:r>
        <w:rPr>
          <w:rFonts w:eastAsia="Calibri"/>
        </w:rPr>
        <w:t>создание условий для организации трудоустройства несовершеннолетних, нуждающихся в особой заботе государства, всего трудоустроено 115 несовершеннолетних данной категории, из них 15 подростков из числа состоящих на профилактическом учете территориального органа внутренних дел,</w:t>
      </w:r>
    </w:p>
    <w:p w:rsidR="0050404C" w:rsidRDefault="0050404C" w:rsidP="0050404C">
      <w:pPr>
        <w:pStyle w:val="a4"/>
        <w:suppressAutoHyphens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обеспечение охвата различными формами занятости</w:t>
      </w:r>
    </w:p>
    <w:p w:rsidR="0050404C" w:rsidRDefault="0050404C" w:rsidP="0050404C">
      <w:pPr>
        <w:pStyle w:val="a4"/>
        <w:suppressAutoHyphens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50404C" w:rsidRDefault="0050404C" w:rsidP="0050404C">
      <w:pPr>
        <w:pStyle w:val="a4"/>
        <w:suppressAutoHyphens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50404C" w:rsidRDefault="0050404C" w:rsidP="0050404C">
      <w:pPr>
        <w:pStyle w:val="a4"/>
        <w:suppressAutoHyphens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устранение социально опасного положения по причине исправления ситуации в 1 семье, в которой воспитывается 3 детей;</w:t>
      </w:r>
    </w:p>
    <w:p w:rsidR="0050404C" w:rsidRDefault="0050404C" w:rsidP="0050404C">
      <w:pPr>
        <w:pStyle w:val="a6"/>
        <w:suppressAutoHyphens/>
        <w:spacing w:after="0"/>
        <w:ind w:firstLine="709"/>
        <w:jc w:val="both"/>
      </w:pPr>
      <w:r>
        <w:t>сохранение приоритетного права на проживание в семье при устройстве детей, оставшихся без попечения родителей;</w:t>
      </w:r>
    </w:p>
    <w:p w:rsidR="0050404C" w:rsidRDefault="0050404C" w:rsidP="0050404C">
      <w:pPr>
        <w:pStyle w:val="a6"/>
        <w:suppressAutoHyphens/>
        <w:spacing w:after="0"/>
        <w:ind w:firstLine="709"/>
        <w:jc w:val="both"/>
      </w:pPr>
      <w:r>
        <w:t>отсутствие случаев изъятия детей из семей в связи с угрозой их жизни и здоровью;</w:t>
      </w:r>
    </w:p>
    <w:p w:rsidR="0050404C" w:rsidRDefault="0050404C" w:rsidP="0050404C">
      <w:pPr>
        <w:pStyle w:val="a6"/>
        <w:suppressAutoHyphens/>
        <w:spacing w:after="0"/>
        <w:ind w:firstLine="709"/>
        <w:jc w:val="both"/>
      </w:pPr>
      <w:r>
        <w:t>недопущение чрезвычайных происшествий с детьми, повлекших гибель несовершеннолетних.</w:t>
      </w:r>
    </w:p>
    <w:p w:rsidR="0050404C" w:rsidRDefault="0050404C" w:rsidP="0050404C">
      <w:pPr>
        <w:ind w:firstLine="709"/>
        <w:jc w:val="both"/>
      </w:pPr>
      <w:r>
        <w:t xml:space="preserve">Принимаемые в 2020 году меры, </w:t>
      </w:r>
      <w:r>
        <w:rPr>
          <w:spacing w:val="-1"/>
        </w:rPr>
        <w:t xml:space="preserve">направленные на </w:t>
      </w:r>
      <w:r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50404C" w:rsidRDefault="0050404C" w:rsidP="0050404C">
      <w:pPr>
        <w:ind w:firstLine="709"/>
        <w:jc w:val="both"/>
      </w:pPr>
      <w:r>
        <w:t xml:space="preserve">снижению (стабилизации): </w:t>
      </w:r>
    </w:p>
    <w:p w:rsidR="0050404C" w:rsidRDefault="0050404C" w:rsidP="0050404C">
      <w:pPr>
        <w:ind w:firstLine="709"/>
        <w:jc w:val="both"/>
      </w:pPr>
      <w:r>
        <w:t>- уровня преступности несовершеннолетних (2020 - 18, 2019 - 32, 2018 - 21) и числа их участников (2020 - 12, 2019 - 27, 2018 - 17),</w:t>
      </w:r>
    </w:p>
    <w:p w:rsidR="0050404C" w:rsidRDefault="0050404C" w:rsidP="0050404C">
      <w:pPr>
        <w:ind w:firstLine="709"/>
        <w:jc w:val="both"/>
      </w:pPr>
      <w:r>
        <w:t xml:space="preserve">- количества общественно опасных деяний (2020 - 13, 2019 - 20, 2018 - 18), и числа их участников (2020 - 9, 2019 - 22, 2018- 21), </w:t>
      </w:r>
    </w:p>
    <w:p w:rsidR="0050404C" w:rsidRDefault="0050404C" w:rsidP="0050404C">
      <w:pPr>
        <w:ind w:firstLine="709"/>
        <w:jc w:val="both"/>
      </w:pPr>
      <w:r>
        <w:t xml:space="preserve">- числа несовершеннолетних, не посещающих, систематически пропускающих учебные занятия по неуважительным причинам в общеобразовательных организациях (2020 </w:t>
      </w:r>
      <w:r>
        <w:lastRenderedPageBreak/>
        <w:t>(по состоянию на 30 декабря) -3, 2019 (по состоянию на 30  декабря)</w:t>
      </w:r>
      <w:r>
        <w:rPr>
          <w:color w:val="FF0000"/>
        </w:rPr>
        <w:t xml:space="preserve"> </w:t>
      </w:r>
      <w:r>
        <w:t>- 4, 2018 (по состоянию на 30 декабря) - 10),</w:t>
      </w:r>
    </w:p>
    <w:p w:rsidR="0050404C" w:rsidRDefault="0050404C" w:rsidP="0050404C">
      <w:pPr>
        <w:ind w:firstLine="709"/>
        <w:jc w:val="both"/>
      </w:pPr>
      <w:r>
        <w:t>- количества несовершеннолетних, охваченных трудоустройством (2020 - 649, 2019 - 820, 2018 - 730),</w:t>
      </w:r>
      <w:r>
        <w:rPr>
          <w:color w:val="FF0000"/>
        </w:rPr>
        <w:t xml:space="preserve"> </w:t>
      </w:r>
      <w:r>
        <w:t>в том числе находящихся в социально опасном положении (2020 - 23, 2019 - 26, 2018 - 30).</w:t>
      </w:r>
    </w:p>
    <w:p w:rsidR="0050404C" w:rsidRDefault="0050404C" w:rsidP="0050404C">
      <w:pPr>
        <w:ind w:firstLine="709"/>
        <w:jc w:val="both"/>
      </w:pPr>
      <w:r>
        <w:t xml:space="preserve">Вместе с тем, в 2020 году наметилась тревожная тенденция, выразившаяся в увеличении количества: </w:t>
      </w:r>
    </w:p>
    <w:p w:rsidR="0050404C" w:rsidRDefault="0050404C" w:rsidP="0050404C">
      <w:pPr>
        <w:ind w:firstLine="709"/>
        <w:jc w:val="both"/>
      </w:pPr>
      <w:r>
        <w:t>- административных правонарушений, совершенных несовершеннолетними (2020 -157,  2019 - 87, 2018 - 109), и числа их участников (2020 - 113, 2019 - 69, 2018 - 93).</w:t>
      </w:r>
    </w:p>
    <w:p w:rsidR="0050404C" w:rsidRDefault="0050404C" w:rsidP="0050404C">
      <w:pPr>
        <w:pStyle w:val="aa"/>
        <w:ind w:left="0" w:right="23"/>
        <w:jc w:val="center"/>
      </w:pPr>
    </w:p>
    <w:p w:rsidR="0050404C" w:rsidRDefault="0050404C" w:rsidP="0050404C">
      <w:pPr>
        <w:pStyle w:val="aa"/>
        <w:ind w:left="0" w:right="23"/>
        <w:jc w:val="center"/>
      </w:pPr>
      <w:r>
        <w:rPr>
          <w:lang w:val="en-US"/>
        </w:rPr>
        <w:t>III</w:t>
      </w:r>
      <w:r>
        <w:t>. О мерах по предупреждению</w:t>
      </w:r>
    </w:p>
    <w:p w:rsidR="0050404C" w:rsidRDefault="0050404C" w:rsidP="0050404C">
      <w:pPr>
        <w:pStyle w:val="aa"/>
        <w:ind w:left="0" w:right="23"/>
        <w:jc w:val="center"/>
      </w:pPr>
      <w:r>
        <w:t>чрезвычайных происшествий с несовершеннолетними</w:t>
      </w:r>
    </w:p>
    <w:p w:rsidR="0050404C" w:rsidRDefault="0050404C" w:rsidP="0050404C">
      <w:pPr>
        <w:ind w:right="23"/>
      </w:pPr>
    </w:p>
    <w:p w:rsidR="0050404C" w:rsidRDefault="0050404C" w:rsidP="0050404C">
      <w:pPr>
        <w:ind w:firstLine="709"/>
        <w:jc w:val="both"/>
        <w:rPr>
          <w:color w:val="000000"/>
        </w:rPr>
      </w:pPr>
      <w:r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в 2020 году реализуются:</w:t>
      </w:r>
    </w:p>
    <w:p w:rsidR="0050404C" w:rsidRDefault="0050404C" w:rsidP="0050404C">
      <w:pPr>
        <w:ind w:firstLine="709"/>
        <w:jc w:val="both"/>
      </w:pPr>
      <w:r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6 июня 2019 года № 53),</w:t>
      </w:r>
    </w:p>
    <w:p w:rsidR="0050404C" w:rsidRDefault="0050404C" w:rsidP="0050404C">
      <w:pPr>
        <w:ind w:firstLine="709"/>
        <w:jc w:val="both"/>
      </w:pPr>
      <w:r>
        <w:t>комплексный план по профилактике суицидов (суицидальных попыток) среди несовершеннолетних на территории города Ханты-Мансийска на 2018-2020 годы (утвержден постановлением от 25 января 2018 года № 9), который по итогам 2020 года признан исполненным в полном объеме (постановление от 24 декабря 2020 года № 99).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С 2018 года осуществляется ежеквартальный мониторинг оперативной ситуации по линии несовершеннолетних на территории города Ханты-Мансийска (новая форма мониторинга утверждена постановлением от 11 июня 2020 года № 50), обеспечивается рассмотрение его результатов на заседаниях муниципальной комиссии (постановления от 9 апреля 2020 года № 26, от 9 июля 2020 года № 56, от 8 октября 2020 года № 79). </w:t>
      </w:r>
      <w:proofErr w:type="gramEnd"/>
    </w:p>
    <w:p w:rsidR="0050404C" w:rsidRDefault="0050404C" w:rsidP="0050404C">
      <w:pPr>
        <w:ind w:firstLine="709"/>
        <w:jc w:val="both"/>
      </w:pPr>
      <w:r>
        <w:t>Анализ оперативной ситуации по линии несовершеннолетних на территории города Ханты-Мансийска по итогам 2020 года в сравнении с аналогичным периодом прошлого года свидетельствует о следующем:</w:t>
      </w:r>
    </w:p>
    <w:p w:rsidR="0050404C" w:rsidRDefault="0050404C" w:rsidP="0050404C">
      <w:pPr>
        <w:ind w:firstLine="709"/>
        <w:jc w:val="both"/>
      </w:pPr>
      <w:r>
        <w:t>отмечается снижение количества детей, получивших травмы с 3206 до 2799, в том числе  бытовые с 3044 до 2632, вместе с тем, их уровень остается высоким (94%), кроме того, зафиксировано увеличение числа несовершеннолетних,</w:t>
      </w:r>
    </w:p>
    <w:p w:rsidR="0050404C" w:rsidRDefault="0050404C" w:rsidP="0050404C">
      <w:pPr>
        <w:ind w:firstLine="709"/>
        <w:jc w:val="both"/>
      </w:pPr>
      <w:r>
        <w:t xml:space="preserve"> травмированных по собственной вине в результате дорожно-транспортных происшествий с 8 до 11, всего транспортные травмы получил 31/31 ребенок, </w:t>
      </w:r>
    </w:p>
    <w:p w:rsidR="0050404C" w:rsidRDefault="0050404C" w:rsidP="0050404C">
      <w:pPr>
        <w:ind w:firstLine="709"/>
        <w:jc w:val="both"/>
      </w:pPr>
      <w:r>
        <w:t>получивших тяжкий вред здоровью в результате внешних управляемых причин (выпадение из окна) с 0 до 1 (несовершеннолетний, 2017 года рождения, неорганизованный);</w:t>
      </w:r>
    </w:p>
    <w:p w:rsidR="0050404C" w:rsidRDefault="0050404C" w:rsidP="0050404C">
      <w:pPr>
        <w:ind w:firstLine="709"/>
        <w:jc w:val="both"/>
      </w:pPr>
      <w:r>
        <w:t xml:space="preserve">остался на прежнем уровне показатель умерших несовершеннолетних - 8, из числа которых 5 детей скончались в младенческом возрасте, в результате заболевания - 2, в том числе зафиксирован факт гибели 1 ребенка (несовершеннолетний, 2016 года рождения, организованный) от внешних управляемых причин (выпадение из окна); </w:t>
      </w:r>
    </w:p>
    <w:p w:rsidR="0050404C" w:rsidRDefault="0050404C" w:rsidP="0050404C">
      <w:pPr>
        <w:ind w:firstLine="709"/>
        <w:jc w:val="both"/>
      </w:pPr>
      <w:r>
        <w:t>уменьшились случаи суицидальных проявлений несовершеннолетних с 3 до 2, из них 1 несовершеннолетний воспитывается в замещающей семье;</w:t>
      </w:r>
    </w:p>
    <w:p w:rsidR="0050404C" w:rsidRDefault="0050404C" w:rsidP="0050404C">
      <w:pPr>
        <w:ind w:firstLine="709"/>
        <w:jc w:val="both"/>
      </w:pPr>
      <w:r>
        <w:t>остается стабильной ситуация по фиксированным случаям беременности (3/11), родов (7/6) и абортов (6/5) несовершеннолетних;</w:t>
      </w:r>
    </w:p>
    <w:p w:rsidR="0050404C" w:rsidRDefault="0050404C" w:rsidP="0050404C">
      <w:pPr>
        <w:ind w:firstLine="709"/>
        <w:jc w:val="both"/>
      </w:pPr>
      <w:r>
        <w:t xml:space="preserve">зафиксировано снижение количества преступлений, совершенных несовершеннолетними, с 18 до 12 и числа их участников с 27 до 12; </w:t>
      </w:r>
    </w:p>
    <w:p w:rsidR="0050404C" w:rsidRDefault="0050404C" w:rsidP="0050404C">
      <w:pPr>
        <w:ind w:firstLine="709"/>
        <w:jc w:val="both"/>
      </w:pPr>
      <w:r>
        <w:t>наметилась тенденция к снижению количества общественно опасных деяний с 20</w:t>
      </w:r>
      <w:r>
        <w:rPr>
          <w:color w:val="C00000"/>
        </w:rPr>
        <w:t xml:space="preserve"> </w:t>
      </w:r>
      <w:r>
        <w:t>до 13, числа их участников с 22 до 9;</w:t>
      </w:r>
    </w:p>
    <w:p w:rsidR="0050404C" w:rsidRDefault="0050404C" w:rsidP="0050404C">
      <w:pPr>
        <w:ind w:firstLine="709"/>
        <w:jc w:val="both"/>
      </w:pPr>
      <w:r>
        <w:lastRenderedPageBreak/>
        <w:t>зарегистрировано 31 преступление, совершенное в отношении несовершеннолетних, в их числе: преступления против жизни и здоровья - 9, против здоровья населения и общественной нравственности - 2, против половой неприкосновенности - 3;</w:t>
      </w:r>
    </w:p>
    <w:p w:rsidR="0050404C" w:rsidRDefault="0050404C" w:rsidP="0050404C">
      <w:pPr>
        <w:ind w:firstLine="709"/>
        <w:jc w:val="both"/>
      </w:pPr>
      <w:r>
        <w:t xml:space="preserve">отмечается снижение зафиксированных фактов самовольных уходов с 41 до 19, </w:t>
      </w:r>
      <w:proofErr w:type="gramStart"/>
      <w:r>
        <w:t>из</w:t>
      </w:r>
      <w:proofErr w:type="gramEnd"/>
      <w:r>
        <w:t>:</w:t>
      </w:r>
    </w:p>
    <w:p w:rsidR="0050404C" w:rsidRDefault="0050404C" w:rsidP="0050404C">
      <w:pPr>
        <w:ind w:firstLine="709"/>
        <w:jc w:val="both"/>
      </w:pPr>
      <w:r>
        <w:t xml:space="preserve">семей с 20 до 15, совершенных 11 несовершеннолетними, из них 3 несовершеннолетних совершили самовольные уходы повторно, в 5 случаях самовольные уходы совершены 3 несовершеннолетними, воспитывающимися в замещающих семьях, </w:t>
      </w:r>
    </w:p>
    <w:p w:rsidR="0050404C" w:rsidRDefault="0050404C" w:rsidP="0050404C">
      <w:pPr>
        <w:ind w:firstLine="709"/>
        <w:jc w:val="both"/>
      </w:pPr>
      <w:r>
        <w:t>государственных учреждений с 21 до 4, совершенных 3 несовершеннолетними;</w:t>
      </w:r>
    </w:p>
    <w:p w:rsidR="0050404C" w:rsidRDefault="0050404C" w:rsidP="0050404C">
      <w:pPr>
        <w:ind w:firstLine="709"/>
        <w:jc w:val="both"/>
      </w:pPr>
      <w:r>
        <w:t xml:space="preserve">зафиксировано незначительное увеличение количества случаев групповых заболеваний детей с 353 до 358, вместе с тем, отмечается уменьшение числа выявленных фактов заболеваний педикулезом с 89 до 30, заболеваний, передающихся половым путем, с 4 </w:t>
      </w:r>
      <w:proofErr w:type="gramStart"/>
      <w:r>
        <w:t>до</w:t>
      </w:r>
      <w:proofErr w:type="gramEnd"/>
      <w:r>
        <w:t xml:space="preserve"> 2;</w:t>
      </w:r>
    </w:p>
    <w:p w:rsidR="0050404C" w:rsidRDefault="0050404C" w:rsidP="0050404C">
      <w:pPr>
        <w:ind w:firstLine="709"/>
        <w:jc w:val="both"/>
      </w:pPr>
      <w:r>
        <w:t xml:space="preserve">зарегистрированы факты отравления несовершеннолетних, в результате потребления алкогольной продукции - 4, неустановленного химического </w:t>
      </w:r>
      <w:proofErr w:type="spellStart"/>
      <w:r>
        <w:t>психоактивного</w:t>
      </w:r>
      <w:proofErr w:type="spellEnd"/>
      <w:r>
        <w:t xml:space="preserve"> вещества - 1,  неустановленного вещества - 4.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Планом работы муниципальной комиссии на 2020 год предусмотрено рассмотрение вопроса «О принятии дополнительных мер по предупреждению чрезвычайных происшествий с несовершеннолетними, в том числе </w:t>
      </w:r>
      <w:r>
        <w:rPr>
          <w:bCs/>
        </w:rPr>
        <w:t xml:space="preserve">исключению фактов </w:t>
      </w:r>
      <w:proofErr w:type="spellStart"/>
      <w:r>
        <w:rPr>
          <w:bCs/>
        </w:rPr>
        <w:t>травмирования</w:t>
      </w:r>
      <w:proofErr w:type="spellEnd"/>
      <w:r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</w:t>
      </w:r>
      <w:r>
        <w:t>» (постановления от 14 мая 2020 года № 38, от 12 ноября 2020 года № 88).</w:t>
      </w:r>
      <w:proofErr w:type="gramEnd"/>
    </w:p>
    <w:p w:rsidR="0050404C" w:rsidRDefault="0050404C" w:rsidP="0050404C">
      <w:pPr>
        <w:ind w:firstLine="709"/>
        <w:jc w:val="both"/>
      </w:pPr>
      <w:r>
        <w:t xml:space="preserve"> С учетом анализа ситуации по линии несовершеннолетних на территории города Ханты-Мансийска, зафиксированных фактов чрезвычайных происшествий с несовершеннолетними в повестку заседаний муниципальной комиссии дополнительно внесено рассмотрение вопросов по предупреждению суицидальных проявлений несовершеннолетних (постановления от 26 марта 2020 года № 23, от 22 октября 2020 года № 86).</w:t>
      </w:r>
    </w:p>
    <w:p w:rsidR="0050404C" w:rsidRDefault="0050404C" w:rsidP="0050404C">
      <w:pPr>
        <w:ind w:firstLine="709"/>
        <w:jc w:val="both"/>
      </w:pPr>
      <w:r>
        <w:t>Во исполнение поручений, предусмотренных постановлениями муниципальной комиссии в результате рассмотрения вопросов, направленных на предупреждение чрезвычайных происшествий с несовершеннолетними,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50404C" w:rsidRDefault="0050404C" w:rsidP="0050404C">
      <w:pPr>
        <w:ind w:firstLine="709"/>
        <w:jc w:val="both"/>
        <w:rPr>
          <w:bCs/>
        </w:rPr>
      </w:pPr>
      <w:r>
        <w:t xml:space="preserve">утверждена Модель </w:t>
      </w:r>
      <w:r>
        <w:rPr>
          <w:bCs/>
        </w:rPr>
        <w:t>организации профилактической работы по предупреждению суицидального поведения обучающихся образовательных организаций,</w:t>
      </w:r>
    </w:p>
    <w:p w:rsidR="0050404C" w:rsidRDefault="0050404C" w:rsidP="0050404C">
      <w:pPr>
        <w:ind w:firstLine="709"/>
        <w:jc w:val="both"/>
      </w:pPr>
      <w:proofErr w:type="gramStart"/>
      <w:r>
        <w:t>приняты меры по проведению анализа деятельности 2 общеобразовательных организаций на предмет предупреждения суицидального поведения обучающихся, планирования и организации индивидуальной профилактической, коррекционной работы с несовершеннолетними, совершившими суицидальные проявления, по итогам сформированы рекомендации, направленные на организацию раннего выявления обучающихся, склонных к суицидальному поведению, совершенствование профилактической работы по предупреждению подростковых суицидов, повышению профессиональной компетенции педагогических работников,</w:t>
      </w:r>
      <w:proofErr w:type="gramEnd"/>
    </w:p>
    <w:p w:rsidR="0050404C" w:rsidRDefault="0050404C" w:rsidP="0050404C">
      <w:pPr>
        <w:ind w:firstLine="709"/>
        <w:jc w:val="both"/>
      </w:pPr>
      <w:proofErr w:type="gramStart"/>
      <w:r>
        <w:rPr>
          <w:bCs/>
        </w:rPr>
        <w:t xml:space="preserve">организовано проведение анализа ситуации по </w:t>
      </w:r>
      <w:proofErr w:type="spellStart"/>
      <w:r>
        <w:rPr>
          <w:bCs/>
        </w:rPr>
        <w:t>травмированию</w:t>
      </w:r>
      <w:proofErr w:type="spellEnd"/>
      <w:r>
        <w:rPr>
          <w:bCs/>
        </w:rPr>
        <w:t xml:space="preserve"> несовершеннолетних в условиях организаций, осуществляющих образовательную деятельность, по результатам которого приняты меры </w:t>
      </w:r>
      <w:r>
        <w:t xml:space="preserve">по учету фактов </w:t>
      </w:r>
      <w:proofErr w:type="spellStart"/>
      <w:r>
        <w:t>травмирования</w:t>
      </w:r>
      <w:proofErr w:type="spellEnd"/>
      <w:r>
        <w:t xml:space="preserve"> обучающихся во время образовательного процесса вследствие возникновения конфликтных ситуаций, совершения в отношении них противоправных деяний, полноты принимаемых мер, направленных на устранение причин и условий им способствующих (</w:t>
      </w:r>
      <w:r>
        <w:rPr>
          <w:bCs/>
        </w:rPr>
        <w:t xml:space="preserve">постановление от 9 апреля 2020 года № 26), </w:t>
      </w:r>
      <w:proofErr w:type="gramEnd"/>
    </w:p>
    <w:p w:rsidR="0050404C" w:rsidRDefault="0050404C" w:rsidP="0050404C">
      <w:pPr>
        <w:ind w:firstLine="709"/>
        <w:jc w:val="both"/>
      </w:pPr>
      <w:r>
        <w:rPr>
          <w:bCs/>
        </w:rPr>
        <w:t>рассмотрен на межведомственном опекунском Совете при Администрации города Ханты-Мансийска вопрос о ситуации по чрезвычайным происшествиям с несовершеннолетними, воспитывающимися в замещающих семьях, по итогам 2019 года,</w:t>
      </w:r>
    </w:p>
    <w:p w:rsidR="0050404C" w:rsidRDefault="0050404C" w:rsidP="0050404C">
      <w:pPr>
        <w:ind w:firstLine="709"/>
        <w:jc w:val="both"/>
        <w:rPr>
          <w:bCs/>
        </w:rPr>
      </w:pPr>
      <w:r>
        <w:t xml:space="preserve">размещение органами и учреждениями системы профилактики безнадзорности и правонарушений несовершеннолетних в рамках предоставленной компетенции в средствах </w:t>
      </w:r>
      <w:r>
        <w:lastRenderedPageBreak/>
        <w:t>массовой информации, в том числе на Официальном портале органов местного самоуправления города Ханты-Мансийска публикаций (выступлений) по предупреждению фактов пребывания детей в ситуации, представляющей опасность их жизни и здоровью</w:t>
      </w:r>
      <w:r>
        <w:rPr>
          <w:bCs/>
        </w:rPr>
        <w:t>,</w:t>
      </w:r>
    </w:p>
    <w:p w:rsidR="0050404C" w:rsidRDefault="0050404C" w:rsidP="0050404C">
      <w:pPr>
        <w:ind w:firstLine="709"/>
        <w:jc w:val="both"/>
      </w:pPr>
      <w:r>
        <w:t>проведение рейдовых мероприятий по несанкционированным местам для купания населения муниципального образования,</w:t>
      </w:r>
    </w:p>
    <w:p w:rsidR="0050404C" w:rsidRDefault="0050404C" w:rsidP="0050404C">
      <w:pPr>
        <w:ind w:firstLine="709"/>
        <w:jc w:val="both"/>
      </w:pPr>
      <w:r>
        <w:t>проведение в общеобразовательных организациях профилактических мероприятий:</w:t>
      </w:r>
    </w:p>
    <w:p w:rsidR="0050404C" w:rsidRDefault="0050404C" w:rsidP="0050404C">
      <w:pPr>
        <w:ind w:firstLine="709"/>
        <w:jc w:val="both"/>
        <w:rPr>
          <w:bCs/>
        </w:rPr>
      </w:pPr>
      <w:r>
        <w:rPr>
          <w:bCs/>
        </w:rPr>
        <w:t xml:space="preserve">диагностического исследования суицидального поведения и суицидальных </w:t>
      </w:r>
      <w:proofErr w:type="gramStart"/>
      <w:r>
        <w:rPr>
          <w:bCs/>
        </w:rPr>
        <w:t>рисков</w:t>
      </w:r>
      <w:proofErr w:type="gramEnd"/>
      <w:r>
        <w:rPr>
          <w:bCs/>
        </w:rPr>
        <w:t xml:space="preserve"> обучающихся с использованием, в том числе компьютерной программы экспресс-диагностики «Сигнал»,</w:t>
      </w:r>
    </w:p>
    <w:p w:rsidR="0050404C" w:rsidRDefault="0050404C" w:rsidP="0050404C">
      <w:pPr>
        <w:ind w:firstLine="709"/>
        <w:jc w:val="both"/>
      </w:pPr>
      <w:r>
        <w:t xml:space="preserve">тематической площадки для педагогических работников (заместители директора по воспитательной работе, социальные педагоги, педагоги-психологи) организаций, осуществляющих образовательную деятельность, по вопросам внедрения в практику методик, направленных на раннее выявление и предупреждение употребления несовершеннолетними </w:t>
      </w:r>
      <w:proofErr w:type="spellStart"/>
      <w:r>
        <w:t>психоактивных</w:t>
      </w:r>
      <w:proofErr w:type="spellEnd"/>
      <w:r>
        <w:t xml:space="preserve"> веществ, в том числе новые виды подростковой токсикомании (</w:t>
      </w:r>
      <w:proofErr w:type="spellStart"/>
      <w:r>
        <w:t>сниффинг</w:t>
      </w:r>
      <w:proofErr w:type="spellEnd"/>
      <w:r>
        <w:t xml:space="preserve">), </w:t>
      </w:r>
      <w:proofErr w:type="spellStart"/>
      <w:r>
        <w:t>бестабачных</w:t>
      </w:r>
      <w:proofErr w:type="spellEnd"/>
      <w:r>
        <w:t xml:space="preserve"> </w:t>
      </w:r>
      <w:proofErr w:type="spellStart"/>
      <w:r>
        <w:t>никотиносодержащих</w:t>
      </w:r>
      <w:proofErr w:type="spellEnd"/>
      <w:r>
        <w:t xml:space="preserve"> жевательных и сосательных смесей (</w:t>
      </w:r>
      <w:proofErr w:type="spellStart"/>
      <w:r>
        <w:t>снюса</w:t>
      </w:r>
      <w:proofErr w:type="spellEnd"/>
      <w:r>
        <w:t>),</w:t>
      </w:r>
    </w:p>
    <w:p w:rsidR="0050404C" w:rsidRDefault="0050404C" w:rsidP="0050404C">
      <w:pPr>
        <w:ind w:firstLine="709"/>
        <w:jc w:val="both"/>
      </w:pPr>
      <w:proofErr w:type="gramStart"/>
      <w:r>
        <w:t xml:space="preserve">практических занятий с обучающимися с учетом их возрастных особенностей, направленных на формирование навыков поведения при возникновении чрезвычайных происшествий </w:t>
      </w:r>
      <w:r>
        <w:rPr>
          <w:bCs/>
        </w:rPr>
        <w:t>в результате опасных факторов, связанных с наступлением летнего (зимнего) периода</w:t>
      </w:r>
      <w:r>
        <w:t>, в том числе оказания первой медицинской помощи,</w:t>
      </w:r>
      <w:proofErr w:type="gramEnd"/>
    </w:p>
    <w:p w:rsidR="0050404C" w:rsidRDefault="0050404C" w:rsidP="0050404C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акции «Как прекрасна эта жизнь!» по предупреждению суицидального поведения несовершеннолетних в рамках Всемирного дня здоровья </w:t>
      </w:r>
      <w:r>
        <w:rPr>
          <w:rStyle w:val="ab"/>
          <w:sz w:val="24"/>
          <w:szCs w:val="24"/>
        </w:rPr>
        <w:t>(7 апреля 2020 года),</w:t>
      </w:r>
    </w:p>
    <w:p w:rsidR="0050404C" w:rsidRDefault="0050404C" w:rsidP="0050404C">
      <w:pPr>
        <w:ind w:firstLine="709"/>
        <w:jc w:val="both"/>
      </w:pPr>
      <w:r>
        <w:rPr>
          <w:bCs/>
        </w:rPr>
        <w:t xml:space="preserve">информационной кампании, </w:t>
      </w:r>
      <w:r>
        <w:t>посвященной празднованию Международного дня детского телефона доверия (17 мая 2020 года), по профилактике чрезвычайных происшествий, возникающих в результате выпадения детей из окон,</w:t>
      </w:r>
    </w:p>
    <w:p w:rsidR="0050404C" w:rsidRDefault="0050404C" w:rsidP="0050404C">
      <w:pPr>
        <w:ind w:firstLine="709"/>
        <w:jc w:val="both"/>
      </w:pPr>
      <w:r>
        <w:t xml:space="preserve">собраний для </w:t>
      </w:r>
      <w:proofErr w:type="gramStart"/>
      <w:r>
        <w:t>родителей</w:t>
      </w:r>
      <w:proofErr w:type="gramEnd"/>
      <w:r>
        <w:t xml:space="preserve"> обучающихся по программе общегородского родительского собрания «Понять, принять и уберечь» с работой тематических площадок по вопросам предупреждения чрезвычайных происшествий с несовершеннолетними,</w:t>
      </w:r>
    </w:p>
    <w:p w:rsidR="0050404C" w:rsidRDefault="0050404C" w:rsidP="0050404C">
      <w:pPr>
        <w:ind w:firstLine="709"/>
        <w:jc w:val="both"/>
      </w:pPr>
      <w:r>
        <w:t>цикла муниципальных родительских собраний «Семья - территория безопасности» посредством дистанционных технологий по вопросам предупреждения чрезвычайных происшествий с детьми.</w:t>
      </w:r>
    </w:p>
    <w:p w:rsidR="0050404C" w:rsidRDefault="0050404C" w:rsidP="0050404C">
      <w:pPr>
        <w:ind w:firstLine="709"/>
        <w:jc w:val="both"/>
      </w:pPr>
      <w:r>
        <w:t xml:space="preserve">Принимаемые меры, </w:t>
      </w:r>
      <w:r>
        <w:rPr>
          <w:spacing w:val="-1"/>
        </w:rPr>
        <w:t xml:space="preserve">направленные на </w:t>
      </w:r>
      <w:r>
        <w:t xml:space="preserve">предупреждение чрезвычайных происшествий с несовершеннолетними, способствовали: </w:t>
      </w:r>
    </w:p>
    <w:p w:rsidR="0050404C" w:rsidRDefault="0050404C" w:rsidP="0050404C">
      <w:pPr>
        <w:ind w:firstLine="709"/>
        <w:jc w:val="both"/>
      </w:pPr>
      <w:r>
        <w:t xml:space="preserve">снижению (стабилизации) количества фактов </w:t>
      </w:r>
    </w:p>
    <w:p w:rsidR="0050404C" w:rsidRDefault="0050404C" w:rsidP="0050404C">
      <w:pPr>
        <w:ind w:firstLine="709"/>
        <w:jc w:val="both"/>
      </w:pPr>
      <w:r>
        <w:t>суицидальных проявлений (2020 - 2, 2019 - 3, 2018 - 5, 2017 - 15, 2016 - 7),</w:t>
      </w:r>
    </w:p>
    <w:p w:rsidR="0050404C" w:rsidRDefault="0050404C" w:rsidP="0050404C">
      <w:pPr>
        <w:ind w:firstLine="709"/>
        <w:jc w:val="both"/>
      </w:pPr>
      <w:r>
        <w:t>отравлений несовершеннолетних в результате потребления алкогольной продукции (2020 - 4, 2019 - 5, 2018 - 8, 2017 - 12, 2016 - 15),</w:t>
      </w:r>
    </w:p>
    <w:p w:rsidR="0050404C" w:rsidRDefault="0050404C" w:rsidP="0050404C">
      <w:pPr>
        <w:ind w:firstLine="709"/>
        <w:jc w:val="both"/>
      </w:pPr>
      <w:r>
        <w:t>гибели детей от управляемых причин (2020 - 1, 2019 - 1, 2018 - 3, 2017 - 5, 2016 - 2),</w:t>
      </w:r>
    </w:p>
    <w:p w:rsidR="0050404C" w:rsidRDefault="0050404C" w:rsidP="0050404C">
      <w:pPr>
        <w:ind w:firstLine="709"/>
        <w:jc w:val="both"/>
      </w:pPr>
      <w:r>
        <w:t>самовольных уходов, совершенных несовершеннолетними (2020 - 19, 2019 - 41, 2018 - 36, 2017 - 29, 2016 - 22), в том числе: из семей (2020 - 15, 2019 - 20, 2018 - 24, 2017 - 25, 2016 - 14), государственных учреждений (2020 - 4, 2019 - 21, 2018 – 12, 2017 - 4, 2016 - 8).</w:t>
      </w:r>
    </w:p>
    <w:p w:rsidR="0050404C" w:rsidRDefault="0050404C" w:rsidP="0050404C">
      <w:pPr>
        <w:ind w:firstLine="709"/>
        <w:jc w:val="both"/>
      </w:pPr>
      <w:r>
        <w:t xml:space="preserve">Вместе с тем, в 2020 году наметилась тревожная тенденция, выразившаяся в увеличении количества: </w:t>
      </w:r>
    </w:p>
    <w:p w:rsidR="0050404C" w:rsidRDefault="0050404C" w:rsidP="0050404C">
      <w:pPr>
        <w:ind w:firstLine="709"/>
        <w:jc w:val="both"/>
      </w:pPr>
      <w:r>
        <w:t>фактов преступлений, совершенных в отно</w:t>
      </w:r>
      <w:r>
        <w:t>шении несовершеннолетних (2020 -</w:t>
      </w:r>
      <w:r>
        <w:t xml:space="preserve"> 31, 2019 - 29, 2018 - 43, 2017 -33, 2016 - 33). </w:t>
      </w:r>
    </w:p>
    <w:p w:rsidR="0050404C" w:rsidRDefault="0050404C" w:rsidP="0050404C"/>
    <w:p w:rsidR="0050404C" w:rsidRDefault="0050404C" w:rsidP="0050404C">
      <w:pPr>
        <w:jc w:val="center"/>
      </w:pPr>
      <w:r>
        <w:rPr>
          <w:lang w:val="en-US"/>
        </w:rPr>
        <w:t>IV</w:t>
      </w:r>
      <w:r>
        <w:t>. О планировании деятельности муниципальной комиссии на 2021 год</w:t>
      </w:r>
    </w:p>
    <w:p w:rsidR="0050404C" w:rsidRDefault="0050404C" w:rsidP="0050404C">
      <w:pPr>
        <w:pStyle w:val="aa"/>
        <w:ind w:left="0"/>
      </w:pPr>
    </w:p>
    <w:p w:rsidR="0050404C" w:rsidRDefault="0050404C" w:rsidP="0050404C">
      <w:pPr>
        <w:pStyle w:val="aa"/>
        <w:ind w:left="0" w:firstLine="709"/>
        <w:jc w:val="both"/>
      </w:pPr>
      <w:r>
        <w:t>В целях устранения причин и условий, способствующих безнадзорности</w:t>
      </w:r>
      <w:r>
        <w:br/>
        <w:t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несовершеннолетних запланировано в 2021 году принятие мер по решению следующих задач:</w:t>
      </w:r>
    </w:p>
    <w:p w:rsidR="0050404C" w:rsidRDefault="0050404C" w:rsidP="0050404C">
      <w:pPr>
        <w:ind w:firstLine="709"/>
        <w:jc w:val="both"/>
      </w:pPr>
      <w:r>
        <w:lastRenderedPageBreak/>
        <w:t>1. Проведение анализа положения детей в городе Ханты-Мансийске за 2020 год с целью выявления определенных тенденций, прогнозирования ситуаций, своевременного решения проблем детства.</w:t>
      </w:r>
    </w:p>
    <w:p w:rsidR="0050404C" w:rsidRDefault="0050404C" w:rsidP="0050404C">
      <w:pPr>
        <w:ind w:firstLine="709"/>
        <w:jc w:val="both"/>
      </w:pPr>
      <w:r>
        <w:t xml:space="preserve">2. Обеспечение внедрения (развития): </w:t>
      </w:r>
    </w:p>
    <w:p w:rsidR="0050404C" w:rsidRDefault="0050404C" w:rsidP="0050404C">
      <w:pPr>
        <w:tabs>
          <w:tab w:val="num" w:pos="1134"/>
        </w:tabs>
        <w:ind w:firstLine="709"/>
        <w:jc w:val="both"/>
      </w:pPr>
      <w:r>
        <w:t>- современных и эффективных форм раннего выявления семей, находящихся в социально опасном положении, профилактики безнадзорности, беспризорности, правонарушений, антиобщественных действий несовершеннолетних,</w:t>
      </w:r>
    </w:p>
    <w:p w:rsidR="0050404C" w:rsidRDefault="0050404C" w:rsidP="0050404C">
      <w:pPr>
        <w:ind w:firstLine="709"/>
        <w:jc w:val="both"/>
      </w:pPr>
      <w:r>
        <w:t>- досудебного сопровождения несовершеннолетних, совершивших противоправные действия,</w:t>
      </w:r>
    </w:p>
    <w:p w:rsidR="0050404C" w:rsidRDefault="0050404C" w:rsidP="0050404C">
      <w:pPr>
        <w:tabs>
          <w:tab w:val="left" w:pos="567"/>
        </w:tabs>
        <w:ind w:firstLine="709"/>
        <w:jc w:val="both"/>
      </w:pPr>
      <w:r>
        <w:t>- системы наставничества над несовершеннолетними, семьями, находящимися в социально опасном положении.</w:t>
      </w:r>
    </w:p>
    <w:p w:rsidR="0050404C" w:rsidRDefault="0050404C" w:rsidP="0050404C">
      <w:pPr>
        <w:tabs>
          <w:tab w:val="left" w:pos="567"/>
        </w:tabs>
        <w:ind w:firstLine="709"/>
        <w:jc w:val="both"/>
      </w:pPr>
      <w:r>
        <w:t xml:space="preserve">3. Совершенствование деятельности по обеспечению осуществления мер по защите и восстановлению прав и законных интересов несовершеннолетних, выявлению причин и условий, способствующих безнадзорности, беспризорности, правонарушениям и антиобщественным действиям несовершеннолетних посредством осуществления мониторинга: </w:t>
      </w:r>
    </w:p>
    <w:p w:rsidR="0050404C" w:rsidRDefault="0050404C" w:rsidP="0050404C">
      <w:pPr>
        <w:ind w:firstLine="709"/>
        <w:jc w:val="both"/>
      </w:pPr>
      <w:r>
        <w:t>- учета несовершеннолетних, не посещающих или систематически пропускающих по неуважительным причинам занятия в общеобразовательных учреждениях, и проведения с ними профилактической работы,</w:t>
      </w:r>
    </w:p>
    <w:p w:rsidR="0050404C" w:rsidRDefault="0050404C" w:rsidP="0050404C">
      <w:pPr>
        <w:ind w:firstLine="709"/>
        <w:jc w:val="both"/>
      </w:pPr>
      <w:r>
        <w:t>- чрезвычайных происшествий с несовершеннолетними,</w:t>
      </w:r>
    </w:p>
    <w:p w:rsidR="0050404C" w:rsidRDefault="0050404C" w:rsidP="0050404C">
      <w:pPr>
        <w:ind w:firstLine="709"/>
        <w:jc w:val="both"/>
      </w:pPr>
      <w:r>
        <w:t xml:space="preserve">- эффективности реализации индивидуальных межведомственных программ социально-педагогической реабилитации семей и несовершеннолетних, находящихся в социально опасном положении, </w:t>
      </w:r>
    </w:p>
    <w:p w:rsidR="0050404C" w:rsidRDefault="0050404C" w:rsidP="0050404C">
      <w:pPr>
        <w:ind w:firstLine="709"/>
        <w:jc w:val="both"/>
      </w:pPr>
      <w:r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50404C" w:rsidRDefault="0050404C" w:rsidP="0050404C">
      <w:pPr>
        <w:ind w:firstLine="709"/>
        <w:jc w:val="both"/>
        <w:rPr>
          <w:bCs/>
        </w:rPr>
      </w:pPr>
      <w:r>
        <w:rPr>
          <w:bCs/>
        </w:rPr>
        <w:t>- самовольных уходов несовершеннолетних из семей, государственных учреждений,</w:t>
      </w:r>
    </w:p>
    <w:p w:rsidR="0050404C" w:rsidRDefault="0050404C" w:rsidP="0050404C">
      <w:pPr>
        <w:ind w:firstLine="709"/>
        <w:jc w:val="both"/>
      </w:pPr>
      <w:r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50404C" w:rsidRDefault="0050404C" w:rsidP="0050404C">
      <w:pPr>
        <w:pStyle w:val="aa"/>
        <w:ind w:left="2148"/>
      </w:pPr>
    </w:p>
    <w:p w:rsidR="0050404C" w:rsidRDefault="0050404C" w:rsidP="0050404C">
      <w:pPr>
        <w:pStyle w:val="aa"/>
        <w:ind w:left="2148"/>
      </w:pPr>
    </w:p>
    <w:p w:rsidR="0050404C" w:rsidRDefault="0050404C" w:rsidP="0050404C">
      <w:pPr>
        <w:pStyle w:val="aa"/>
        <w:ind w:left="0"/>
        <w:jc w:val="both"/>
      </w:pPr>
    </w:p>
    <w:p w:rsidR="0050404C" w:rsidRDefault="0050404C" w:rsidP="0050404C">
      <w:pPr>
        <w:jc w:val="center"/>
      </w:pPr>
    </w:p>
    <w:p w:rsidR="0050404C" w:rsidRDefault="0050404C" w:rsidP="0050404C">
      <w:pPr>
        <w:jc w:val="center"/>
      </w:pPr>
    </w:p>
    <w:p w:rsidR="0050404C" w:rsidRDefault="0050404C" w:rsidP="0050404C">
      <w:pPr>
        <w:jc w:val="center"/>
      </w:pPr>
    </w:p>
    <w:p w:rsidR="0050404C" w:rsidRDefault="0050404C" w:rsidP="0050404C">
      <w:pPr>
        <w:jc w:val="center"/>
      </w:pPr>
    </w:p>
    <w:p w:rsidR="0050404C" w:rsidRDefault="0050404C" w:rsidP="0050404C">
      <w:pPr>
        <w:jc w:val="center"/>
      </w:pPr>
    </w:p>
    <w:p w:rsidR="002C1013" w:rsidRDefault="002C1013"/>
    <w:sectPr w:rsidR="002C1013" w:rsidSect="005040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DF"/>
    <w:rsid w:val="000869DF"/>
    <w:rsid w:val="002C1013"/>
    <w:rsid w:val="004A639A"/>
    <w:rsid w:val="005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4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404C"/>
    <w:rPr>
      <w:color w:val="0000FF"/>
      <w:u w:val="single"/>
    </w:rPr>
  </w:style>
  <w:style w:type="paragraph" w:styleId="a4">
    <w:name w:val="Title"/>
    <w:basedOn w:val="a"/>
    <w:link w:val="a5"/>
    <w:qFormat/>
    <w:rsid w:val="0050404C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5040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0404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040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50404C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404C"/>
    <w:pPr>
      <w:ind w:left="720"/>
      <w:contextualSpacing/>
    </w:pPr>
  </w:style>
  <w:style w:type="character" w:styleId="ab">
    <w:name w:val="Strong"/>
    <w:basedOn w:val="a0"/>
    <w:uiPriority w:val="22"/>
    <w:qFormat/>
    <w:rsid w:val="005040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04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4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404C"/>
    <w:rPr>
      <w:color w:val="0000FF"/>
      <w:u w:val="single"/>
    </w:rPr>
  </w:style>
  <w:style w:type="paragraph" w:styleId="a4">
    <w:name w:val="Title"/>
    <w:basedOn w:val="a"/>
    <w:link w:val="a5"/>
    <w:qFormat/>
    <w:rsid w:val="0050404C"/>
    <w:pPr>
      <w:jc w:val="center"/>
    </w:pPr>
    <w:rPr>
      <w:b/>
      <w:bCs/>
      <w:szCs w:val="20"/>
    </w:rPr>
  </w:style>
  <w:style w:type="character" w:customStyle="1" w:styleId="a5">
    <w:name w:val="Название Знак"/>
    <w:basedOn w:val="a0"/>
    <w:link w:val="a4"/>
    <w:rsid w:val="005040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0404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040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aliases w:val="Знак Знак"/>
    <w:basedOn w:val="a0"/>
    <w:link w:val="20"/>
    <w:semiHidden/>
    <w:locked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aliases w:val="Знак"/>
    <w:basedOn w:val="a"/>
    <w:link w:val="2"/>
    <w:semiHidden/>
    <w:unhideWhenUsed/>
    <w:rsid w:val="0050404C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504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404C"/>
    <w:pPr>
      <w:ind w:left="720"/>
      <w:contextualSpacing/>
    </w:pPr>
  </w:style>
  <w:style w:type="character" w:styleId="ab">
    <w:name w:val="Strong"/>
    <w:basedOn w:val="a0"/>
    <w:uiPriority w:val="22"/>
    <w:qFormat/>
    <w:rsid w:val="005040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040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2779232b3b7e6fd9fea197b64b6001e4/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0108000/ee9753586947f35135b65aed7a30547c/" TargetMode="Externa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6F824C906BC2A3F9C0566CA36383FC57D62916C632ED87D04E05FF444CE1B5521E32DCA0AD2466T637H" TargetMode="Externa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5" Type="http://schemas.openxmlformats.org/officeDocument/2006/relationships/hyperlink" Target="https://base.garant.ru/10105489/7a58987b486424ad79b62aa427dab1df/" TargetMode="External"/><Relationship Id="rId10" Type="http://schemas.openxmlformats.org/officeDocument/2006/relationships/hyperlink" Target="https://base.garant.ru/10108000/1ad1ca5bd7443bddd28edc5883873e1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c2928dbe252d70e8439ec46e6150af7f/" TargetMode="External"/><Relationship Id="rId14" Type="http://schemas.openxmlformats.org/officeDocument/2006/relationships/hyperlink" Target="https://base.garant.ru/12125267/5c09fde3c438bfa4e1dbc0d234d7aa47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57;&#1086;&#1086;&#1073;&#1097;&#1077;&#1085;&#1080;&#1103;\&#1054;&#1050;&#1044;&#1053;&#1080;&#1047;&#1055;\2020\&#1040;&#1085;&#1072;&#1083;&#1080;&#1079;%20&#1079;&#1072;%202019%20&#1075;&#1086;&#1076;\&#1043;&#1088;&#1072;&#1092;&#1080;&#1082;&#1080;%20&#1079;&#1072;%202019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7151702786377708E-2"/>
                  <c:y val="-5.8543165975220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757839480591243E-2"/>
                  <c:y val="3.1660881099539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484995490114817E-2"/>
                  <c:y val="-6.795078034600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4767801857585141E-2"/>
                  <c:y val="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25</c:v>
                </c:pt>
                <c:pt idx="3">
                  <c:v>20</c:v>
                </c:pt>
                <c:pt idx="4">
                  <c:v>21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них детей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3340240364691255E-2"/>
                  <c:y val="-8.3034459402252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323330326743211E-2"/>
                  <c:y val="-9.647560184009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013773433119618E-2"/>
                  <c:y val="-6.5411904157141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417477227111393E-2"/>
                  <c:y val="-8.9307143058730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511867905056758E-2"/>
                  <c:y val="-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</c:v>
                </c:pt>
                <c:pt idx="1">
                  <c:v>54</c:v>
                </c:pt>
                <c:pt idx="2">
                  <c:v>52</c:v>
                </c:pt>
                <c:pt idx="3">
                  <c:v>41</c:v>
                </c:pt>
                <c:pt idx="4">
                  <c:v>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690112"/>
        <c:axId val="184578560"/>
      </c:lineChart>
      <c:catAx>
        <c:axId val="16969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578560"/>
        <c:crosses val="autoZero"/>
        <c:auto val="1"/>
        <c:lblAlgn val="ctr"/>
        <c:lblOffset val="100"/>
        <c:noMultiLvlLbl val="0"/>
      </c:catAx>
      <c:valAx>
        <c:axId val="1845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901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7999035167333"/>
          <c:y val="5.1174169266577529E-2"/>
          <c:w val="0.84666323251649622"/>
          <c:h val="0.49486719820399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Лист1!$G$1</c:f>
              <c:strCache>
                <c:ptCount val="1"/>
                <c:pt idx="0">
                  <c:v>преступления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1196581196581213E-2"/>
                  <c:y val="-6.030150753768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273504273504275E-2"/>
                  <c:y val="-6.5048075020773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555555555555552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615384615384619E-2"/>
                  <c:y val="-7.7726691198776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094017094017096E-2"/>
                  <c:y val="-6.0301507537688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20</c:v>
                </c:pt>
                <c:pt idx="1">
                  <c:v>26</c:v>
                </c:pt>
                <c:pt idx="2">
                  <c:v>21</c:v>
                </c:pt>
                <c:pt idx="3">
                  <c:v>32</c:v>
                </c:pt>
                <c:pt idx="4">
                  <c:v>18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Лист1!$H$1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0128541624604616E-2"/>
                  <c:y val="0.117066698321001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28205128205128E-2"/>
                  <c:y val="4.5923581160395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444444444444445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64102564102564E-2"/>
                  <c:y val="5.834685237209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094017094017096E-2"/>
                  <c:y val="3.350083752093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Лист1!$F$2:$F$6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16</c:v>
                </c:pt>
                <c:pt idx="1">
                  <c:v>17</c:v>
                </c:pt>
                <c:pt idx="2">
                  <c:v>17</c:v>
                </c:pt>
                <c:pt idx="3">
                  <c:v>27</c:v>
                </c:pt>
                <c:pt idx="4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692672"/>
        <c:axId val="67822720"/>
      </c:lineChart>
      <c:catAx>
        <c:axId val="1696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822720"/>
        <c:crosses val="autoZero"/>
        <c:auto val="1"/>
        <c:lblAlgn val="ctr"/>
        <c:lblOffset val="100"/>
        <c:noMultiLvlLbl val="0"/>
      </c:catAx>
      <c:valAx>
        <c:axId val="678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92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Лист1!$L$1</c:f>
              <c:strCache>
                <c:ptCount val="1"/>
                <c:pt idx="0">
                  <c:v>группа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2741850817034986E-2"/>
                  <c:y val="-9.9781997838505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659554652442641E-2"/>
                  <c:y val="-0.11405218465338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44444444444444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171873677080685E-2"/>
                  <c:y val="-0.10261417322834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9215686274509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Лист1!$M$1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7007027347388022E-2"/>
                  <c:y val="-1.4651227420101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6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09677419354757E-2"/>
                  <c:y val="4.7058823529411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931927863855725E-2"/>
                  <c:y val="-4.4607688744789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8888888888889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Лист1!$N$1</c:f>
              <c:strCache>
                <c:ptCount val="1"/>
                <c:pt idx="0">
                  <c:v>со взрослыми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6881889763779521E-2"/>
                  <c:y val="1.323513972518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22222222222223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612903225806375E-2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20675641351279E-2"/>
                  <c:y val="-5.735309556893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236474472948946E-2"/>
                  <c:y val="-7.4183727034120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Лист1!$K$2:$K$6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693184"/>
        <c:axId val="67824448"/>
      </c:lineChart>
      <c:catAx>
        <c:axId val="16969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824448"/>
        <c:crosses val="autoZero"/>
        <c:auto val="1"/>
        <c:lblAlgn val="ctr"/>
        <c:lblOffset val="100"/>
        <c:noMultiLvlLbl val="0"/>
      </c:catAx>
      <c:valAx>
        <c:axId val="6782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931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Лист1!$B$19</c:f>
              <c:strCache>
                <c:ptCount val="1"/>
                <c:pt idx="0">
                  <c:v>ООД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583333333333333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66666666666666E-3"/>
                  <c:y val="2.040816326530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999999999999926E-2"/>
                  <c:y val="8.163265306122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66666666666666E-2"/>
                  <c:y val="5.4421768707482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500000000000001E-2"/>
                  <c:y val="8.163265306122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Лист1!$B$20:$B$24</c:f>
              <c:numCache>
                <c:formatCode>General</c:formatCode>
                <c:ptCount val="5"/>
                <c:pt idx="0">
                  <c:v>18</c:v>
                </c:pt>
                <c:pt idx="1">
                  <c:v>34</c:v>
                </c:pt>
                <c:pt idx="2">
                  <c:v>18</c:v>
                </c:pt>
                <c:pt idx="3">
                  <c:v>20</c:v>
                </c:pt>
                <c:pt idx="4">
                  <c:v>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25E-2"/>
                  <c:y val="-6.1224489795918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05"/>
                  <c:y val="-0.10204081632653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6666666666666596E-2"/>
                  <c:y val="-5.429250084832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000000000000001E-2"/>
                  <c:y val="-8.163265306122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66666666666666E-3"/>
                  <c:y val="-4.0816326530612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Лист1!$A$20:$A$24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Лист1!$C$20:$C$24</c:f>
              <c:numCache>
                <c:formatCode>General</c:formatCode>
                <c:ptCount val="5"/>
                <c:pt idx="0">
                  <c:v>26</c:v>
                </c:pt>
                <c:pt idx="1">
                  <c:v>43</c:v>
                </c:pt>
                <c:pt idx="2">
                  <c:v>22</c:v>
                </c:pt>
                <c:pt idx="3">
                  <c:v>22</c:v>
                </c:pt>
                <c:pt idx="4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82368"/>
        <c:axId val="67826176"/>
      </c:lineChart>
      <c:catAx>
        <c:axId val="151482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826176"/>
        <c:crosses val="autoZero"/>
        <c:auto val="1"/>
        <c:lblAlgn val="ctr"/>
        <c:lblOffset val="100"/>
        <c:noMultiLvlLbl val="0"/>
      </c:catAx>
      <c:valAx>
        <c:axId val="6782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823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Лист1!$I$19</c:f>
              <c:strCache>
                <c:ptCount val="1"/>
                <c:pt idx="0">
                  <c:v>Адм.прав-я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1428571428571425E-2"/>
                  <c:y val="-3.7778617302606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523809523809521E-2"/>
                  <c:y val="-7.57575757575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492063492063489E-2"/>
                  <c:y val="-9.090909090909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5714285714285712E-2"/>
                  <c:y val="-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Лист1!$I$20:$I$24</c:f>
              <c:numCache>
                <c:formatCode>General</c:formatCode>
                <c:ptCount val="5"/>
                <c:pt idx="0">
                  <c:v>46</c:v>
                </c:pt>
                <c:pt idx="1">
                  <c:v>97</c:v>
                </c:pt>
                <c:pt idx="2">
                  <c:v>109</c:v>
                </c:pt>
                <c:pt idx="3">
                  <c:v>87</c:v>
                </c:pt>
                <c:pt idx="4">
                  <c:v>157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Лист1!$J$19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650793650793648E-2"/>
                  <c:y val="0.106060606060606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714285714285712E-2"/>
                  <c:y val="6.8181818181818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873015873015872E-2"/>
                  <c:y val="4.5454545454545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650793650793648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Лист1!$H$20:$H$24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Лист1!$J$20:$J$24</c:f>
              <c:numCache>
                <c:formatCode>General</c:formatCode>
                <c:ptCount val="5"/>
                <c:pt idx="0">
                  <c:v>34</c:v>
                </c:pt>
                <c:pt idx="1">
                  <c:v>72</c:v>
                </c:pt>
                <c:pt idx="2">
                  <c:v>93</c:v>
                </c:pt>
                <c:pt idx="3">
                  <c:v>69</c:v>
                </c:pt>
                <c:pt idx="4">
                  <c:v>113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365568"/>
        <c:axId val="67827904"/>
      </c:lineChart>
      <c:catAx>
        <c:axId val="168365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827904"/>
        <c:crosses val="autoZero"/>
        <c:auto val="1"/>
        <c:lblAlgn val="ctr"/>
        <c:lblOffset val="100"/>
        <c:noMultiLvlLbl val="0"/>
      </c:catAx>
      <c:valAx>
        <c:axId val="6782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3655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2</cp:revision>
  <dcterms:created xsi:type="dcterms:W3CDTF">2021-01-28T05:57:00Z</dcterms:created>
  <dcterms:modified xsi:type="dcterms:W3CDTF">2021-01-28T06:08:00Z</dcterms:modified>
</cp:coreProperties>
</file>