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6293"/>
        <w:gridCol w:w="4195"/>
      </w:tblGrid>
      <w:tr w:rsidR="00453D2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28" w:rsidRDefault="00453D28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95"/>
            </w:tblGrid>
            <w:tr w:rsidR="00453D2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53D28" w:rsidRDefault="00523A2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№5</w:t>
                  </w:r>
                </w:p>
                <w:p w:rsidR="00453D28" w:rsidRDefault="00523A2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Думы города Ханты-Мансийска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</w:tr>
    </w:tbl>
    <w:p w:rsidR="00453D28" w:rsidRDefault="00453D2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453D2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53D28" w:rsidRDefault="00523A23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бюджета города Ханты-Мансийска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ниям деятельности), группам (группам и подгруппам) видов расходов классиф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кации расходов бюджетов на 2022 год</w:t>
            </w:r>
          </w:p>
        </w:tc>
      </w:tr>
    </w:tbl>
    <w:p w:rsidR="00453D28" w:rsidRDefault="00453D28">
      <w:pPr>
        <w:rPr>
          <w:vanish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453D28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D28" w:rsidRDefault="00523A23">
            <w:pPr>
              <w:jc w:val="right"/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</w:tr>
    </w:tbl>
    <w:p w:rsidR="00453D28" w:rsidRDefault="00453D28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/>
      </w:tblPr>
      <w:tblGrid>
        <w:gridCol w:w="5445"/>
        <w:gridCol w:w="1927"/>
        <w:gridCol w:w="1077"/>
        <w:gridCol w:w="2040"/>
      </w:tblGrid>
      <w:tr w:rsidR="00453D28">
        <w:trPr>
          <w:tblHeader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295"/>
            </w:tblGrid>
            <w:tr w:rsidR="00453D28">
              <w:trPr>
                <w:jc w:val="center"/>
              </w:trPr>
              <w:tc>
                <w:tcPr>
                  <w:tcW w:w="5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28" w:rsidRDefault="00453D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77"/>
            </w:tblGrid>
            <w:tr w:rsidR="00453D28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Целевая ст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тья расходов (ЦСР)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28" w:rsidRDefault="00453D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7"/>
            </w:tblGrid>
            <w:tr w:rsidR="00453D28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расх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дов (ВР)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28" w:rsidRDefault="00453D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0"/>
            </w:tblGrid>
            <w:tr w:rsidR="00453D28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- всего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</w:tr>
    </w:tbl>
    <w:p w:rsidR="00453D28" w:rsidRDefault="00453D28">
      <w:pPr>
        <w:rPr>
          <w:vanish/>
        </w:rPr>
      </w:pPr>
      <w:bookmarkStart w:id="1" w:name="__bookmark_2"/>
      <w:bookmarkEnd w:id="1"/>
    </w:p>
    <w:tbl>
      <w:tblPr>
        <w:tblOverlap w:val="never"/>
        <w:tblW w:w="10489" w:type="dxa"/>
        <w:tblLayout w:type="fixed"/>
        <w:tblLook w:val="01E0"/>
      </w:tblPr>
      <w:tblGrid>
        <w:gridCol w:w="5445"/>
        <w:gridCol w:w="1927"/>
        <w:gridCol w:w="1077"/>
        <w:gridCol w:w="2040"/>
      </w:tblGrid>
      <w:tr w:rsidR="00453D28">
        <w:trPr>
          <w:tblHeader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2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295"/>
            </w:tblGrid>
            <w:tr w:rsidR="00453D28">
              <w:trPr>
                <w:jc w:val="center"/>
              </w:trPr>
              <w:tc>
                <w:tcPr>
                  <w:tcW w:w="52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28" w:rsidRDefault="00453D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777"/>
            </w:tblGrid>
            <w:tr w:rsidR="00453D28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28" w:rsidRDefault="00453D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7"/>
            </w:tblGrid>
            <w:tr w:rsidR="00453D28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D28" w:rsidRDefault="00453D2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0"/>
            </w:tblGrid>
            <w:tr w:rsidR="00453D28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3D28" w:rsidRDefault="00523A2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53D28" w:rsidRDefault="00453D28">
            <w:pPr>
              <w:spacing w:line="1" w:lineRule="auto"/>
            </w:pP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"Доступная среда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2 509 636,70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плекса мероприятий по дооборудованию, адаптации объектов социальной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города посредством сооружения, как внутри зданий, так и снаружи, панд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сов, поручней, входных групп, лифтов, обустройства территорий, подъездных п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тей, санитарных узлов, ванных комнат,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тановки специализированного оборудов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ния, вспомогательных средств и присп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соблений для </w:t>
            </w:r>
            <w:proofErr w:type="spellStart"/>
            <w:r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1 419 940,70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1 419 940,70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197 980,00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197 980,00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1 221 960,70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1 221 960,70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рожно-транспортной доступности для 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ломобильных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1 089 696,00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тика правонарушений в сфере 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общественной безопасности и пр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вопорядка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16 368 360,29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"Профилактика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15 948 963,54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функционирования и развития систем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деонаблюдения в сфере обеспечения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ственной безопасности и порядка"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7 682 642,64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государственных полномочий по созданию административных комиссий и определ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перечня должностных лиц органов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самоуправления, уполномоченных составлять протоколы об администрати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ных правонарушениях, предусмотренных пунктом 2 статьи 48 Закона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11 июня 2010 года N 102-оз "Об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3 985 400,00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перечня должностных лиц органов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самоуправления, уполномоченных составлять протоколы об администрати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ных правонарушениях, предусмотренных пунктом 2 статьи 48 Закона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11 июня 2010 года № 102-оз "Об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нистративных правонарушениях"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3 985 400,00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3 903 774,00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3 903 774,00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81 626,00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03 1 02 84250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81 626,00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создание условий для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03 1 03 82300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создание условий для деятельности народных дружин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03 S2300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мероприятий, направленных на профилактику правонарушений несове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шеннолетних"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03 1 04 20050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74 820,90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государственных полномочий по составл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(изменению и дополнению) списков кандидатов в присяжные заседатели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ральных судов общей юрисдикции"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дидатов в присяжные заседатели федерал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судов общей юрисдикции 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03 1 06 51200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"Реализация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антитеррористической защ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щенности объектов с массовым пребыван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ем людей и мест проведения массовых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03 1 07 00000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 в сфере общественного порядка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03 1 07 20050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03 1 07 20050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03 1 07 20050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"Профилактика незаконного оборота и потребления наркотических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и психотропных веществ"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264 003,42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"Реализация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приятий по информационной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ческой</w:t>
            </w:r>
            <w:proofErr w:type="spellEnd"/>
            <w:r>
              <w:rPr>
                <w:color w:val="000000"/>
                <w:sz w:val="28"/>
                <w:szCs w:val="28"/>
              </w:rPr>
              <w:t>, антиалкогольной и антитабачной пропаганде"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зл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употреблению наркотиками и их незако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профилактических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239 003,42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противодействию зл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употреблению наркотиками и их незако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ному обороту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239 003,42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239 003,42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03 2 03 20040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239 003,42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"Реализация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национальной политики и профилакт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экстремизма"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155 393,33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профилактике экстремизма и укреплению межнационального и межко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фессионального мира и согласия</w:t>
            </w:r>
            <w:proofErr w:type="gramStart"/>
            <w:r>
              <w:rPr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103 393,33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103 393,33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103 393,33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103 393,33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мер информационного противодействия распространению экстремисткой идеол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03 3 04 99990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358 846 456,95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массовой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51 728 423,28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ских спортивных соревнований по видам спорта и физкультурных мероприятий, обеспечение участия сборных команд гор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 в окружных, всероссийских соревнов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ниях, тренировочных мероприятиях, сем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нарах</w:t>
            </w:r>
            <w:proofErr w:type="gramStart"/>
            <w:r>
              <w:rPr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31 982 823,74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по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учащихся спортивных школ спорти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ным оборудованием, экипировкой и инве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тарем, проведению тренировочных сборов и участию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30 930 192,16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76 350,00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30 853 842,16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по обеспечению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щихся спортивных школ спортивным об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рудованием, экипировкой и инвентарем, проведению тренировочных сборов и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стию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52 631,58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52 631,58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52 631,58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"Проведение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организации отдыха и оздоро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детей в каникулярный период 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урочное время на спортивных дворовых площадках и хоккейных кортах</w:t>
            </w:r>
            <w:proofErr w:type="gramStart"/>
            <w:r>
              <w:rPr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3 935 872,00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Мероприятий по организации отдыха и 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855 872,00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матер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ально-технической базы учреждений спо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та и спортивных объектов"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13 768 709,33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6 049 972,49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6 049 972,49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6 049 972,49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по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учащихся спортивных школ спорти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ным оборудованием, экипировкой и инве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тарем, проведению тренировочных сборов и участию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4 599 400,00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муниципальных образований по развитию сети спортивных объектов шаговой до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2 733 400,00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2 733 400,00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05 1 03 82130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2 733 400,00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по обеспечению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щихся спортивных школ спортивным об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рудованием, экипировкой и инвентарем, проведению тренировочных сборов и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стию в соревнованиях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242 073,68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242 073,68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242 073,68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по развитию сети спортивных объектов шаговой доступности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143 863,16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143 863,16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03 S2130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143 863,16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организации и обеспечению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дыха и оздоровления детей, имеющих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сто жительства на территории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1 451 334,00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870 800,40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организацию пит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детей в возрасте от 6 до 17 лет (вкл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чительно) в лагерях с дневным пребыван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ем детей, в возрасте от 8 до 17 лет (вкл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чительно) – в палаточных лагерях, в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расте от 14 до 17 лет (включительно) - в 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герях труда и отдыха с дневным пребыв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05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580 533,60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"Спорт - норма 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команд, в том числе спортивных сбо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команд Российской Федерации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P5 50810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589 684,21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условий для выполнения функций и полномочий в сф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 физической культуры и спорта"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307 118 033,67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Управления физической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ры, спорта и молодежной политики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города Ханты-Мансийска 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ведомственных ему учреждений"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307 118 033,67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281 001 729,04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23 004 803,63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3 111 501,00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2 405 140,00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706 361,00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706 361,00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260 864 091,67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прав граждан на доступ к культурным ценностям и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формации"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86 241 935,50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библи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течного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86 135 735,50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84 969 950,50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06 1 01 82520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179 410,00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отрасли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L5190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524 750,00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бюджета расходов на развитие сферы культуры в муниципальных образованиях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92 325,00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92 325,00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01 S2520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92 325,00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"Выполнение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дельных государственных полномочий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тономного округа в сфере архивного дела"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полномочий по хранению, комплектованию, учету и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пользованию архивных документов, 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сящихся к государственной собственности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06 1 02 84100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174 622 156,17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"Реализация тво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ческого потенциала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174 622 156,17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151 211 937,97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23 410 218,20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20 000 371,00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20 000 371,00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3 409 847,20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6 782 188 393,07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"Общее образование.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полнительное образование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4 729 191 919,59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2 844 526,00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2 844 526,00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1 195 319,00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1 195 319,00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1 280 407,00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1 280 407,00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системы дополнительного образования детей.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 отдыха и оздоровления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54 326 402,67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организации отдыха и 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доровления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7 061 170,00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6 797 770,00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6 767 770,00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07 1 02 20010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дыха с дневным пребыванием детей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13 759 999,60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13 759 999,60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13 518 935,80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241 063,80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07 1 02 84080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24 331 900,00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организацию пит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детей в возрасте от 6 до 17 лет (вкл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чительно) в лагерях с дневным пребыван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ем детей, в возрасте от 8 до 17 лет (вкл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чительно) – в палаточных лагерях, в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расте от 14 до 17 лет (включительно) – в лагерях труда и отдыха с дневным преб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ванием детей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9 173 333,07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9 173 333,07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9 012 624,27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02 S2050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160 708,80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лизации основных общеобразовательных программ и программ дополнительного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 в образовательных организациях, расположенных на территории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4 646 950 470,92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858 112 241,78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858 112 241,78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842 387 023,65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15 725 218,13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ботникам государственных 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общеобразовательных организаций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87 494 400,00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87 494 400,00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07 1 03 53030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87 494 400,00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создание условий для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ствления присмотра и ухода за детьми,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держания детей в частных организациях, осуществляющих образовательную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тельность по реализации образовательных программ дошкольного образования,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положенных на территориях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образований Ханты-Мансийского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07 1 03 82470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 на социальную поддержку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дельных категорий обучающихся в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общеобразовательных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зациях, частных общеобразовательных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ганизациях, осуществляющих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тельную деятельность по имеющим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дарственную аккредитацию основным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щеобразовательным программам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238 784 000,00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90 487 000,00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3 785 371,70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3 785 371,70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1 529 628,30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1 529 628,30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07 1 03 84050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85 172 000,00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гарантий на получение образования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переданных органам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самоуправления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разований Ханты-Мансийского автономн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в области образования (на реализацию программ дошкольного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муниципальным образовательным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1 508 052 600,00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1 508 052 600,00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1 424 606 710,00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83 445 890,00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гарантий на получение образования и осуществления переданных органам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самоуправления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разований Ханты-Мансийского автономн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в области образовани</w:t>
            </w:r>
            <w:proofErr w:type="gramStart"/>
            <w:r>
              <w:rPr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color w:val="000000"/>
                <w:sz w:val="28"/>
                <w:szCs w:val="28"/>
              </w:rPr>
              <w:t>на реализацию программ дошкольного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зования частным образовательным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105 233 600,00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гарантий на получение образования и </w:t>
            </w: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осуществления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переданных органам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самоуправления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разований Ханты-Мансийского автономн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в области образования (на реализацию основных общеобразовател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программ муниципальным общеобр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зовательным организациям)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1 618 056 500,00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1 618 056 500,00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1 618 056 500,00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для обеспечения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гарантий на получение образования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переданных органам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самоуправления муниципальных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разований Ханты-Мансийского автономн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отдельных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полномочий в области образования (на выплату компенсации педагогическим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ботникам за работу по подготовке и пров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дению единого государственного экзамена и на организацию проведения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итоговой аттестации обучающихся, освоивших образовательные программы основного общего образования или средн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го общего образования, в том </w:t>
            </w:r>
            <w:proofErr w:type="gramStart"/>
            <w:r>
              <w:rPr>
                <w:color w:val="000000"/>
                <w:sz w:val="28"/>
                <w:szCs w:val="28"/>
              </w:rPr>
              <w:t>числе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ме единого государственного экзамена)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07 1 03 84305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10 230 300,00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1 689 029,14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1 333 029,14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1 333 029,14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Организация бесплатного горячего питания </w:t>
            </w:r>
            <w:r>
              <w:rPr>
                <w:color w:val="000000"/>
                <w:sz w:val="28"/>
                <w:szCs w:val="28"/>
              </w:rPr>
              <w:lastRenderedPageBreak/>
              <w:t>обучающихся, получающих начальное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щее образование в государственных и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ниципальных образовательных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циях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104 810 800,00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104 810 800,00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03 L3040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104 810 800,00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функционирования и обеспечение си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темы персонифицированного финансир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дополнительного образования детей"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25 070 520,00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"Система оценки качества образования и информационная прозра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ность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системы оценки качества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вания, включающей оценку результатов деятельности по реализации федерального государственного образовательного ста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дарта и учет динамики достижений кажд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обучающегося"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"Допризывная подготовка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3 606 766,00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"Поддержка де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ских и юношеских общественных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заций и объединений"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1 560 409,00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"Создание условий для развития </w:t>
            </w:r>
            <w:proofErr w:type="spellStart"/>
            <w:r>
              <w:rPr>
                <w:color w:val="000000"/>
                <w:sz w:val="28"/>
                <w:szCs w:val="28"/>
              </w:rPr>
              <w:t>гражданск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>, военно-патриотических качеств обучающихся"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2 046 357,00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"Ресурсное обеспечение системы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2 048 878 507,48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24 618 568,58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22 743 411,58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1 875 157,00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"Финансовое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печение полномочий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 города Ханты-Мансийска в сфере образования"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152 290 580,44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140 922 220,44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96 605 967,69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96 605 967,69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32 240 727,75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32 240 727,75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11 368 360,00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5 278 360,00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5 278 360,00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6 030 000,00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6 030 000,00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218 560 592,46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185 542 350,98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185 542 350,98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185 542 350,98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33 018 241,48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07 4 03 99990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33 018 241,48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33 018 241,48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матер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ально-технической базы образовательных организаций"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6 388 746,00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муниципальную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6 388 746,00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6 388 746,00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07 4 04 42110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6 388 746,00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"Современная шк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1 647 020 020,00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Консолидированные субсидии на Создание новых мест в муниципальных общеобраз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вательных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1 482 318 000,00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1 482 318 000,00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82860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1 482 318 000,00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создание новых мест в муниципальных общеобразовател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164 702 020,00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164 702 020,00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4 E1 S2860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164 702 020,00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"Формирование законопо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лушного поведения участников дорожного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"Формирование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конопослушного поведения участников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рожного движения"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доступным и комфортным жильем жителей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161 606 200,25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Основное мероприятие "Приобретение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лых помещений с целью улучшения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лищных условий отдельных категорий граждан и переселения граждан из авари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ного и непригодного для проживания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128 368 763,42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27 296 287,60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27 296 287,60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27 296 287,60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 для реализации полномочий в области градостроительной деятельности, строительства и жилищных отношений (Приобретение жилья в целях переселения граждан из жилых домов, признанных 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рийными, для обеспечения жильем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состоящих на учете для его получения на условиях социального найма, формир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маневренного жилищного фонда,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реселения граждан из жилых домов, 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дящихся в зонах затопления, подтопления, расселения приспособленных для прожив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строений, создание наемных домов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циального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использования)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27 358 400,00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27 358 400,00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27 358 400,00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жилых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мещений детям-сиротам и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тям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ставшимся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без попечения родителей, лицам из их числа по договорам найма 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циализированных жилых помещений.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09 0 01 84310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71 008 300,00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09 0 01 84310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71 008 300,00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09 0 01 84310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71 008 300,00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для реализации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номочий в области градостроительной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тельности, строительства и жилищных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ношений (Приобретение жилья в целях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реселения граждан из жилых домов,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знанных аварийными, для обеспечения жильем граждан, состоящих на учете для его получения на условиях социального найма, формирования маневренного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лищного фонда, переселения граждан из жилых домов, находящихся в зонах зато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ления, подтопления, расселения присп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собленных 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проживания строений, со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дание наемных домов социального испол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0 01 S2762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2 705 775,82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S2762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2 705 775,82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01 S2762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2 705 775,82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"Строительство жилых помещений с целью улучшения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лищных условий отдельных категорий граждан и переселения граждан из авари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ного и непригодного для проживания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1 366 978,80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1 366 978,80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1 366 978,80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09 0 02 42110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1 366 978,80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"Предоставление отдельным категориям граждан мер соц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альной поддержки с целью улучшения ук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занными гражданами жилищных условий"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31 857 658,03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граждан, установленных Федеральным законом от 12 января 1995 года № 5-ФЗ "О ветеранах", в соответствии с Указом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2 470 800,00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2 470 800,00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2 470 800,00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7 560 100,00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граждан, установленных федеральным законом от 24 ноября 1995 года №181-ФЗ "О социальной защите инвалидов 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Федерации", федеральный бюджет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09 0 03 51760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5 243 730,24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граждан, установленных Федеральным законом от 12 января 1995 года № 5-ФЗ "О ветеранах", в соответствии с Указом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зидента Российской Федерации от 7 мая 2008 года № 714 "Об обеспечении жильём ветеранов Великой Отечественной войны 1941-1945 годов", бюджет автономного о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руга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D1340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местного бюджета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полномочий по обеспечению жильем отдельных категорий граждан, установле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федеральными законами от 12 января 1995 года № 5-ФЗ "О ветеранах"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L1340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936 412,00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12 192 315,79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12 192 315,79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03 L4970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12 192 315,79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"Администриров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переданного отдельного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полномочия для обеспечения жилыми помещениями отдельных категорий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дан, определенных федеральным законод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реализацию полномочий, указанных в пунктах 3.1, 3.2 статьи 2 Зак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 Ханты-Мансийского автономного окр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31 марта 2009 года № 36-оз "О наделении органов местного самоупра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ления муниципальных образований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отдельными государственными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чиями для обеспечения жилыми помещ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ниями отдельных категорий граждан, опр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деленных федеральным законодательс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вом"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09 0 04 84220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"Основные направления развития в области упра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149 873 089,37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формирования состава и структ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муниципального имущества, предназн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хранностью"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39 387 414,20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собственности в рамках муниципальной программы "Основные направления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24 387 414,20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22 787 414,20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22 787 414,20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печения деятельности Департамента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ципальной собственности и МКУ "Дире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ция по содержанию имущества казны"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110 485 675,17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42 608 003,12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35 519 409,95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35 519 409,95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7 088 593,17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7 088 593,17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62 263 672,05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5 614 000,00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жилищно-коммунального комплекса и повышение энергетической эффективн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14 347 875,40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обеспечения качественными коммунал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14 347 875,40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"Ремонт (с заменой) систем теплоснабжения, водоснабжения и водоотведения, газоснабжения, электр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снабжения и жилищного фонда для подг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товки к осенне-зимнему сезону"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3 751 625,00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1 761 300,00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1 761 300,00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11 1 01 82591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1 761 300,00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реализацию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номочий в сфере жилищно-коммунального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440 325,00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440 325,00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1 01 S2591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440 325,00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"Формирование, хранение и реализация городского резерва материалов и оборудования, приобретенн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за счет средств городского бюджета, для устранения неисправностей, аварий и чре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вычайных ситуаций на объектах жилищно-коммунального хозяйства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 содержание резервов матер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альных ресурсов (запасов) для </w:t>
            </w:r>
            <w:proofErr w:type="spellStart"/>
            <w:r>
              <w:rPr>
                <w:color w:val="000000"/>
                <w:sz w:val="28"/>
                <w:szCs w:val="28"/>
              </w:rPr>
              <w:t>предупре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дения</w:t>
            </w:r>
            <w:proofErr w:type="gramStart"/>
            <w:r>
              <w:rPr>
                <w:color w:val="000000"/>
                <w:sz w:val="28"/>
                <w:szCs w:val="28"/>
              </w:rPr>
              <w:t>,л</w:t>
            </w:r>
            <w:proofErr w:type="gramEnd"/>
            <w:r>
              <w:rPr>
                <w:color w:val="000000"/>
                <w:sz w:val="28"/>
                <w:szCs w:val="28"/>
              </w:rPr>
              <w:t>иквидации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чрезвычайных ситуаций в целях гражданской обороны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11 1 03 20030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11 1 03 20030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11 1 03 20030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"Переключение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жилого фонда на канализ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ционный коллектор и ликвидация выгр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7 351 250,40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7 351 250,40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7 351 250,40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7 351 250,40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"Актуализация сх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мы теплоснабжения, обосновывающих 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териалов схемы теплоснабжения и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плекса моделирования аварийных,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штатных ситуаций на системе теплосна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жения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11 1 08 99990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"Корректировка </w:t>
            </w:r>
            <w:r>
              <w:rPr>
                <w:color w:val="000000"/>
                <w:sz w:val="28"/>
                <w:szCs w:val="28"/>
              </w:rPr>
              <w:lastRenderedPageBreak/>
              <w:t>(актуализация) программы "Комплексное развитие систем коммунальной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города Ханты-Мансийска на 2017-2032 годы"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11 1 09 00000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11 1 09 99990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жилищного и дорожного хозяйства, бл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гоустройство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876 856 873,04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лищного хозяйства и содержание объектов </w:t>
            </w:r>
            <w:proofErr w:type="spellStart"/>
            <w:r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коммунальной инфраструкт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182 619 337,05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61 337 494,47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48 810 298,41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48 810 298,41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12 525 196,06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12 525 196,06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67 575 202,71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66 615 530,71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66 615 530,71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959 672,00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959 672,00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7 224 892,42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6 956 334,42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268 558,00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некоммерческой организации "Югорский фонд капитального ремонта многоквартирных домов" на обеспечение мероприятий по капитальному ремонту многоквартирных домов за счет средств бюджета города Ханты-Мансийска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12 0 01 09601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12 0 01 09601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12 0 01 09601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738 453,96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14 041 321,10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14 041 321,10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14 041 321,10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31 701 972,39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31 701 972,39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31 701 972,39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обеспечения качественными комм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нальными, бытовыми услугами"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60 391 760,19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24 321 155,24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1 818 504,95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34 252 100,00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34 249 500,00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12 0 02 84340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34 249 500,00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"Строительство,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держание и ремонт объектов дорожного 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зяйства и инженерно-технических соор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жений, расположенных на них"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290 800 079,06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сан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тарного состояния и благоустройство, оз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ленение территории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291 596 891,45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86 716 584,85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86 716 584,85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86 716 584,85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энерг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сбережения и повышения энергетической эффективности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12 0 04 20020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9 438 951,55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</w:t>
            </w:r>
            <w:proofErr w:type="gramStart"/>
            <w:r>
              <w:rPr>
                <w:color w:val="000000"/>
                <w:sz w:val="28"/>
                <w:szCs w:val="28"/>
              </w:rPr>
              <w:t>на организацию мероприятий при осуществлении деятельности по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щению с животными без владельцев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1 424 400,00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69 592,16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69 592,16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1 354 807,84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1 354 807,84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организацию осуществления мероприятий по проведению дезинсекции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дератизации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Ханты-Мансийском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номном округе – </w:t>
            </w:r>
            <w:proofErr w:type="spellStart"/>
            <w:r>
              <w:rPr>
                <w:color w:val="000000"/>
                <w:sz w:val="28"/>
                <w:szCs w:val="28"/>
              </w:rPr>
              <w:t>Югре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5 521 400,00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37 266,00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37 266,00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5 484 134,00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5 484 134,00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отдельных государственных полномочий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обращения с твердыми коммунал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ными отходами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17 398,04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17 398,04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146 201,96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12 0 04 84290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146 201,96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188 331 955,05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188 331 955,05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188 331 955,05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"Формирование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временной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6 177 555,14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6 177 555,14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6 177 555,14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12 0 05 99990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6 177 555,14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"Формирование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фортной городской среды"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45 271 250,15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26 977 875,15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26 977 875,15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55550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26 977 875,15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82600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14 634 700,00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82600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14 634 700,00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82600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14 634 700,00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благоустройство территорий муниципальных образований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S2600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3 658 675,00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S2600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3 658 675,00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F2 S2600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3 658 675,00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"Осущест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ление городом Ханты-Мансийском функций административного центра Ханты-Мансийского автономного окр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га -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454 545 455,00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турной программы мероприятий и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зация праздничного оформления 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ративного центра Ханты-Мансийского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период их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23 761 112,04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бюджету городского округа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род Ханты-Мансийск на осуществление функций административного центра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23 523 500,91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17 030 913,91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17 030 913,91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6 492 587,00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6 492 587,00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осуществление функций административного центра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237 611,13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172 029,44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172 029,44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65 581,69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01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65 581,69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необх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димых условий для формирования, сохр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нения, развития инфраструктуры и внешн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го облика города Ханты-Мансийска как административного центра Ханты-Мансийского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430 784 342,96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бюджету городского округа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 Ханты-Мансийск на осуществление функций административного центра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426 476 499,09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372 499 499,09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372 499 499,09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53 977 000,00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13 0 02 82400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53 977 000,00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осуществление функций административного центра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ты-Мансийского автономного округа –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4 307 843,87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3 762 621,65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3 762 621,65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545 222,22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02 S2400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545 222,22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"Управл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муниципальными финансами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373 136 457,63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номочий и функций финансового органа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87 686 876,63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65 265 731,55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64 203 232,00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64 203 232,00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1 062 499,55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1 062 499,55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22 421 145,08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9 055 000,00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14 0 01 02400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13 366 145,08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взв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шенной долговой политики, надлежащее исполнение обязательств по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заимствованиям</w:t>
            </w:r>
            <w:proofErr w:type="gramStart"/>
            <w:r>
              <w:rPr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пального)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14 0 02 20170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"Формирование в бюджете города резервного фонда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нистрации города в соответствии с треб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ваниями Бюджетного кодекса Российской Федерации</w:t>
            </w:r>
            <w:proofErr w:type="gramStart"/>
            <w:r>
              <w:rPr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14 0 03 20210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Думы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46 449 581,00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24 479 330,00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21 418 295,00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21 418 295,00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3 036 035,00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3 036 035,00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229 880,00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5 499 808,00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5 499 808,00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5 499 808,00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4 178 703,00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4 178 703,00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4 178 703,00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контрольно-счетной палаты муниципального образования и его заме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тителя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5 459 162,00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5 459 162,00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14 0 04 02250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5 459 162,00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6 602 698,00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4 298 378,00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4 298 378,00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2 304 320,00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14 0 04 02400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2 304 320,00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307 737 658,89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"Строительство,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конструкция, капитальный ремонт и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объектов улично-дорожной сети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7 963 673,80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собственностью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7 963 673,80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7 963 673,80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7 963 673,80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"Повышение ко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плексной безопасности дорожного движ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и устойчивости транспортной системы"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30 705 780,49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шений в сфере безопасности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15 0 02 20060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3 028 997,17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приобретение и установку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ботающих в автоматическом режиме 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циальных технических средств, имеющих функции фото- и киносъемки, видеозаписи для фиксации нарушений правил дорожн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чения государственных (муниципальных) </w:t>
            </w:r>
            <w:r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15 0 02 82810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21 194 783,32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21 194 783,32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21 194 783,32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приобретение и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тановку работающих в автоматическом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жиме специальных технических средств, имеющих функции фото- и киносъемки, видеозаписи для фиксации нарушений пр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вил дорожного движения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02 S2810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транспортного обслуживания населения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томобильным, внутренним водным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портом в границах городского округа город Ханты-Мансийск"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192 520 304,60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6 222 143,40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186 298 161,20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"Дорожная сеть"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76 547 900,00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строительство (реконстру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цию), капитальный ремонт и ремонт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мобильных дорог и </w:t>
            </w:r>
            <w:proofErr w:type="spellStart"/>
            <w:r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ных сооружений в рамках реализации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ционального проекта "Безопасные качес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венные дороги"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0 R1 53940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76 547 900,00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53940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76 547 900,00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R1 53940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76 547 900,00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439 349 008,28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13 165 000,00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13 165 000,00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социально ориентированным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13 165 000,00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13 165 000,00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17 1 01 61800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13 165 000,00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"Создание условий для расширения доступа населения к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о деятельности органов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города Ханты-Мансийска,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циально значимых мероприятиях, пров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димых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136 038 276,96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"Создание условий для обеспечения открытости органов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ного самоуправления"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МБУ "Городской информацио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131 288 276,96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131 288 276,96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131 288 276,96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131 288 276,96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"Цифровое развитие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12 401 500,00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"Развитие эле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тронного муниципалитета"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в области информационных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17 3 01 20070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10 401 500,00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"Развитие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мационного общества"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в области информационных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17 3 02 20070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деятельности, направленной на укрепление института 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мьи в гражданском обществе"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128 769 500,00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"Предоставление дополнительных мер социальной поддер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ки детей-сирот и детей, оставшихся без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печения родителей, лиц из их числа, а та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же граждан, принявших на воспитание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тей, оставшихся без родительского попеч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предоставление дополн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тельных мер социальной поддержки детям-сиротам и детям, оставшимся без попеч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родителей, лицам из числа детей-сирот и детей, оставшихся без попечения родит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лей, усыновителям, приемным родителям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17 4 01 84060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17 4 01 84060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17 4 01 84060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85 148 800,00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43 620 700,00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осуществление деятельности по опеке и попечительству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43 620 700,00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37 310 400,00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37 310 400,00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3 135 000,00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3 175 300,00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17 4 02 84320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3 175 300,00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"Организация деятельности, направленной на поддержание стабильного качества жизни отдельных категорий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148 974 731,32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мероприятия "Создание условий для реализации культурных потребностей </w:t>
            </w:r>
            <w:r>
              <w:rPr>
                <w:color w:val="000000"/>
                <w:sz w:val="28"/>
                <w:szCs w:val="28"/>
              </w:rPr>
              <w:lastRenderedPageBreak/>
              <w:t>отдельных категорий граждан, укрепление социальной защищенности"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113 752 243,30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113 752 243,30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18 717 429,30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18 717 429,30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85 986 424,00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платы гражданам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8 237 964,00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77 748 460,00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9 048 390,00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9 048 390,00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мероприятия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МКУ "Служба социальной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держки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35 222 488,02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31 579 486,79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31 579 486,79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3 643 001,23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3 643 001,23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"Содействие развитию садоводческих и огороднич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ских некоммерческих объединений гр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3 097 244,64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под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 xml:space="preserve">ездных путей от городских дорог общего </w:t>
            </w:r>
            <w:r>
              <w:rPr>
                <w:color w:val="000000"/>
                <w:sz w:val="28"/>
                <w:szCs w:val="28"/>
              </w:rPr>
              <w:lastRenderedPageBreak/>
              <w:t>пользования, федеральных трасс до границ территорий садоводческих и огороднич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некоммерческих объединений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2 497 244,64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"Предоставление земельных участков садоводческим и 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родническим некоммерческим объединен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 граждан, а также гражданам, нужда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щимся в предоставлении садовых и 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родных земельных участков"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Гранты в форме субсидий общественным организациям в рамках муниципальной программы "Содействие развитию сад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водческих и огороднических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объединений граждан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19 0 03 61800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 и территории от чрезвычайных ситуаций, обеспечение пожарной без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пасности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148 777 300,81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"Защита населения и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от чрезвычайных ситуаций,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пожарной безопасности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18 667 702,95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"Совершенствов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системы предупреждения и защиты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селения от чрезвычайных ситуаций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родного и техногенного характера</w:t>
            </w:r>
            <w:proofErr w:type="gramStart"/>
            <w:r>
              <w:rPr>
                <w:color w:val="000000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7 481 126,61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7 481 126,61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7 173 126,61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7 173 126,61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"Совершенствов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системы мониторинга и прогнозиров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чрезвычайных ситуаций"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22 1 02 99990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11 186 576,34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130 109 597,86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вий для выполнения функций и 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чий, возложенных на МКУ "Управление гражданской защиты населения"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130 109 597,86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130 109 597,86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99 914 905,06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99 914 905,06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29 739 539,80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29 739 539,80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455 153,00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22 2 01 00590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455 153,00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ние градостроительной деятельности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163 828 160,04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Департамента градостроительс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163 328 160,04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91 011 401,24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67 449 955,24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67 449 955,24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23 451 446,00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23 451 446,00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66 293 707,00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65 216 707,00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65 216 707,00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6 023 051,80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5 660 811,80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23 0 02 02400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362 240,00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"Проведение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пертиз зданий и сооружений"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23 0 03 99990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"Проект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рование и строительство инженерных сетей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28 053 177,73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"Проектирование и строительство систем инженерной инфр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структуры в целях обеспечения инжене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ной подготовки земельных участков для жилищного строительства"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Инвестиции в объекты муниципальной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(муниципальной) собственности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24 0 01 42110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28 053 177,73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"Молодежь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24 696 388,85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сфере молоде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ной политики"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8 968 428,32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муниципального бюджетного учреждения "Молодежный центр"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25 0 02 00590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15 727 960,53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630 821 786,45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"Повышение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фессиональной квалификации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"Совершенствов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системы информационной открытости, гласности в деятельности муниципальной службы, формирование позитивного ими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жа муниципального служащего"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"Исполнение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министрацией города Ханты-Мансийска полномочий и функций по решению вопр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сов местного значения и отдельных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дарственных полномочий, переданных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деральными законами и законами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сфере государственной регистрации актов гражданского состояния, созданию и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ществлению деятельности комиссии по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лам несовершеннолетних и защите их прав"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26 0 05 00000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628 087 786,45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учреждений, в том числе подведомственных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320 790 635,32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133 118 237,43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133 118 237,43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186 632 397,89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186 632 397,89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26 0 05 02030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5 977 586,00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26 0 05 02040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250 584 865,13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мероприятия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29 649 000,00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18 450 000,00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8 899 000,00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8 899 000,00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нам несоциального характера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26 0 05 02400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переданных полномочий Российской Федерации на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сударственную регистрацию актов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данского состояния, за счет средств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рального бюджета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7 870 900,00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6 736 312,00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6 736 312,00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1 134 588,00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26 0 05 59300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1 134 588,00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по созданию и осуществлению деятельности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пальных комиссий по делам несоверше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нолетних и защите их прав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10 795 600,00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9 470 600,00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9 470 600,00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26 0 05 84270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переданных полномочий Российской Федерации на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сударственную регистрацию актов гра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данского состояния за счет средств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та Ханты-Мансийского автономного округа - </w:t>
            </w:r>
            <w:proofErr w:type="spellStart"/>
            <w:r>
              <w:rPr>
                <w:color w:val="000000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2 419 200,00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2 419 200,00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05 D9300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2 419 200,00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27 0 00 00000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60 071 384,94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субъектов малого и среднего предпринимательства на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9 393 245,94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27 1 01 99990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"Финансовая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держка субъектов малого и среднего 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принимательства"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27 1 02 61100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4 379 468,16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финансовую поддержку впе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вые зарегистрированным и действующим менее одного года субъектам малого и среднего предпринимательства в органах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82320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82320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82320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бюджета расходов на финансовую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держку впервые зарегистрированным и действующим менее одного года субъектам малого и среднего предпринимательства в органах местного самоуправления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S2320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S2320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I4 S2320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46 300,00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"Акселерация суб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ектов малого и среднего предпринимател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4 050 777,78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малого и среднего предпринимательства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3 645 700,00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3 645 700,00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I5 82380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3 645 700,00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го бюджета расходов на государственную поддержку малого и среднего предприн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мательства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405 077,78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405 077,78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1 I5 S2380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405 077,78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сельскохозяйс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венного производства и обеспечение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довольственной безопасности города Ха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16 312 000,00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животн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водства 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поддержку и развитие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27 2 02 84350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рыбох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15 174 000,00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27 2 04 61100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рыбохозяйственн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27 2 04 84180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коммерческих организаций), индивидуал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27 2 05 84190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"Создание условий для реализации сельскохозяйственной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дукции на территории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27 2 06 99990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инвестиционной деятельности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27 3 02 99990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"Улучшение условий и о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раны труда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9 959 500,00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"Организация и 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мероприятиях по вопросам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208 127,00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в сфере 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58 127,00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58 127,00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58 127,00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"Публикация, изг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товление рекламных и методических мат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риалов, приобретение литературы по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просам трудовых отношений"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27 4 02 99990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в сфере 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27 4 03 84120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отдела охраны труда управления экономического развития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отдельных государственных полномочий в сфере 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довых отношений и государственного управления охраной труда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27 4 04 84120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3 607 373,00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"Содействие труд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граждан"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лизацию мероприятий по содействию 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доустройству граждан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6 004 000,00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94 800,00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5 779 200,00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27 4 06 85060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5 779 200,00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27 5 00 00000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23 406 639,00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"Создание условий для устойчивого развития внутреннего и въездного туризма, проведение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тий, направленных на расширение спектра туристских услуг и их изучение, продвиж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на территории Российской Федерации"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27 5 01 99990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6 390 562,00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проведение комплекса мероприятий по реализации культурно-туристического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бытийного проекта "Ханты-Мансийск - 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вогодняя столица"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27 5 04 99990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3 950 000,00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 МБУ "Управление по развитию туризма и внешних связей"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27 5 05 00000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зание услуг) муниципальных учреждений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тономным учреждениям и иным некомме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27 5 05 00590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13 066 077,00</w:t>
            </w:r>
          </w:p>
        </w:tc>
      </w:tr>
      <w:tr w:rsidR="00453D28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523A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Default="00453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3D28" w:rsidRPr="00B17F53" w:rsidRDefault="00523A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53">
              <w:rPr>
                <w:b/>
                <w:bCs/>
                <w:color w:val="000000"/>
                <w:sz w:val="24"/>
                <w:szCs w:val="24"/>
              </w:rPr>
              <w:t>11 257 575 000,00</w:t>
            </w:r>
          </w:p>
        </w:tc>
      </w:tr>
    </w:tbl>
    <w:p w:rsidR="00523A23" w:rsidRDefault="00523A23"/>
    <w:sectPr w:rsidR="00523A23" w:rsidSect="00453D28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23" w:rsidRDefault="00523A23" w:rsidP="00453D28">
      <w:r>
        <w:separator/>
      </w:r>
    </w:p>
  </w:endnote>
  <w:endnote w:type="continuationSeparator" w:id="0">
    <w:p w:rsidR="00523A23" w:rsidRDefault="00523A23" w:rsidP="0045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53D28">
      <w:tc>
        <w:tcPr>
          <w:tcW w:w="10704" w:type="dxa"/>
        </w:tcPr>
        <w:p w:rsidR="00453D28" w:rsidRDefault="00523A2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53D28" w:rsidRDefault="00453D2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23" w:rsidRDefault="00523A23" w:rsidP="00453D28">
      <w:r>
        <w:separator/>
      </w:r>
    </w:p>
  </w:footnote>
  <w:footnote w:type="continuationSeparator" w:id="0">
    <w:p w:rsidR="00523A23" w:rsidRDefault="00523A23" w:rsidP="0045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53D28">
      <w:tc>
        <w:tcPr>
          <w:tcW w:w="10704" w:type="dxa"/>
        </w:tcPr>
        <w:p w:rsidR="00453D28" w:rsidRDefault="00566156">
          <w:pPr>
            <w:jc w:val="center"/>
            <w:rPr>
              <w:color w:val="000000"/>
            </w:rPr>
          </w:pPr>
          <w:r>
            <w:fldChar w:fldCharType="begin"/>
          </w:r>
          <w:r w:rsidR="00523A23">
            <w:rPr>
              <w:color w:val="000000"/>
            </w:rPr>
            <w:instrText>PAGE</w:instrText>
          </w:r>
          <w:r>
            <w:fldChar w:fldCharType="separate"/>
          </w:r>
          <w:r w:rsidR="002F7DBC">
            <w:rPr>
              <w:noProof/>
              <w:color w:val="000000"/>
            </w:rPr>
            <w:t>57</w:t>
          </w:r>
          <w:r>
            <w:fldChar w:fldCharType="end"/>
          </w:r>
        </w:p>
        <w:p w:rsidR="00453D28" w:rsidRDefault="00453D2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28"/>
    <w:rsid w:val="002F7DBC"/>
    <w:rsid w:val="00453D28"/>
    <w:rsid w:val="00523A23"/>
    <w:rsid w:val="00566156"/>
    <w:rsid w:val="00B1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53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15786</Words>
  <Characters>89982</Characters>
  <Application>Microsoft Office Word</Application>
  <DocSecurity>0</DocSecurity>
  <Lines>749</Lines>
  <Paragraphs>211</Paragraphs>
  <ScaleCrop>false</ScaleCrop>
  <Company/>
  <LinksUpToDate>false</LinksUpToDate>
  <CharactersWithSpaces>105557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2</cp:revision>
  <dcterms:created xsi:type="dcterms:W3CDTF">2021-11-16T10:39:00Z</dcterms:created>
  <dcterms:modified xsi:type="dcterms:W3CDTF">2021-11-16T10:39:00Z</dcterms:modified>
</cp:coreProperties>
</file>