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5" w:rsidRPr="00422719" w:rsidRDefault="00991D55" w:rsidP="0042271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422719">
        <w:rPr>
          <w:b/>
          <w:bCs/>
          <w:sz w:val="28"/>
          <w:szCs w:val="28"/>
        </w:rPr>
        <w:t xml:space="preserve">Отчёт о деятельности Департамента управления </w:t>
      </w:r>
      <w:proofErr w:type="gramStart"/>
      <w:r w:rsidRPr="00422719">
        <w:rPr>
          <w:b/>
          <w:bCs/>
          <w:sz w:val="28"/>
          <w:szCs w:val="28"/>
        </w:rPr>
        <w:t>финансами  Администрации</w:t>
      </w:r>
      <w:proofErr w:type="gramEnd"/>
      <w:r w:rsidRPr="00422719">
        <w:rPr>
          <w:b/>
          <w:bCs/>
          <w:sz w:val="28"/>
          <w:szCs w:val="28"/>
        </w:rPr>
        <w:t xml:space="preserve"> города Ханты-Мансийска за 20</w:t>
      </w:r>
      <w:r w:rsidR="00422719" w:rsidRPr="00422719">
        <w:rPr>
          <w:b/>
          <w:bCs/>
          <w:sz w:val="28"/>
          <w:szCs w:val="28"/>
        </w:rPr>
        <w:t>20</w:t>
      </w:r>
      <w:r w:rsidRPr="00422719">
        <w:rPr>
          <w:b/>
          <w:bCs/>
          <w:sz w:val="28"/>
          <w:szCs w:val="28"/>
        </w:rPr>
        <w:t xml:space="preserve"> год</w:t>
      </w:r>
    </w:p>
    <w:p w:rsidR="00991D55" w:rsidRPr="00422719" w:rsidRDefault="00991D55" w:rsidP="0042271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</w:p>
    <w:p w:rsidR="00991D55" w:rsidRPr="00422719" w:rsidRDefault="00991D55" w:rsidP="0042271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422719">
        <w:rPr>
          <w:bCs/>
          <w:sz w:val="28"/>
          <w:szCs w:val="28"/>
        </w:rPr>
        <w:t>Департамент управления финансами Администрации города Ханты-Мансийска в соответствии с Положением о Департаменте управления финансами Администрации города Ханты-Мансийска  (далее – Департамент), утвержденным решением Думы города Ханты-Мансийска от 02 июня 2014 года №514-</w:t>
      </w:r>
      <w:r w:rsidRPr="00422719">
        <w:rPr>
          <w:bCs/>
          <w:sz w:val="28"/>
          <w:szCs w:val="28"/>
          <w:lang w:val="en-US"/>
        </w:rPr>
        <w:t>V</w:t>
      </w:r>
      <w:r w:rsidRPr="00422719">
        <w:rPr>
          <w:bCs/>
          <w:sz w:val="28"/>
          <w:szCs w:val="28"/>
        </w:rPr>
        <w:t>РД является финансовым органом муниципального образования  Ханты-Мансийского автономного округа-Югры  городской округ город Ханты-Мансийск (далее – город Ханты-Мансийск), осуществляющим полномочия и функции Администрации города по решению вопросов местного значения в об</w:t>
      </w:r>
      <w:r w:rsidR="00422719" w:rsidRPr="00422719">
        <w:rPr>
          <w:bCs/>
          <w:sz w:val="28"/>
          <w:szCs w:val="28"/>
        </w:rPr>
        <w:t>ласти бюджета, финансов и учета.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Деятельность Департамента направлена на решение следующих задач: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разработку и реализацию единой бюджетной и налоговой политики на территории города Ханты-Мансийска;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составление проекта бюджета города Ханты-Мансийска;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организация исполнения бюджета города Ханты-Мансийска;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развитие и совершенствование бюджетного процесса, совершенствование методов бюджетного планирования;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соответствии с бюджетным законодательством Российской Федерации;</w:t>
      </w:r>
    </w:p>
    <w:p w:rsidR="00422719" w:rsidRPr="00422719" w:rsidRDefault="00422719" w:rsidP="0042271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сфере закупок товаров, работ, услуг для обеспечения муниципальных нужд.</w:t>
      </w:r>
    </w:p>
    <w:p w:rsidR="00422719" w:rsidRPr="00422719" w:rsidRDefault="00422719" w:rsidP="00D32E68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right="142" w:firstLine="714"/>
        <w:jc w:val="both"/>
        <w:rPr>
          <w:rFonts w:eastAsia="Courier New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</w:rPr>
        <w:t xml:space="preserve">Первостепенной задачей при формировании и исполнении бюджета города Ханты-Мансийска является обеспечение его сбалансированности, достижение которой осуществлялось посредством консервативных подходов к формированию доходов и расходов бюджета, поддержания долговой нагрузки на безопасном уровне. </w:t>
      </w:r>
      <w:r w:rsidRPr="00422719">
        <w:rPr>
          <w:sz w:val="28"/>
          <w:szCs w:val="28"/>
        </w:rPr>
        <w:t xml:space="preserve">Основные направления бюджетной и налоговой политики города Ханты-Мансийска на 2020 год и на плановый период 2021 и 2022 годов одобрены постановлением Администрации города Ханты-Мансийска от 08.11.2019 № 1353. </w:t>
      </w:r>
    </w:p>
    <w:p w:rsidR="00422719" w:rsidRPr="00422719" w:rsidRDefault="00422719" w:rsidP="00422719">
      <w:pPr>
        <w:autoSpaceDE w:val="0"/>
        <w:autoSpaceDN w:val="0"/>
        <w:adjustRightInd w:val="0"/>
        <w:spacing w:after="160" w:line="276" w:lineRule="auto"/>
        <w:ind w:firstLine="720"/>
        <w:jc w:val="both"/>
        <w:rPr>
          <w:rFonts w:eastAsia="Courier New"/>
          <w:sz w:val="28"/>
          <w:szCs w:val="28"/>
          <w:lang w:eastAsia="en-US"/>
        </w:rPr>
      </w:pPr>
      <w:r w:rsidRPr="00422719">
        <w:rPr>
          <w:rFonts w:eastAsia="Courier New"/>
          <w:sz w:val="28"/>
          <w:szCs w:val="28"/>
          <w:lang w:eastAsia="en-US"/>
        </w:rPr>
        <w:t xml:space="preserve">Исполнение бюджета города Ханты-Мансийска в 2020 году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Pr="00422719">
        <w:rPr>
          <w:rFonts w:eastAsia="Courier New"/>
          <w:sz w:val="28"/>
          <w:szCs w:val="28"/>
          <w:lang w:eastAsia="en-US"/>
        </w:rPr>
        <w:t>коронавирусной</w:t>
      </w:r>
      <w:proofErr w:type="spellEnd"/>
      <w:r w:rsidRPr="00422719">
        <w:rPr>
          <w:rFonts w:eastAsia="Courier New"/>
          <w:sz w:val="28"/>
          <w:szCs w:val="28"/>
          <w:lang w:eastAsia="en-US"/>
        </w:rPr>
        <w:t xml:space="preserve"> инфекции COVID-19 и принятием мер по устранению ее последствий. В сложившихся экономических условиях основными ориентирами и приоритетами бюджетной и налоговой политики города стало сохранение финансовой устойчивости и сбалансированности бюджетной системы города Ханты-Мансийска, обеспечение достижения национальных целей развития </w:t>
      </w:r>
      <w:r w:rsidRPr="00422719">
        <w:rPr>
          <w:rFonts w:eastAsia="Courier New"/>
          <w:sz w:val="28"/>
          <w:szCs w:val="28"/>
          <w:lang w:eastAsia="en-US"/>
        </w:rPr>
        <w:lastRenderedPageBreak/>
        <w:t>Российской Федерации, направленных на повышение уровня жизни граждан, создание комфортных условий для их проживания.</w:t>
      </w:r>
    </w:p>
    <w:p w:rsidR="00422719" w:rsidRPr="00422719" w:rsidRDefault="00422719" w:rsidP="00422719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>Динамика параметров бюджета города Ханты-Мансийска, тыс. рублей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701"/>
        <w:gridCol w:w="1559"/>
        <w:gridCol w:w="1560"/>
        <w:gridCol w:w="1617"/>
        <w:gridCol w:w="1617"/>
      </w:tblGrid>
      <w:tr w:rsidR="00422719" w:rsidRPr="00422719" w:rsidTr="00FB296B">
        <w:trPr>
          <w:trHeight w:val="84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 xml:space="preserve"> 2016 года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Исполнение 2017 года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Исполнение 2018 года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 xml:space="preserve"> 2019 года</w:t>
            </w:r>
          </w:p>
        </w:tc>
        <w:tc>
          <w:tcPr>
            <w:tcW w:w="1617" w:type="dxa"/>
            <w:shd w:val="clear" w:color="000000" w:fill="FFFFFF"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422719" w:rsidRPr="00422719" w:rsidRDefault="00422719" w:rsidP="0042271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19">
              <w:rPr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422719" w:rsidRPr="00422719" w:rsidTr="00FB296B">
        <w:trPr>
          <w:trHeight w:val="699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Доходы бюджета города, в том числе: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7 791 888,2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8 159 186,8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8 577 301,8</w:t>
            </w:r>
          </w:p>
        </w:tc>
        <w:tc>
          <w:tcPr>
            <w:tcW w:w="1617" w:type="dxa"/>
            <w:shd w:val="clear" w:color="auto" w:fill="FFFFFF" w:themeFill="background1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9 450 </w:t>
            </w:r>
            <w:r w:rsidRPr="00422719">
              <w:rPr>
                <w:bCs/>
                <w:color w:val="000000"/>
                <w:sz w:val="20"/>
                <w:szCs w:val="20"/>
                <w:shd w:val="clear" w:color="auto" w:fill="FFFFFF" w:themeFill="background1"/>
              </w:rPr>
              <w:t>522,</w:t>
            </w:r>
            <w:r w:rsidRPr="0042271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11 495 080,1</w:t>
            </w:r>
          </w:p>
        </w:tc>
      </w:tr>
      <w:tr w:rsidR="00422719" w:rsidRPr="00422719" w:rsidTr="00FB296B">
        <w:trPr>
          <w:trHeight w:val="553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2 658 103,7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2 915 438,5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3 282 166,4</w:t>
            </w:r>
          </w:p>
        </w:tc>
        <w:tc>
          <w:tcPr>
            <w:tcW w:w="1617" w:type="dxa"/>
            <w:shd w:val="clear" w:color="auto" w:fill="FFFFFF" w:themeFill="background1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3 506 821,</w:t>
            </w:r>
            <w:r w:rsidRPr="00422719">
              <w:rPr>
                <w:rFonts w:eastAsia="Calibri"/>
                <w:color w:val="000000"/>
                <w:sz w:val="20"/>
                <w:szCs w:val="20"/>
                <w:shd w:val="clear" w:color="auto" w:fill="FFFFFF" w:themeFill="background1"/>
                <w:lang w:eastAsia="en-US"/>
              </w:rPr>
              <w:t>4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3 613 993,4</w:t>
            </w:r>
          </w:p>
        </w:tc>
      </w:tr>
      <w:tr w:rsidR="00422719" w:rsidRPr="00422719" w:rsidTr="00FB296B">
        <w:trPr>
          <w:trHeight w:val="56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273 051,1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197 185,0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283 508,5</w:t>
            </w:r>
          </w:p>
        </w:tc>
        <w:tc>
          <w:tcPr>
            <w:tcW w:w="1617" w:type="dxa"/>
            <w:shd w:val="clear" w:color="auto" w:fill="FFFFFF" w:themeFill="background1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278 199,2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2719">
              <w:rPr>
                <w:rFonts w:eastAsia="Calibri"/>
                <w:color w:val="000000"/>
                <w:sz w:val="20"/>
                <w:szCs w:val="20"/>
                <w:lang w:eastAsia="en-US"/>
              </w:rPr>
              <w:t>281 810,7</w:t>
            </w:r>
          </w:p>
        </w:tc>
      </w:tr>
      <w:tr w:rsidR="00422719" w:rsidRPr="00422719" w:rsidTr="00FB296B">
        <w:trPr>
          <w:trHeight w:val="555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Безвозмездные поступления из вышестоящих бюджетов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4 860 733,4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5 046 563,3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5 011 626,9</w:t>
            </w:r>
          </w:p>
        </w:tc>
        <w:tc>
          <w:tcPr>
            <w:tcW w:w="1617" w:type="dxa"/>
            <w:shd w:val="clear" w:color="auto" w:fill="FFFFFF" w:themeFill="background1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5 665 501,5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7 599 276,0</w:t>
            </w:r>
          </w:p>
        </w:tc>
      </w:tr>
      <w:tr w:rsidR="00422719" w:rsidRPr="00422719" w:rsidTr="00FB296B">
        <w:trPr>
          <w:trHeight w:val="42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Расходы бюджета города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7 671 065,9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8 145 396,8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8 620 151,4</w:t>
            </w:r>
          </w:p>
        </w:tc>
        <w:tc>
          <w:tcPr>
            <w:tcW w:w="1617" w:type="dxa"/>
            <w:shd w:val="clear" w:color="auto" w:fill="FFFFFF" w:themeFill="background1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9 293 887,1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11 657 929,9</w:t>
            </w: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2719" w:rsidRPr="00422719" w:rsidTr="00FB296B">
        <w:trPr>
          <w:trHeight w:val="698"/>
          <w:jc w:val="center"/>
        </w:trPr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120 822,3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13 790,0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-42 849,6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 xml:space="preserve">156 674,8 </w:t>
            </w:r>
          </w:p>
        </w:tc>
        <w:tc>
          <w:tcPr>
            <w:tcW w:w="1617" w:type="dxa"/>
            <w:shd w:val="clear" w:color="auto" w:fill="FFFFFF" w:themeFill="background1"/>
          </w:tcPr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2719" w:rsidRPr="00422719" w:rsidRDefault="00422719" w:rsidP="004227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22719">
              <w:rPr>
                <w:bCs/>
                <w:color w:val="000000"/>
                <w:sz w:val="20"/>
                <w:szCs w:val="20"/>
              </w:rPr>
              <w:t>- 162 849,8</w:t>
            </w:r>
          </w:p>
        </w:tc>
      </w:tr>
    </w:tbl>
    <w:p w:rsidR="00422719" w:rsidRPr="00422719" w:rsidRDefault="00422719" w:rsidP="00422719">
      <w:pPr>
        <w:shd w:val="clear" w:color="auto" w:fill="FFFFFF" w:themeFill="background1"/>
        <w:suppressAutoHyphens/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422719" w:rsidRPr="00422719" w:rsidRDefault="00422719" w:rsidP="00422719">
      <w:pPr>
        <w:shd w:val="clear" w:color="auto" w:fill="FFFFFF" w:themeFill="background1"/>
        <w:tabs>
          <w:tab w:val="left" w:pos="9214"/>
          <w:tab w:val="left" w:pos="1020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В 2020 году в бюджет города Ханты-Мансийска поступили доходы в сумме </w:t>
      </w:r>
      <w:r w:rsidRPr="00422719">
        <w:rPr>
          <w:rFonts w:eastAsia="Calibri"/>
          <w:color w:val="000000"/>
          <w:sz w:val="28"/>
          <w:szCs w:val="28"/>
          <w:shd w:val="clear" w:color="auto" w:fill="FFFFFF" w:themeFill="background1"/>
          <w:lang w:eastAsia="en-US"/>
        </w:rPr>
        <w:t>11 495,1 млн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22719">
        <w:rPr>
          <w:rFonts w:eastAsia="Calibri"/>
          <w:sz w:val="28"/>
          <w:szCs w:val="28"/>
        </w:rPr>
        <w:t>рублей,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 в сравнении с предыдущим финансовым годом доходы бюджета возросли на 21 %, в основном за счёт дополнительного объема безвозмездных поступлений из бюджета Ханты-Мансийского автономного округа-Югры.</w:t>
      </w:r>
    </w:p>
    <w:p w:rsidR="00422719" w:rsidRPr="00422719" w:rsidRDefault="00422719" w:rsidP="00422719">
      <w:pPr>
        <w:widowControl w:val="0"/>
        <w:shd w:val="clear" w:color="auto" w:fill="FFFFFF" w:themeFill="background1"/>
        <w:tabs>
          <w:tab w:val="left" w:pos="9214"/>
          <w:tab w:val="left" w:pos="10206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>В отчетный период доходы бюджета города сложились из:</w:t>
      </w:r>
    </w:p>
    <w:p w:rsidR="00422719" w:rsidRPr="00422719" w:rsidRDefault="00422719" w:rsidP="00422719">
      <w:pPr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налоговых доходов, поступивших в сумме </w:t>
      </w:r>
      <w:r w:rsidRPr="00422719">
        <w:rPr>
          <w:rFonts w:eastAsia="Calibri"/>
          <w:color w:val="000000"/>
          <w:sz w:val="28"/>
          <w:szCs w:val="28"/>
          <w:shd w:val="clear" w:color="auto" w:fill="FFFFFF" w:themeFill="background1"/>
          <w:lang w:eastAsia="en-US"/>
        </w:rPr>
        <w:t>3 614,0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 млн. </w:t>
      </w:r>
      <w:r w:rsidRPr="00422719">
        <w:rPr>
          <w:rFonts w:eastAsia="Calibri"/>
          <w:sz w:val="28"/>
          <w:szCs w:val="28"/>
        </w:rPr>
        <w:t>рублей</w:t>
      </w:r>
      <w:r w:rsidRPr="00422719">
        <w:rPr>
          <w:rFonts w:eastAsia="Calibri"/>
          <w:color w:val="000000"/>
          <w:sz w:val="28"/>
          <w:szCs w:val="28"/>
          <w:lang w:eastAsia="en-US"/>
        </w:rPr>
        <w:t>, их удельный вес в структуре доходов бюджета составил 31 %;</w:t>
      </w:r>
    </w:p>
    <w:p w:rsidR="00422719" w:rsidRPr="00422719" w:rsidRDefault="00422719" w:rsidP="00422719">
      <w:pPr>
        <w:numPr>
          <w:ilvl w:val="0"/>
          <w:numId w:val="3"/>
        </w:numPr>
        <w:tabs>
          <w:tab w:val="left" w:pos="1418"/>
          <w:tab w:val="left" w:pos="10206"/>
        </w:tabs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неналоговых доходов в сумме </w:t>
      </w:r>
      <w:r w:rsidRPr="00422719">
        <w:rPr>
          <w:rFonts w:eastAsia="Calibri"/>
          <w:color w:val="000000"/>
          <w:sz w:val="28"/>
          <w:szCs w:val="28"/>
          <w:shd w:val="clear" w:color="auto" w:fill="FFFFFF" w:themeFill="background1"/>
          <w:lang w:eastAsia="en-US"/>
        </w:rPr>
        <w:t>281,8 млн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22719">
        <w:rPr>
          <w:rFonts w:eastAsia="Calibri"/>
          <w:sz w:val="28"/>
          <w:szCs w:val="28"/>
        </w:rPr>
        <w:t>рублей,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 занимающих в структуре бюджета </w:t>
      </w:r>
      <w:r w:rsidR="008265D9">
        <w:rPr>
          <w:rFonts w:eastAsia="Calibri"/>
          <w:color w:val="000000"/>
          <w:sz w:val="28"/>
          <w:szCs w:val="28"/>
          <w:lang w:eastAsia="en-US"/>
        </w:rPr>
        <w:t>3</w:t>
      </w:r>
      <w:bookmarkStart w:id="0" w:name="_GoBack"/>
      <w:bookmarkEnd w:id="0"/>
      <w:r w:rsidRPr="00422719">
        <w:rPr>
          <w:rFonts w:eastAsia="Calibri"/>
          <w:color w:val="000000"/>
          <w:sz w:val="28"/>
          <w:szCs w:val="28"/>
          <w:lang w:eastAsia="en-US"/>
        </w:rPr>
        <w:t>%;</w:t>
      </w:r>
    </w:p>
    <w:p w:rsidR="00422719" w:rsidRPr="00422719" w:rsidRDefault="00422719" w:rsidP="00422719">
      <w:pPr>
        <w:numPr>
          <w:ilvl w:val="0"/>
          <w:numId w:val="3"/>
        </w:numPr>
        <w:tabs>
          <w:tab w:val="left" w:pos="1418"/>
          <w:tab w:val="left" w:pos="10206"/>
        </w:tabs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безвозмездных поступлений в сумме 7 599,3 млн. </w:t>
      </w:r>
      <w:r w:rsidRPr="00422719">
        <w:rPr>
          <w:rFonts w:eastAsia="Calibri"/>
          <w:sz w:val="28"/>
          <w:szCs w:val="28"/>
        </w:rPr>
        <w:t>рублей</w:t>
      </w:r>
      <w:r w:rsidRPr="00422719">
        <w:rPr>
          <w:rFonts w:eastAsia="Calibri"/>
          <w:color w:val="000000"/>
          <w:sz w:val="28"/>
          <w:szCs w:val="28"/>
          <w:lang w:eastAsia="en-US"/>
        </w:rPr>
        <w:t>, удельный вес в структуре доходов бюджета составил 66%.</w:t>
      </w:r>
    </w:p>
    <w:p w:rsidR="00422719" w:rsidRPr="00422719" w:rsidRDefault="00422719" w:rsidP="00422719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 xml:space="preserve">Расходы бюджета города в 2020 году составили 11 657,9 млн. </w:t>
      </w:r>
      <w:r w:rsidRPr="00422719">
        <w:rPr>
          <w:sz w:val="28"/>
          <w:szCs w:val="28"/>
        </w:rPr>
        <w:t>рублей</w:t>
      </w:r>
      <w:r w:rsidRPr="00422719">
        <w:rPr>
          <w:rFonts w:eastAsia="Calibri"/>
          <w:sz w:val="28"/>
          <w:szCs w:val="28"/>
          <w:lang w:eastAsia="en-US"/>
        </w:rPr>
        <w:t>, что на 2 364,0 млн. рублей или на 25% больше, чем в предыдущем 2019 финансовом году, дополнительный объем средств направлен на развитие образования, культуры, физической культуры и спорта, развитие жилищно-коммунального комплекса, строительство и капитальный ремонт дорог.</w:t>
      </w:r>
    </w:p>
    <w:p w:rsidR="00422719" w:rsidRPr="00422719" w:rsidRDefault="00422719" w:rsidP="0042271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>С целью повышения эффективности и результативности бюджетных расходов,</w:t>
      </w:r>
      <w:r w:rsidRPr="00422719">
        <w:rPr>
          <w:sz w:val="28"/>
          <w:szCs w:val="28"/>
        </w:rPr>
        <w:t xml:space="preserve"> начиная с 2015 года, бюджет города формируется и исполняется с применением программно-целевого метода, предусматривающего </w:t>
      </w:r>
      <w:r w:rsidRPr="00422719">
        <w:rPr>
          <w:sz w:val="28"/>
          <w:szCs w:val="28"/>
        </w:rPr>
        <w:lastRenderedPageBreak/>
        <w:t xml:space="preserve">распределение бюджетных средств исходя из целей и задач социально-экономического развития муниципального образования. </w:t>
      </w:r>
      <w:r w:rsidRPr="00422719">
        <w:rPr>
          <w:rFonts w:eastAsia="Calibri"/>
          <w:sz w:val="28"/>
          <w:szCs w:val="28"/>
          <w:lang w:eastAsia="en-US"/>
        </w:rPr>
        <w:t xml:space="preserve">Приоритетное место в структуре бюджета занимают социально-ориентированные муниципальные программы. Их доля в 2020 году составляет 58% от структуры программных расходов бюджета города, или 6 757,8 млн. рублей. Расходы на реализацию программных мероприятий в сфере развития отраслей экономики составили 2 655,0 млн. рублей или 23% в структуре программных расходов. На реализацию программ в жилищно-коммунальной сфере направлено 1 475,0 млн. рублей или 13% в структуре программных расходов. </w:t>
      </w:r>
    </w:p>
    <w:p w:rsidR="00422719" w:rsidRPr="00422719" w:rsidRDefault="00422719" w:rsidP="004227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Важнейшим инструментом повышения эффективности реализации муниципальных программ в 2020 году стало выполнение в их составе комплекса мероприятий, направленных на достижение определенных национальными проектами целей в соответствующих отраслях. </w:t>
      </w:r>
      <w:r w:rsidRPr="00422719">
        <w:rPr>
          <w:sz w:val="28"/>
          <w:szCs w:val="28"/>
          <w:lang w:eastAsia="en-US"/>
        </w:rPr>
        <w:t xml:space="preserve">Город Ханты-Мансийск участвует в реализации пяти национальных проектов, определенных Указом Президента Российской Федерации </w:t>
      </w:r>
      <w:r w:rsidRPr="00422719">
        <w:rPr>
          <w:spacing w:val="4"/>
          <w:sz w:val="28"/>
          <w:szCs w:val="28"/>
          <w:lang w:eastAsia="en-US"/>
        </w:rPr>
        <w:t xml:space="preserve">от 21 июля 2020 года № 474 «О национальных целях развития Российской Федерации на период до 2030 года». </w:t>
      </w:r>
      <w:r w:rsidRPr="00422719">
        <w:rPr>
          <w:rFonts w:eastAsia="Courier New"/>
          <w:color w:val="000000"/>
          <w:sz w:val="28"/>
          <w:szCs w:val="28"/>
          <w:lang w:eastAsia="en-US"/>
        </w:rPr>
        <w:t>Общий объем финансирования, направленный на достижение целевых показателей национальных проектов в 2020 году составил 1 505,5 млн. рублей в том числе: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 - на реализацию национального проекта «Образование» - 802,7 млн. рублей;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 -  на реализацию национального проекта «Жильё и городская среда» - 621,3 млн. рублей;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 - на реализацию национального проекта «</w:t>
      </w:r>
      <w:r w:rsidRPr="00422719">
        <w:rPr>
          <w:rFonts w:eastAsiaTheme="minorHAnsi"/>
          <w:bCs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инициативы» – 4,7 млн. рублей;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 - на реализацию национального проекта «</w:t>
      </w:r>
      <w:r w:rsidRPr="00422719">
        <w:rPr>
          <w:rFonts w:eastAsiaTheme="minorHAnsi"/>
          <w:bCs/>
          <w:sz w:val="28"/>
          <w:szCs w:val="28"/>
          <w:lang w:eastAsia="en-US"/>
        </w:rPr>
        <w:t>Демография» – 0,7 млн. рублей;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422719">
        <w:rPr>
          <w:rFonts w:eastAsia="Courier New"/>
          <w:color w:val="000000"/>
          <w:sz w:val="28"/>
          <w:szCs w:val="28"/>
          <w:lang w:eastAsia="en-US"/>
        </w:rPr>
        <w:t xml:space="preserve"> - на реализацию национального проекта «Безопасные и качественные автомобильные дороги» - 76,0 млн. рублей.</w:t>
      </w:r>
    </w:p>
    <w:p w:rsidR="00422719" w:rsidRPr="00422719" w:rsidRDefault="00422719" w:rsidP="00422719">
      <w:pPr>
        <w:shd w:val="clear" w:color="auto" w:fill="FFFFFF" w:themeFill="background1"/>
        <w:spacing w:line="276" w:lineRule="auto"/>
        <w:ind w:right="142" w:firstLine="709"/>
        <w:jc w:val="both"/>
        <w:rPr>
          <w:rFonts w:eastAsia="Calibri"/>
          <w:color w:val="FF0000"/>
          <w:sz w:val="28"/>
          <w:szCs w:val="28"/>
          <w:shd w:val="clear" w:color="auto" w:fill="FFFFFF" w:themeFill="background1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>В целях обеспечения сбалансированности бюджета,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Ханты-Мансийска, предусматривающий достижение бюджетного эффекта в сумме 162,7 млн. рублей.</w:t>
      </w: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 В течение года на системной основе осуществлялась деятельность комиссии по мобилизации дополнительных доходов в бюджет города Ханты-Мансийска, конструктивное взаимодействие с администраторами доходов бюджета города, крупнейшими налогоплательщиками, </w:t>
      </w:r>
      <w:r w:rsidRPr="00422719">
        <w:rPr>
          <w:rFonts w:eastAsia="Calibri"/>
          <w:sz w:val="28"/>
          <w:szCs w:val="28"/>
          <w:lang w:eastAsia="en-US"/>
        </w:rPr>
        <w:t xml:space="preserve">проводились мероприятия по </w:t>
      </w:r>
      <w:r w:rsidRPr="00422719">
        <w:rPr>
          <w:rFonts w:eastAsia="Calibri"/>
          <w:sz w:val="28"/>
          <w:szCs w:val="28"/>
          <w:lang w:eastAsia="en-US"/>
        </w:rPr>
        <w:lastRenderedPageBreak/>
        <w:t xml:space="preserve">оптимизации расходов местного бюджета, в том числе в части осуществления закупочной деятельности муниципальных заказчиков, реализации мероприятий по энергосбережению, привлечению немуниципальных организаций к оказанию муниципальных услуг. В результате проведенных мероприятий достигнут бюджетный эффект в сумме </w:t>
      </w:r>
      <w:r w:rsidRPr="00422719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187,2 млн</w:t>
      </w:r>
      <w:r w:rsidRPr="00422719">
        <w:rPr>
          <w:rFonts w:eastAsia="Calibri"/>
          <w:color w:val="000000" w:themeColor="text1"/>
          <w:sz w:val="28"/>
          <w:szCs w:val="28"/>
          <w:lang w:eastAsia="en-US"/>
        </w:rPr>
        <w:t>. рублей</w:t>
      </w:r>
      <w:r w:rsidRPr="00422719">
        <w:rPr>
          <w:rFonts w:eastAsia="Calibri"/>
          <w:sz w:val="28"/>
          <w:szCs w:val="28"/>
          <w:lang w:eastAsia="en-US"/>
        </w:rPr>
        <w:t>,</w:t>
      </w:r>
      <w:r w:rsidRPr="0042271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22719">
        <w:rPr>
          <w:rFonts w:eastAsia="Calibri"/>
          <w:sz w:val="28"/>
          <w:szCs w:val="28"/>
          <w:lang w:eastAsia="en-US"/>
        </w:rPr>
        <w:t xml:space="preserve">что </w:t>
      </w:r>
      <w:r w:rsidRPr="00422719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на 15%</w:t>
      </w:r>
      <w:r w:rsidRPr="00422719">
        <w:rPr>
          <w:rFonts w:eastAsia="Calibri"/>
          <w:sz w:val="28"/>
          <w:szCs w:val="28"/>
          <w:lang w:eastAsia="en-US"/>
        </w:rPr>
        <w:t xml:space="preserve"> выше намеченного показателя. </w:t>
      </w:r>
    </w:p>
    <w:p w:rsidR="00422719" w:rsidRPr="00422719" w:rsidRDefault="00422719" w:rsidP="00422719">
      <w:pPr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 xml:space="preserve">Дополнительный объем средств, полученный в результате реализации мероприятий по росту доходов и оптимизации расходной части бюджета города  направлен на финансирование приоритетных направлений, в том числе на обеспечение доли </w:t>
      </w:r>
      <w:proofErr w:type="spellStart"/>
      <w:r w:rsidRPr="0042271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422719">
        <w:rPr>
          <w:rFonts w:eastAsia="Calibri"/>
          <w:sz w:val="28"/>
          <w:szCs w:val="28"/>
          <w:lang w:eastAsia="en-US"/>
        </w:rPr>
        <w:t xml:space="preserve"> местного бюджета к </w:t>
      </w:r>
      <w:proofErr w:type="spellStart"/>
      <w:r w:rsidRPr="00422719">
        <w:rPr>
          <w:rFonts w:eastAsia="Calibri"/>
          <w:sz w:val="28"/>
          <w:szCs w:val="28"/>
          <w:lang w:eastAsia="en-US"/>
        </w:rPr>
        <w:t>привлечённыму</w:t>
      </w:r>
      <w:proofErr w:type="spellEnd"/>
      <w:r w:rsidRPr="00422719">
        <w:rPr>
          <w:rFonts w:eastAsia="Calibri"/>
          <w:sz w:val="28"/>
          <w:szCs w:val="28"/>
          <w:lang w:eastAsia="en-US"/>
        </w:rPr>
        <w:t xml:space="preserve"> в течении финансового года дополнительному объему субсидий в рамках государственных программ Ханты-Мансийского автономного округа-Югры, а также на финансирование мероприятий по устранению последствий </w:t>
      </w:r>
      <w:r w:rsidRPr="00422719">
        <w:rPr>
          <w:rFonts w:eastAsia="Courier New"/>
          <w:sz w:val="28"/>
          <w:szCs w:val="28"/>
          <w:lang w:eastAsia="en-US"/>
        </w:rPr>
        <w:t xml:space="preserve">ситуации, вызванной распространением новой </w:t>
      </w:r>
      <w:proofErr w:type="spellStart"/>
      <w:r w:rsidRPr="00422719">
        <w:rPr>
          <w:rFonts w:eastAsia="Courier New"/>
          <w:sz w:val="28"/>
          <w:szCs w:val="28"/>
          <w:lang w:eastAsia="en-US"/>
        </w:rPr>
        <w:t>коронавирусной</w:t>
      </w:r>
      <w:proofErr w:type="spellEnd"/>
      <w:r w:rsidRPr="00422719">
        <w:rPr>
          <w:rFonts w:eastAsia="Courier New"/>
          <w:sz w:val="28"/>
          <w:szCs w:val="28"/>
          <w:lang w:eastAsia="en-US"/>
        </w:rPr>
        <w:t xml:space="preserve"> инфекции COVID-19.</w:t>
      </w:r>
    </w:p>
    <w:p w:rsidR="00422719" w:rsidRPr="00422719" w:rsidRDefault="00422719" w:rsidP="00422719">
      <w:pPr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 xml:space="preserve">В 2020 году обеспечено бюджетное финансирование, направленное на повышение заработной платы работников муниципальных учреждений, учитывая прогнозный уровень инфляции, в том числе </w:t>
      </w:r>
      <w:r w:rsidRPr="00422719">
        <w:rPr>
          <w:rFonts w:eastAsia="Calibri"/>
          <w:bCs/>
          <w:sz w:val="28"/>
          <w:szCs w:val="28"/>
          <w:lang w:eastAsia="en-US"/>
        </w:rPr>
        <w:t xml:space="preserve">по категориям работников бюджетной сферы, </w:t>
      </w:r>
      <w:r w:rsidRPr="00422719">
        <w:rPr>
          <w:rFonts w:eastAsia="Calibri"/>
          <w:bCs/>
          <w:sz w:val="28"/>
          <w:szCs w:val="28"/>
          <w:shd w:val="clear" w:color="auto" w:fill="FFFFFF" w:themeFill="background1"/>
          <w:lang w:eastAsia="en-US"/>
        </w:rPr>
        <w:t xml:space="preserve">в отношении которых в 2018 году завершилась реализация указов Президента Российской Федерации 2012 года, </w:t>
      </w:r>
      <w:r w:rsidRPr="00422719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исходя из достигнутого уровня среднемесячной заработной </w:t>
      </w:r>
      <w:proofErr w:type="gramStart"/>
      <w:r w:rsidRPr="00422719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платы  на</w:t>
      </w:r>
      <w:proofErr w:type="gramEnd"/>
      <w:r w:rsidRPr="00422719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1 января 2020 года.</w:t>
      </w:r>
      <w:r w:rsidRPr="00422719">
        <w:rPr>
          <w:rFonts w:eastAsia="Calibri"/>
          <w:sz w:val="28"/>
          <w:szCs w:val="28"/>
          <w:lang w:eastAsia="en-US"/>
        </w:rPr>
        <w:t xml:space="preserve"> В отчетном году начата работа по совершенствованию действующих систем оплаты труда работников учреждений в целях увеличения гарантированной части заработной платы. Новые подходы к формированию системы оплаты труда работников настроены на решение задач развития соответствующих отраслей, повышения качества оказываемых услуг и обеспечения соответствия уровня оплаты труда работников результатам их труда.</w:t>
      </w:r>
    </w:p>
    <w:p w:rsidR="001F6DE7" w:rsidRPr="00422719" w:rsidRDefault="001F6DE7" w:rsidP="001F6DE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22719">
        <w:rPr>
          <w:sz w:val="28"/>
          <w:szCs w:val="28"/>
        </w:rPr>
        <w:t xml:space="preserve">В целях исполнения бюджетных полномочий Департаментом в 2020 году принимались все необходимые меры для обеспечения мобилизации доходов в бюджет города Ханты-Мансийска, </w:t>
      </w:r>
      <w:r w:rsidRPr="00422719">
        <w:rPr>
          <w:bCs/>
          <w:sz w:val="28"/>
          <w:szCs w:val="28"/>
        </w:rPr>
        <w:t xml:space="preserve">проводилась работа по </w:t>
      </w:r>
      <w:r w:rsidRPr="00422719">
        <w:rPr>
          <w:sz w:val="28"/>
          <w:szCs w:val="28"/>
          <w:lang w:eastAsia="ko-KR"/>
        </w:rPr>
        <w:t xml:space="preserve">обеспечению качественного администрирования доходных источников, результатом которой стало </w:t>
      </w:r>
      <w:r w:rsidRPr="00422719">
        <w:rPr>
          <w:rFonts w:eastAsia="Calibri"/>
          <w:sz w:val="28"/>
          <w:szCs w:val="28"/>
        </w:rPr>
        <w:t>обеспечение дополнительных поступлений в бюджет города. Организована работы по информационному взаимодействию с 43 главными администраторами доходов бюджета города Ханты-</w:t>
      </w:r>
      <w:proofErr w:type="gramStart"/>
      <w:r w:rsidRPr="00422719">
        <w:rPr>
          <w:rFonts w:eastAsia="Calibri"/>
          <w:sz w:val="28"/>
          <w:szCs w:val="28"/>
        </w:rPr>
        <w:t>Мансийска  (</w:t>
      </w:r>
      <w:proofErr w:type="gramEnd"/>
      <w:r w:rsidRPr="00422719">
        <w:rPr>
          <w:rFonts w:eastAsia="Calibri"/>
          <w:sz w:val="28"/>
          <w:szCs w:val="28"/>
        </w:rPr>
        <w:t xml:space="preserve">из них: 19 </w:t>
      </w:r>
      <w:r w:rsidRPr="00422719">
        <w:rPr>
          <w:sz w:val="28"/>
          <w:szCs w:val="28"/>
        </w:rPr>
        <w:t>- органы исполнительной власти Российской Федерации, 16 -  органы исполнительной власти Ханты-Мансийского автономного округа – Югры,  8 -  органы местного самоуправления города Ханты-Мансийска и органы Администрации города Ханты-Мансийска).</w:t>
      </w:r>
    </w:p>
    <w:p w:rsidR="001F6DE7" w:rsidRPr="00422719" w:rsidRDefault="001F6DE7" w:rsidP="001F6DE7">
      <w:pPr>
        <w:spacing w:line="276" w:lineRule="auto"/>
        <w:ind w:right="142" w:firstLine="714"/>
        <w:jc w:val="both"/>
        <w:rPr>
          <w:rFonts w:eastAsia="Calibri"/>
          <w:color w:val="000000"/>
          <w:sz w:val="28"/>
          <w:szCs w:val="28"/>
        </w:rPr>
      </w:pPr>
      <w:r w:rsidRPr="00422719">
        <w:rPr>
          <w:rFonts w:eastAsia="Calibri"/>
          <w:color w:val="000000"/>
          <w:sz w:val="28"/>
          <w:szCs w:val="28"/>
        </w:rPr>
        <w:lastRenderedPageBreak/>
        <w:t xml:space="preserve">В целях активизации работы по мобилизации доходов в бюджет города Ханты-Мансийска, изыскания дополнительных резервов поступлений и сокращения размера дефицита бюджета города на системной основе осуществляется деятельность комиссии по мобилизации дополнительных доходов в бюджет города Ханты-Мансийска. В 2020 году на заседаниях комиссии были рассмотрены следующие основные вопросы: мероприятия по увеличению поступлений имущественных налогов, повышение уровня платежной дисциплины организаций, индивидуальных предпринимателей и физических лиц в части полноты и своевременности уплаты налогов, сборов и иных платежей в бюджет города Ханты-Мансийска, эффективности работы главных администраторов доходов бюджета города Ханты-Мансийска с организациями, индивидуальными предпринимателями и физическими лицами, имеющими недоимку по уплате платежей в бюджет города Ханты-Мансийска. </w:t>
      </w:r>
    </w:p>
    <w:p w:rsidR="001F6DE7" w:rsidRPr="00422719" w:rsidRDefault="001F6DE7" w:rsidP="001F6DE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В течение 2020 года проводилась работа, направленная на обеспечение организации исполнения бюджета города, повышение эффективности расходов бюджета.  Организация исполнения бюджета города Ханты-Мансийска в 2020 году осуществлялось в соответствии с решением Думы города Ханты-Мансийска от </w:t>
      </w:r>
      <w:r w:rsidRPr="00422719">
        <w:rPr>
          <w:snapToGrid w:val="0"/>
          <w:sz w:val="28"/>
          <w:szCs w:val="28"/>
        </w:rPr>
        <w:t>20 декабря 2019 года № 385-</w:t>
      </w:r>
      <w:r w:rsidRPr="00422719">
        <w:rPr>
          <w:snapToGrid w:val="0"/>
          <w:sz w:val="28"/>
          <w:szCs w:val="28"/>
          <w:lang w:val="en-US"/>
        </w:rPr>
        <w:t>VI</w:t>
      </w:r>
      <w:r w:rsidRPr="00422719">
        <w:rPr>
          <w:snapToGrid w:val="0"/>
          <w:sz w:val="28"/>
          <w:szCs w:val="28"/>
        </w:rPr>
        <w:t xml:space="preserve"> РД «О бюджете города Ханты-Мансийска на 2020 год и на плановый период 2021 и 2022 годов»</w:t>
      </w:r>
      <w:r w:rsidRPr="00422719">
        <w:rPr>
          <w:sz w:val="28"/>
          <w:szCs w:val="28"/>
        </w:rPr>
        <w:t>, сводной бюджетной росписью и кассовым планом.</w:t>
      </w:r>
    </w:p>
    <w:p w:rsidR="001F6DE7" w:rsidRPr="00422719" w:rsidRDefault="001F6DE7" w:rsidP="001F6DE7">
      <w:pPr>
        <w:pStyle w:val="a8"/>
        <w:spacing w:line="276" w:lineRule="auto"/>
        <w:rPr>
          <w:lang w:eastAsia="ru-RU"/>
        </w:rPr>
      </w:pPr>
      <w:r w:rsidRPr="00422719">
        <w:t>В течение 2020 года в утвержденные параметры бюджета вносились изменения, обусловленные уточнением объема и состава источников финансирования дефицита бюджета, муниципального долга, корректировкой программы муниципальных гарантий, динамикой исполнения доходов, в том числе в связи с поступлением межбюджетных трансфертов из бюджета автономного округа, и необходимостью финансового обеспечения отдельных расходных обязательств. Подготовлено 5 проектов решений Думы города о внесении изменений в решение Думы о бюджете города на 2020 год и плановый период 2021 и 2022 годов.</w:t>
      </w:r>
      <w:r w:rsidRPr="00422719">
        <w:rPr>
          <w:lang w:eastAsia="ru-RU"/>
        </w:rPr>
        <w:t xml:space="preserve"> </w:t>
      </w:r>
    </w:p>
    <w:p w:rsidR="001F6DE7" w:rsidRPr="00422719" w:rsidRDefault="001F6DE7" w:rsidP="001F6DE7">
      <w:pPr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Сводная бюджетная роспись на 2020 год утверждена директором Департамента 26.12.2019, до главных распорядителей средств бюджета города Ханты-Мансийска своевременно доведены уведомления о бюджетных ассигнованиях и лимитах бюджетных обязательств на 2020 год и плановый период 2021 и 2022 годов. В течение 2020 года проведена экспертиза 1739 предоставленных главными распорядителями средств заявок на внесение изменений в сводную бюджетную роспись (с учётом экономических обоснований), в результате выписано 895 уведомлений о внесении изменений сводную бюджетную роспись. </w:t>
      </w:r>
      <w:r w:rsidRPr="00422719">
        <w:rPr>
          <w:rFonts w:eastAsia="Calibri"/>
          <w:color w:val="000000"/>
          <w:sz w:val="28"/>
          <w:szCs w:val="28"/>
        </w:rPr>
        <w:t xml:space="preserve">Проведена проверка 25 соглашений о </w:t>
      </w:r>
      <w:r w:rsidRPr="00422719">
        <w:rPr>
          <w:rFonts w:eastAsia="Calibri"/>
          <w:color w:val="000000"/>
          <w:sz w:val="28"/>
          <w:szCs w:val="28"/>
        </w:rPr>
        <w:lastRenderedPageBreak/>
        <w:t>предоставлении межбюджетных трансфертов из вышестоящих бюджетов, а также изменений и дополнений к ним, вносимых в течение года.</w:t>
      </w:r>
    </w:p>
    <w:p w:rsidR="001F6DE7" w:rsidRPr="00422719" w:rsidRDefault="001F6DE7" w:rsidP="001F6DE7">
      <w:pPr>
        <w:tabs>
          <w:tab w:val="left" w:pos="1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2719">
        <w:rPr>
          <w:sz w:val="28"/>
          <w:szCs w:val="28"/>
        </w:rPr>
        <w:t>Бюджет города Ханты-Мансийска исполняется на основе единства кассы и подведомственности расходов. В 2020 году в соответствии с порядком открытия и ведения лицевых счетов</w:t>
      </w:r>
      <w:r w:rsidR="00CF416A">
        <w:rPr>
          <w:sz w:val="28"/>
          <w:szCs w:val="28"/>
        </w:rPr>
        <w:t>,</w:t>
      </w:r>
      <w:r w:rsidRPr="00422719">
        <w:rPr>
          <w:sz w:val="28"/>
          <w:szCs w:val="28"/>
        </w:rPr>
        <w:t xml:space="preserve"> Департаментом осуществлялось ведение 148 лицевых счетов, из них 31 лицевой счёт для получателей бюджетных средств, 148 для учета средств муниципальных автономных и бюджетных учреждений.</w:t>
      </w:r>
      <w:r w:rsidRPr="00422719">
        <w:rPr>
          <w:color w:val="000000"/>
          <w:sz w:val="28"/>
          <w:szCs w:val="28"/>
        </w:rPr>
        <w:t xml:space="preserve">          </w:t>
      </w:r>
    </w:p>
    <w:p w:rsidR="001F6DE7" w:rsidRPr="00422719" w:rsidRDefault="001F6DE7" w:rsidP="001F6DE7">
      <w:pPr>
        <w:spacing w:line="276" w:lineRule="auto"/>
        <w:jc w:val="both"/>
        <w:rPr>
          <w:sz w:val="28"/>
          <w:szCs w:val="28"/>
        </w:rPr>
      </w:pPr>
      <w:r w:rsidRPr="00422719">
        <w:rPr>
          <w:color w:val="000000"/>
          <w:sz w:val="28"/>
          <w:szCs w:val="28"/>
        </w:rPr>
        <w:tab/>
        <w:t>В течение года осуществлялась работа по санкционированию расходов по платежным документам получателей бюджетных средств. Всего за 2020 год принято к оплате 29525 платежных поручений. По муниципальным бюджетным и автономным учреждениям за 2020 год принято к оплате 74 598 платежных поручений. Сформирован и направлен в Департамент финансов ХМАО - Югры 541 реестр на доведение денежных средств главным распорядителям бюджетных средств в рамках субсидий из бюджета автономного округа.    Поставлено на учет 1 132 бюджетных обязательств по сведениям, представленным получателями бюджетных средств. Обработан и отгружен через Го</w:t>
      </w:r>
      <w:r w:rsidRPr="00422719">
        <w:rPr>
          <w:sz w:val="28"/>
          <w:szCs w:val="28"/>
        </w:rPr>
        <w:t xml:space="preserve">сударственную информационную систему о государственных и муниципальных платежах </w:t>
      </w:r>
      <w:r w:rsidRPr="00422719">
        <w:rPr>
          <w:color w:val="000000"/>
          <w:sz w:val="28"/>
          <w:szCs w:val="28"/>
        </w:rPr>
        <w:t xml:space="preserve">(ГИС </w:t>
      </w:r>
      <w:proofErr w:type="gramStart"/>
      <w:r w:rsidRPr="00422719">
        <w:rPr>
          <w:color w:val="000000"/>
          <w:sz w:val="28"/>
          <w:szCs w:val="28"/>
        </w:rPr>
        <w:t>ГМП)  28</w:t>
      </w:r>
      <w:proofErr w:type="gramEnd"/>
      <w:r w:rsidRPr="00422719">
        <w:rPr>
          <w:color w:val="000000"/>
          <w:sz w:val="28"/>
          <w:szCs w:val="28"/>
        </w:rPr>
        <w:t xml:space="preserve"> 431 платежный документ.</w:t>
      </w:r>
    </w:p>
    <w:p w:rsidR="001F6DE7" w:rsidRPr="00422719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В соответствии с бюджетным законодательством ежеквартально за отчетным кварталом, в Думу и Счетную палату города предоставлялись, утвержденные Администрацией города отчеты об исполнении бюджета города за первый квартал, первое полугодие, девять месяцев с приложением пояснительной записки. Месячная и ежеквартальная отчетность об исполнении бюджета города в 2020 году своевременно направлялась в Департамент финансов Ханты-Мансийского автономного округа – Югры.</w:t>
      </w:r>
    </w:p>
    <w:p w:rsidR="001F6DE7" w:rsidRPr="00422719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Годовая бюджетная отчетность муниципального образования за 2019 год представлена в Департамент финансов Ханты-Мансийского автономного округа – Югры, в установленные сроки и в полном объеме. Департаментом разработан проект решения Думы города Ханты-Мансийска «Об отчёте об исполнении бюджета города Ханты-Мансийска за 2019 год», который направлен в Счетную палату города для подготовки заключения и в Думу города для рассмотрения. Решение Думы № 466-VI РД «Об отчёте об исполнении бюджета города Ханты-Мансийска за 2019 год» принято 25 декабря 2020 года.</w:t>
      </w:r>
    </w:p>
    <w:p w:rsidR="001F6DE7" w:rsidRPr="00422719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В рамках выполнения полномочий финансового органа в течение 2020 года подготовлено и своевременно представлено 52 формы отчётности в различной периодичностью предоставления (ежемесячная, ежеквартальная, </w:t>
      </w:r>
      <w:r w:rsidRPr="00422719">
        <w:rPr>
          <w:sz w:val="28"/>
          <w:szCs w:val="28"/>
        </w:rPr>
        <w:lastRenderedPageBreak/>
        <w:t>годовая), проведена проверка 32 форм отчётности, составляемых главными распорядителя средств бюджета.</w:t>
      </w:r>
    </w:p>
    <w:p w:rsidR="00CF416A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В 2020 году разработан и представлен на рассмотрение в Думу города Ханты-Мансийска проект бюджета города Ханты-Мансийска на 2021 год и на плановый период 2022 и 2023 годов. Бюджет города на 2021 год и на плановый период 2022 и 2023 год утверждён Решением Думы города Ханты-Мансийска от 25.12.2020 №467-VI РД. </w:t>
      </w:r>
    </w:p>
    <w:p w:rsidR="001F6DE7" w:rsidRPr="00422719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Департаментом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1F6DE7" w:rsidRPr="00422719" w:rsidRDefault="001F6DE7" w:rsidP="001F6D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В 2020 году проведена работа по формированию сведений по бюджету города Ханты-Мансийска на Едином портале бюджетной системы Российской федерации «Электронный бюджет».</w:t>
      </w:r>
    </w:p>
    <w:p w:rsidR="001F6DE7" w:rsidRPr="00422719" w:rsidRDefault="001F6DE7" w:rsidP="001F6DE7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В целях выполнения контрольных функций, возложенных на финансовый орган в сфере закупок товаров, работ, услуг для обеспечения государственных и муниципальных нужд в единой информационной системе закупок Российской Федерации, был осуществлён контроль:</w:t>
      </w:r>
    </w:p>
    <w:p w:rsidR="001F6DE7" w:rsidRPr="00422719" w:rsidRDefault="001F6DE7" w:rsidP="001F6DE7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- за соответствием информации об объеме финансового обеспечения, включенной в </w:t>
      </w:r>
      <w:r w:rsidRPr="00422719">
        <w:rPr>
          <w:bCs/>
          <w:color w:val="000000"/>
          <w:sz w:val="28"/>
          <w:szCs w:val="28"/>
        </w:rPr>
        <w:t xml:space="preserve">планы-графики, информации об объеме финансового обеспечения для осуществления закупок, утвержденном и доведенном до заказчика в количестве 1 549 документов. Контроль осуществляется </w:t>
      </w:r>
      <w:r w:rsidRPr="00422719">
        <w:rPr>
          <w:sz w:val="28"/>
          <w:szCs w:val="28"/>
        </w:rPr>
        <w:t xml:space="preserve">в соответствии с частями 5 и 5.1 статьи 99 </w:t>
      </w:r>
      <w:r w:rsidRPr="00422719">
        <w:rPr>
          <w:bCs/>
          <w:color w:val="000000"/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  <w:r w:rsidRPr="00422719">
        <w:rPr>
          <w:sz w:val="28"/>
          <w:szCs w:val="28"/>
        </w:rPr>
        <w:t xml:space="preserve"> </w:t>
      </w:r>
    </w:p>
    <w:p w:rsidR="001F6DE7" w:rsidRPr="00422719" w:rsidRDefault="001F6DE7" w:rsidP="001F6DE7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422719">
        <w:rPr>
          <w:sz w:val="28"/>
          <w:szCs w:val="28"/>
        </w:rPr>
        <w:tab/>
        <w:t xml:space="preserve">- на непротиворечивость информации подлежащей включению в реестр контрактов условиям контракта (изменениям, внесенным в контракт) в количестве 4 806 документов. Контроль осуществляется в соответствии с подпунктом «б» пункта 14 правил, утвержденных постановлением Правительства Российской Федерации от 28.11.2013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тайну». </w:t>
      </w:r>
    </w:p>
    <w:p w:rsidR="001F6DE7" w:rsidRPr="00422719" w:rsidRDefault="001F6DE7" w:rsidP="001F6D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В рамках исполнения полномочий по внутреннему муниципальному финансовому контролю, контролю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территории города Ханты-Мансийска в 2020 году </w:t>
      </w:r>
      <w:r w:rsidRPr="00422719">
        <w:rPr>
          <w:sz w:val="28"/>
          <w:szCs w:val="28"/>
        </w:rPr>
        <w:lastRenderedPageBreak/>
        <w:t>проведено 17 контрольных мероприятий, общий объем проверенных финансовых средств составил 1 944 570,2 тыс. рублей. В ходе мероприятий выявлено 260 нарушений действующего законодательства на сумму 21 162,5 тыс. рублей (1% от объема проверенных средств), устранено 201 нарушение на сумму 16 947,6 тыс. рублей (57% от суммы выявленных нарушений).</w:t>
      </w:r>
    </w:p>
    <w:p w:rsidR="00422719" w:rsidRPr="00422719" w:rsidRDefault="00422719" w:rsidP="00422719">
      <w:pPr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>Важнейшей задачей при осуществлении бюджетного процесса в городе Ханты-Мансийске является обеспечение прозрачности, открытости и подотчетности деятельности органов местного самоуправления, муниципальных учреждений, а также повышение качества их финансового менеджмента,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финансами.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iCs/>
          <w:sz w:val="28"/>
          <w:szCs w:val="28"/>
          <w:lang w:eastAsia="en-US"/>
        </w:rPr>
        <w:t xml:space="preserve">С целью повышения эффективности и результативности бюджетных расходов в муниципальном образовании на постоянной основе ведётся работа по </w:t>
      </w:r>
      <w:r w:rsidRPr="00422719">
        <w:rPr>
          <w:sz w:val="28"/>
          <w:szCs w:val="28"/>
          <w:lang w:eastAsia="en-US"/>
        </w:rPr>
        <w:t xml:space="preserve">вовлечению жителей города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контроля. </w:t>
      </w:r>
      <w:r w:rsidRPr="00422719">
        <w:rPr>
          <w:iCs/>
          <w:sz w:val="28"/>
          <w:szCs w:val="28"/>
          <w:lang w:eastAsia="en-US"/>
        </w:rPr>
        <w:t xml:space="preserve">В муниципальном образовании эта работа началась </w:t>
      </w:r>
      <w:r w:rsidRPr="00422719">
        <w:rPr>
          <w:rFonts w:eastAsia="Calibri"/>
          <w:sz w:val="28"/>
          <w:szCs w:val="28"/>
          <w:lang w:eastAsia="en-US"/>
        </w:rPr>
        <w:t xml:space="preserve">в 2011 году, с момента запуска реализации проекта «Народный бюджет», в рамках которого каждый житель города имеет возможность направить свои предложения по расходованию средств бюджета. </w:t>
      </w:r>
      <w:r w:rsidRPr="00422719">
        <w:rPr>
          <w:rFonts w:eastAsia="Calibri"/>
          <w:color w:val="000000"/>
          <w:sz w:val="28"/>
          <w:szCs w:val="28"/>
          <w:lang w:eastAsia="en-US"/>
        </w:rPr>
        <w:t>С начала реализации проекта в ходе обсуждения «Народного бюджета» поступило более трёхсот предложений и обращений от граждан и депутатов Думы города Ханты-Мансийска, большинство из них выполнено.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719">
        <w:rPr>
          <w:sz w:val="28"/>
          <w:szCs w:val="28"/>
          <w:lang w:eastAsia="en-US"/>
        </w:rPr>
        <w:t xml:space="preserve">Еще одним направлением в работе по привлечению населения города к решению вопросов местного значения, в том числе, расходованию средств бюджета, является реализация </w:t>
      </w:r>
      <w:proofErr w:type="spellStart"/>
      <w:r w:rsidRPr="00422719">
        <w:rPr>
          <w:sz w:val="28"/>
          <w:szCs w:val="28"/>
          <w:lang w:eastAsia="en-US"/>
        </w:rPr>
        <w:t>краудсорсингового</w:t>
      </w:r>
      <w:proofErr w:type="spellEnd"/>
      <w:r w:rsidRPr="00422719">
        <w:rPr>
          <w:sz w:val="28"/>
          <w:szCs w:val="28"/>
          <w:lang w:eastAsia="en-US"/>
        </w:rPr>
        <w:t xml:space="preserve"> проекта «Мы вместе». В муниципальном образовании определены направления расходов, решения по которым принимаются исключительно с учётом мнения жителей города, это:</w:t>
      </w:r>
    </w:p>
    <w:p w:rsidR="00422719" w:rsidRPr="00422719" w:rsidRDefault="00422719" w:rsidP="00422719">
      <w:pPr>
        <w:numPr>
          <w:ilvl w:val="0"/>
          <w:numId w:val="4"/>
        </w:numPr>
        <w:spacing w:after="16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22719">
        <w:rPr>
          <w:sz w:val="28"/>
          <w:szCs w:val="28"/>
          <w:lang w:eastAsia="en-US"/>
        </w:rPr>
        <w:t>формирование перечня улиц города для ремонта дорожного полотна; благоустройство общественных пространств;</w:t>
      </w:r>
    </w:p>
    <w:p w:rsidR="00422719" w:rsidRPr="00422719" w:rsidRDefault="00422719" w:rsidP="00422719">
      <w:pPr>
        <w:numPr>
          <w:ilvl w:val="0"/>
          <w:numId w:val="4"/>
        </w:numPr>
        <w:spacing w:after="16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22719">
        <w:rPr>
          <w:sz w:val="28"/>
          <w:szCs w:val="28"/>
          <w:lang w:eastAsia="en-US"/>
        </w:rPr>
        <w:t xml:space="preserve">высадка зелёных насаждений; развитие транспортно-дорожной сети. </w:t>
      </w:r>
    </w:p>
    <w:p w:rsidR="001F6DE7" w:rsidRDefault="00422719" w:rsidP="001F6DE7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Актуальная информация о стадиях бюджетного процесса, о плановых показателях бюджета города и его исполнении размещается на официальном информационном портале органов местного самоуправления города Ханты-Мансийска. Для горожан, не обладающих специальными знаниями в финансово-бюджетной сфере, информация размещается в доступной форме в </w:t>
      </w:r>
      <w:r w:rsidRPr="00422719">
        <w:rPr>
          <w:rFonts w:eastAsia="Calibri"/>
          <w:color w:val="000000"/>
          <w:sz w:val="28"/>
          <w:szCs w:val="28"/>
          <w:lang w:eastAsia="en-US"/>
        </w:rPr>
        <w:lastRenderedPageBreak/>
        <w:t>виде информационного материала «Открытый бюджет. Бюджет для граждан». В 2020 году количество просмотров жителями города этого раздела составило более двух тысяч.</w:t>
      </w:r>
      <w:r w:rsidR="001F6DE7" w:rsidRPr="001F6DE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F6DE7" w:rsidRPr="00422719" w:rsidRDefault="001F6DE7" w:rsidP="001F6DE7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>Сформирована брошюры «Бюджет для граждан» по отчёту об исполнении бюджета города за 2019 год и по проекту бюджета города на 2021 год и на плановый период 2022 и 2023 годов.</w:t>
      </w:r>
    </w:p>
    <w:p w:rsidR="001F6DE7" w:rsidRPr="00422719" w:rsidRDefault="001F6DE7" w:rsidP="001F6DE7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Организованы и проведены публичные слушания по отчёту об исполнении бюджета города за 2019 год и по проекту бюджета города на 2021 год и на плановый период 2022 и 2023 годов. В рамках </w:t>
      </w:r>
      <w:proofErr w:type="spellStart"/>
      <w:r w:rsidRPr="00422719">
        <w:rPr>
          <w:rFonts w:eastAsia="Calibri"/>
          <w:color w:val="000000"/>
          <w:sz w:val="28"/>
          <w:szCs w:val="28"/>
          <w:lang w:eastAsia="en-US"/>
        </w:rPr>
        <w:t>краудсорсингового</w:t>
      </w:r>
      <w:proofErr w:type="spellEnd"/>
      <w:r w:rsidRPr="004227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2719">
        <w:rPr>
          <w:sz w:val="28"/>
          <w:szCs w:val="28"/>
        </w:rPr>
        <w:t xml:space="preserve">проекта «Мы вместе» </w:t>
      </w:r>
      <w:proofErr w:type="gramStart"/>
      <w:r w:rsidRPr="00422719">
        <w:rPr>
          <w:sz w:val="28"/>
          <w:szCs w:val="28"/>
        </w:rPr>
        <w:t>18  декабря</w:t>
      </w:r>
      <w:proofErr w:type="gramEnd"/>
      <w:r w:rsidRPr="00422719">
        <w:rPr>
          <w:sz w:val="28"/>
          <w:szCs w:val="28"/>
        </w:rPr>
        <w:t xml:space="preserve"> 2020 года проведены общественные онлайн-обсуждения проекта бюджета г. Ханты-Мансийска на 2021 год и плановый период 2022 и 2023 годов.</w:t>
      </w:r>
    </w:p>
    <w:p w:rsidR="001F6DE7" w:rsidRDefault="001F6DE7" w:rsidP="001F6DE7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В целях обеспечения учёта общественного мнения, предложений и рекомендаций граждан, при принятии решений при реализации Департаментом полномочий в области бюджета и финансов, общественной оценки его деятельности создан Общественный совет при Департаменте управления финансами. На заседаниях Общественного совета в 2020 году рассматривались вопросы об исполнении бюджета города за 2019 год, отчет о результатах деятельности Департамента финансов за 2019 год, основные характеристики проекта бюджета города на 2021 год и плановый период 2022 и 2023 годов, работа в области организации закупочной деятельности в муниципальном образовании.</w:t>
      </w:r>
    </w:p>
    <w:p w:rsidR="00305731" w:rsidRPr="00422719" w:rsidRDefault="00991D55" w:rsidP="00422719">
      <w:pPr>
        <w:pStyle w:val="2"/>
        <w:spacing w:line="276" w:lineRule="auto"/>
        <w:ind w:firstLine="709"/>
        <w:rPr>
          <w:szCs w:val="28"/>
        </w:rPr>
      </w:pPr>
      <w:r w:rsidRPr="00422719">
        <w:rPr>
          <w:szCs w:val="28"/>
        </w:rPr>
        <w:t>Департамент является координатором и основным исполнителем муниципальной программы «Управление муниципальными фи</w:t>
      </w:r>
      <w:r w:rsidR="00305731" w:rsidRPr="00422719">
        <w:rPr>
          <w:szCs w:val="28"/>
        </w:rPr>
        <w:t>нансами города Ханты-Мансийска», утверждённой постановлением Администрации города Ханты-Мансийска от 24 октября 2013 года № 1367 (в редакции от 18.12.2019 года №1525)</w:t>
      </w:r>
    </w:p>
    <w:p w:rsidR="00422719" w:rsidRPr="00422719" w:rsidRDefault="00422719" w:rsidP="00422719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</w:r>
    </w:p>
    <w:p w:rsidR="00422719" w:rsidRPr="00422719" w:rsidRDefault="00422719" w:rsidP="00422719">
      <w:pPr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Задачи муниципальной программы:</w:t>
      </w:r>
    </w:p>
    <w:p w:rsidR="00422719" w:rsidRPr="00422719" w:rsidRDefault="00422719" w:rsidP="00422719">
      <w:pPr>
        <w:pStyle w:val="ConsPlusNonformat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19">
        <w:rPr>
          <w:rFonts w:ascii="Times New Roman" w:hAnsi="Times New Roman" w:cs="Times New Roman"/>
          <w:sz w:val="28"/>
          <w:szCs w:val="28"/>
        </w:rPr>
        <w:t xml:space="preserve">организация планирования и исполнения бюджета </w:t>
      </w:r>
      <w:r w:rsidRPr="00422719">
        <w:rPr>
          <w:rFonts w:ascii="Times New Roman" w:hAnsi="Times New Roman" w:cs="Times New Roman"/>
          <w:sz w:val="28"/>
          <w:szCs w:val="28"/>
        </w:rPr>
        <w:br/>
        <w:t>города Ханты-Мансийска, ведение бюджетного учета и формирование бюджетной отчетности;</w:t>
      </w:r>
    </w:p>
    <w:p w:rsidR="00422719" w:rsidRPr="00422719" w:rsidRDefault="00422719" w:rsidP="00422719">
      <w:pPr>
        <w:pStyle w:val="ConsPlusNonformat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19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</w:r>
    </w:p>
    <w:p w:rsidR="00422719" w:rsidRPr="00422719" w:rsidRDefault="00422719" w:rsidP="004227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lastRenderedPageBreak/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422719" w:rsidRPr="00422719" w:rsidRDefault="00422719" w:rsidP="004227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</w:r>
      <w:hyperlink r:id="rId6" w:history="1">
        <w:r w:rsidRPr="00422719">
          <w:rPr>
            <w:sz w:val="28"/>
            <w:szCs w:val="28"/>
          </w:rPr>
          <w:t>кодексом</w:t>
        </w:r>
      </w:hyperlink>
      <w:r w:rsidRPr="00422719">
        <w:rPr>
          <w:sz w:val="28"/>
          <w:szCs w:val="28"/>
        </w:rPr>
        <w:t xml:space="preserve"> Российской Федерации и муниципальными правовыми актами.</w:t>
      </w:r>
    </w:p>
    <w:p w:rsidR="00422719" w:rsidRPr="00422719" w:rsidRDefault="00422719" w:rsidP="00CF416A">
      <w:pPr>
        <w:pStyle w:val="ConsPlusTitle"/>
        <w:spacing w:before="240" w:line="276" w:lineRule="auto"/>
        <w:ind w:firstLine="709"/>
        <w:jc w:val="both"/>
        <w:rPr>
          <w:sz w:val="28"/>
          <w:szCs w:val="28"/>
        </w:rPr>
      </w:pPr>
      <w:r w:rsidRPr="004227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</w:t>
      </w:r>
      <w:proofErr w:type="gramStart"/>
      <w:r w:rsidRPr="00422719">
        <w:rPr>
          <w:rFonts w:ascii="Times New Roman" w:hAnsi="Times New Roman" w:cs="Times New Roman"/>
          <w:b w:val="0"/>
          <w:bCs w:val="0"/>
          <w:sz w:val="28"/>
          <w:szCs w:val="28"/>
        </w:rPr>
        <w:t>финансирования  программы</w:t>
      </w:r>
      <w:proofErr w:type="gramEnd"/>
      <w:r w:rsidRPr="004227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города Ханты-Мансийска на 2020 год составляет 122 017,4 тыс. рублей. Исполнение </w:t>
      </w:r>
      <w:r w:rsidRPr="0042271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4227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121 177,0 тыс. рублей или 99,3 %.</w:t>
      </w:r>
      <w:r w:rsidRPr="0042271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22719" w:rsidRPr="00422719" w:rsidRDefault="00422719" w:rsidP="00422719">
      <w:pPr>
        <w:spacing w:line="276" w:lineRule="auto"/>
        <w:ind w:firstLine="709"/>
        <w:rPr>
          <w:sz w:val="28"/>
          <w:szCs w:val="28"/>
        </w:rPr>
      </w:pPr>
      <w:r w:rsidRPr="00422719">
        <w:rPr>
          <w:sz w:val="28"/>
          <w:szCs w:val="28"/>
        </w:rPr>
        <w:t xml:space="preserve">    </w:t>
      </w:r>
    </w:p>
    <w:p w:rsidR="00422719" w:rsidRPr="00422719" w:rsidRDefault="00422719" w:rsidP="0042271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Структура расходов муниципальной программы «Управление муниципальными финансами города Ханты-</w:t>
      </w:r>
      <w:proofErr w:type="gramStart"/>
      <w:r w:rsidRPr="00422719">
        <w:rPr>
          <w:sz w:val="28"/>
          <w:szCs w:val="28"/>
        </w:rPr>
        <w:t xml:space="preserve">Мансийска» </w:t>
      </w:r>
      <w:r w:rsidR="00CF416A">
        <w:rPr>
          <w:sz w:val="28"/>
          <w:szCs w:val="28"/>
        </w:rPr>
        <w:t xml:space="preserve"> представлена</w:t>
      </w:r>
      <w:proofErr w:type="gramEnd"/>
      <w:r w:rsidR="00CF416A">
        <w:rPr>
          <w:sz w:val="28"/>
          <w:szCs w:val="28"/>
        </w:rPr>
        <w:t xml:space="preserve"> в таблице:</w:t>
      </w:r>
    </w:p>
    <w:p w:rsidR="00422719" w:rsidRPr="00422719" w:rsidRDefault="00422719" w:rsidP="0042271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22719">
        <w:rPr>
          <w:sz w:val="28"/>
          <w:szCs w:val="28"/>
        </w:rPr>
        <w:t>(тыс. рублей)</w:t>
      </w:r>
    </w:p>
    <w:tbl>
      <w:tblPr>
        <w:tblW w:w="9841" w:type="dxa"/>
        <w:tblLook w:val="04A0" w:firstRow="1" w:lastRow="0" w:firstColumn="1" w:lastColumn="0" w:noHBand="0" w:noVBand="1"/>
      </w:tblPr>
      <w:tblGrid>
        <w:gridCol w:w="4060"/>
        <w:gridCol w:w="1520"/>
        <w:gridCol w:w="1520"/>
        <w:gridCol w:w="1520"/>
        <w:gridCol w:w="1221"/>
      </w:tblGrid>
      <w:tr w:rsidR="00422719" w:rsidRPr="00422719" w:rsidTr="00422719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2019 год (отчет)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2019 год</w:t>
            </w:r>
          </w:p>
        </w:tc>
      </w:tr>
      <w:tr w:rsidR="00422719" w:rsidRPr="00422719" w:rsidTr="00422719">
        <w:trPr>
          <w:trHeight w:val="541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% исполнения</w:t>
            </w:r>
          </w:p>
        </w:tc>
      </w:tr>
      <w:tr w:rsidR="00422719" w:rsidRPr="00422719" w:rsidTr="00422719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81 282,1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122 017,4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121 177,0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99,3%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80 711,8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122 017,4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121 177,0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99,3%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570,3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8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 xml:space="preserve">Основное мероприятие «Исполнение полномочий и функций финансового органа Администрации города Ханты-Мансийска» всего, </w:t>
            </w:r>
            <w:r w:rsidRPr="004227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77 664,3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78 476,1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78 258,7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99,7%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77 094,0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78 476,1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78 258,7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99,7%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570,3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Основное мероприятие «Проведение взвешенной долговой политики, надлежащее исполнение обязательств по муниципальным заимствованиям», всего,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3 617,8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2 448,7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2 448,7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100%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3 617,8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2 448,7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2 448,7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100%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 xml:space="preserve"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Федерации», всего, </w:t>
            </w:r>
            <w:r w:rsidRPr="004227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623,0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623,0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8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 xml:space="preserve">Основное мероприятие «Обеспечение деятельности Думы города Ханты-Мансийска», всего, </w:t>
            </w:r>
            <w:r w:rsidRPr="004227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40 469,6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40 469,6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100%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40 469,6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40 469,6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100%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  <w:tr w:rsidR="00422719" w:rsidRPr="00422719" w:rsidTr="00422719">
        <w:trPr>
          <w:trHeight w:val="2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2719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19" w:rsidRPr="00422719" w:rsidRDefault="00422719" w:rsidP="00422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2719">
              <w:rPr>
                <w:sz w:val="20"/>
                <w:szCs w:val="20"/>
              </w:rPr>
              <w:t>0,0%</w:t>
            </w:r>
          </w:p>
        </w:tc>
      </w:tr>
    </w:tbl>
    <w:p w:rsidR="00422719" w:rsidRPr="00422719" w:rsidRDefault="00422719" w:rsidP="0042271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22719" w:rsidRPr="00422719" w:rsidRDefault="00422719" w:rsidP="00422719">
      <w:pPr>
        <w:spacing w:line="276" w:lineRule="auto"/>
        <w:ind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 xml:space="preserve">За достижение наилучших показателей деятельности в сфере бюджета и финансов в течение 2020 года в бюджет города Ханты-Мансийска поступил дополнительный объем межбюджетных трансфертов из бюджета округа в сумме 13,5 млн. рублей в том числе: </w:t>
      </w:r>
    </w:p>
    <w:p w:rsidR="00422719" w:rsidRPr="00422719" w:rsidRDefault="00422719" w:rsidP="00422719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422719">
        <w:rPr>
          <w:sz w:val="28"/>
          <w:szCs w:val="28"/>
        </w:rPr>
        <w:t xml:space="preserve">6,6 млн. рублей по итогам конкурса </w:t>
      </w:r>
      <w:r w:rsidRPr="00422719">
        <w:rPr>
          <w:rFonts w:eastAsia="Courier New"/>
          <w:bCs/>
          <w:color w:val="000000"/>
          <w:sz w:val="28"/>
          <w:szCs w:val="28"/>
          <w:lang w:bidi="ru-RU"/>
        </w:rPr>
        <w:t>развития практик инициативного бюджетирования</w:t>
      </w:r>
      <w:r w:rsidRPr="00422719">
        <w:rPr>
          <w:sz w:val="28"/>
          <w:szCs w:val="28"/>
        </w:rPr>
        <w:t>;</w:t>
      </w:r>
    </w:p>
    <w:p w:rsidR="00422719" w:rsidRPr="00422719" w:rsidRDefault="00422719" w:rsidP="0042271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2719">
        <w:rPr>
          <w:rFonts w:eastAsia="Calibri"/>
          <w:sz w:val="28"/>
          <w:szCs w:val="28"/>
          <w:lang w:eastAsia="en-US"/>
        </w:rPr>
        <w:t>6,8 млн. рублей - за обеспечение положительного прироста налоговых доходов и высокое качество планирования доходов бюджета.</w:t>
      </w:r>
    </w:p>
    <w:p w:rsidR="00422719" w:rsidRPr="00422719" w:rsidRDefault="00422719" w:rsidP="00422719">
      <w:pPr>
        <w:pStyle w:val="2"/>
        <w:spacing w:line="276" w:lineRule="auto"/>
        <w:ind w:firstLine="709"/>
        <w:rPr>
          <w:szCs w:val="28"/>
        </w:rPr>
      </w:pPr>
    </w:p>
    <w:sectPr w:rsidR="00422719" w:rsidRPr="0042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5"/>
    <w:rsid w:val="00072F52"/>
    <w:rsid w:val="001539AD"/>
    <w:rsid w:val="00171D2E"/>
    <w:rsid w:val="001F6DE7"/>
    <w:rsid w:val="00206DA4"/>
    <w:rsid w:val="00305731"/>
    <w:rsid w:val="00422719"/>
    <w:rsid w:val="00754A33"/>
    <w:rsid w:val="008265D9"/>
    <w:rsid w:val="00991D55"/>
    <w:rsid w:val="00AD6F9A"/>
    <w:rsid w:val="00B72354"/>
    <w:rsid w:val="00B95897"/>
    <w:rsid w:val="00CF416A"/>
    <w:rsid w:val="00D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233D-781A-43AB-9587-8D50474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1D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1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23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B72354"/>
    <w:pPr>
      <w:spacing w:before="100" w:beforeAutospacing="1" w:after="100" w:afterAutospacing="1"/>
      <w:jc w:val="right"/>
    </w:pPr>
  </w:style>
  <w:style w:type="paragraph" w:styleId="a6">
    <w:name w:val="List Paragraph"/>
    <w:aliases w:val="SL_Абзац списка"/>
    <w:basedOn w:val="a"/>
    <w:link w:val="a7"/>
    <w:uiPriority w:val="34"/>
    <w:qFormat/>
    <w:rsid w:val="00B72354"/>
    <w:pPr>
      <w:spacing w:after="200" w:line="276" w:lineRule="auto"/>
      <w:ind w:left="720"/>
      <w:contextualSpacing/>
      <w:jc w:val="right"/>
    </w:pPr>
    <w:rPr>
      <w:rFonts w:eastAsiaTheme="minorEastAsia" w:cstheme="minorBidi"/>
      <w:sz w:val="22"/>
      <w:szCs w:val="22"/>
    </w:rPr>
  </w:style>
  <w:style w:type="paragraph" w:customStyle="1" w:styleId="ConsPlusNonformat">
    <w:name w:val="ConsPlusNonformat"/>
    <w:rsid w:val="00B72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rsid w:val="00B72354"/>
    <w:rPr>
      <w:rFonts w:ascii="Times New Roman" w:eastAsiaTheme="minorEastAsia" w:hAnsi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B72354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21">
    <w:name w:val="Основной текст (2)_"/>
    <w:basedOn w:val="a0"/>
    <w:link w:val="22"/>
    <w:rsid w:val="0042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19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a8">
    <w:name w:val="Всегда"/>
    <w:basedOn w:val="a"/>
    <w:autoRedefine/>
    <w:rsid w:val="00422719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E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3B79834A45F7447C0D914B6484C5F5D858894F9FC537E7DF61847596n6B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C397-DDC1-49C7-878E-E553C338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5</cp:revision>
  <cp:lastPrinted>2021-03-11T10:56:00Z</cp:lastPrinted>
  <dcterms:created xsi:type="dcterms:W3CDTF">2021-03-11T10:43:00Z</dcterms:created>
  <dcterms:modified xsi:type="dcterms:W3CDTF">2021-03-12T10:24:00Z</dcterms:modified>
</cp:coreProperties>
</file>