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after="150" w:line="240" w:lineRule="auto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Внимание владельцев домашней птицы и животных!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center"/>
        <w:spacing w:after="150" w:line="240" w:lineRule="auto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Грипп птиц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center"/>
        <w:spacing w:after="150" w:line="240" w:lineRule="auto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(Информация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о правилах содержания птиц и мерах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  <w:br/>
        <w:t xml:space="preserve">по предотвращению заноса и распространения гриппа птиц)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Уважаемые владельцы домашней птицы и животных!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связи с ухудшением эпизоотической ситуации </w:t>
        <w:br/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высокопатогенному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гриппу птиц (далее – ВГП)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выявлением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возбудителя ВГП среди нетипичного вида полусинантропной птицы (чайка)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территории ряда субъектов Российской Федерации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 сохраняющейся угрозой его дальнейшего распространения, просим вас обеспечить соблюдение требований ветеринарного законодательства </w:t>
        <w:br/>
        <w:t xml:space="preserve">по недопущению распространения гриппа птиц в Ханты-Мансийском автономном округе – Югре.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Грипп птиц – острая инфекционная вирусная болезнь, характеризующаяся поражением органов пищеварения, дыхания и высокой смертностью домашних и диких птиц.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Внешне болезнь у птиц проявляется взъерошенностью оперения, обильными истечениями из носовых отверстий, хрипами, кашлем, повышенной температурой тела до 43-44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С°. Гребень и сережки приобретают темно-фиолетовый цвет. У птицы наблюдается коричневато-зеленый понос, отеки в области головы и ног.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Заболевание может протекать без выше перечисленных признаков, </w:t>
        <w:br/>
        <w:t xml:space="preserve">и смерть наступает мгновенно. Птица погибает массово.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Заболеванию гриппом птиц подвержен и человек.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У людей заболевание чаще протекает остро и сопровождается развитием ТОРС (тяжелый острый респираторный синдром), то есть острым отеком легких, при котором происходит удушье.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Источником заражения ВГП является больная птица и продукты её жизнедеятельности. </w:t>
      </w:r>
      <w:r/>
    </w:p>
    <w:p>
      <w:pPr>
        <w:ind w:left="0" w:right="0" w:firstLine="709"/>
        <w:jc w:val="both"/>
        <w:spacing w:after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 внешней среде вирус устойчив. Длительное время он сохраняется при замораживании: в помете – 30 дней, на пухе, пере, таре – до 100 дней, </w:t>
        <w:br/>
        <w:t xml:space="preserve">в сточных водах – 80-90 дней. При нагревании до температуры 80-100 С° вирус погибает.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ветеринарными специалистами проводится мониторинг поголовья домашней птицы на подведомственных территориях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Владельцам домашней птицы важно 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сообщать ветеринарным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специалистам бюджетного учреждения Ханты-Мансийского автономного округа – Югры «Ветеринарный центр» </w:t>
        <w:br/>
        <w:t xml:space="preserve">(далее – БУ «Ветеринарный центр») свои контактные данные, количество и вид домашней птицы для точного 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причиной падежа является грипп птиц, то опасности подвергаются </w:t>
        <w:br/>
        <w:t xml:space="preserve">не только владельцы птицы и их родственники, но и птица, и люди </w:t>
        <w:br/>
        <w:t xml:space="preserve">на территории в радиусе до 30 км.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Владельцам животных и птицы всех форм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настоятельно рекомендуется принять следующие меры, направленные </w:t>
        <w:br/>
        <w:t xml:space="preserve">на охрану хозяйств от заноса вируса гриппа птиц: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идентификацию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домашней птицы в режиме «закрытого типа»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контакты домашней птицы, содержащейся в хозяйствах, </w:t>
        <w:br/>
        <w:t xml:space="preserve">с дикой и синантропной птицей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пресечение доступа к птице посторонних лиц, </w:t>
        <w:br/>
        <w:t xml:space="preserve">за исключением ветеринарных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 «Ветеринарный центр»;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препятствовать в работе ветеринарным специалистам </w:t>
        <w:br/>
        <w:t xml:space="preserve">БУ «Ветеринарный центр», по их требованию обеспечить доступ к птице для осмотра и проведения профилактических и противоэпизоотических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факты приобретения птицы, продуктов птицеводства </w:t>
        <w:br/>
        <w:t xml:space="preserve">и кормов в неустановленных местах и из субъектов Российской Федерации, неблагополучных по гриппу птиц;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правила личной гигиены при контакте с птицей;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вести борьбу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грызунами,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являются источником различных заболеваний;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обеспечивать механическую очистку и дезинфекцию мест содержания птицы;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сключить вывоз помёта и других продуктов жизнедеятельности птицы без предварительного обеззараживания;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загрязнения окружающей среды продуктами птицеводства и биологическими отходами.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убой на мясо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 птицы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 больной или подозреваемой </w:t>
        <w:br/>
        <w:t xml:space="preserve">по заболеванию гриппом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 птиц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bookmarkEnd w:id="0"/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 захоронение в землю тушек павшей птицы.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Владельцы поголовья птиц всех форм собственности </w:t>
        <w:br/>
        <w:t xml:space="preserve">в обязательном порядке обязаны сообщать ветеринарным специалистам БУ «Ветеринарный центр» </w:t>
      </w: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  <w:t xml:space="preserve">обо всех случаях массового падежа птицы в своих хозяйствах.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Владельцы, не сообщившие о случаях заболевания и падежа птицы,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огут быть привлечены к административной и уголовной ответственности (ст. 10.7 КоАП – сокрытие сведений о внезапном падеже </w:t>
        <w:br/>
        <w:t xml:space="preserve">или одновременных массовых заболеваниях животных; </w:t>
        <w:br/>
        <w:t xml:space="preserve">ст. 249 УК – нарушение ветеринарных правил, установленных для борьбы с болезнями).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2"/>
        </w:rPr>
        <w:t xml:space="preserve">Номера телефонов круглосуточной "горячей линии" на территории </w:t>
      </w:r>
      <w:r>
        <w:rPr>
          <w:rFonts w:ascii="Times New Roman" w:hAnsi="Times New Roman" w:eastAsia="Times New Roman" w:cs="Times New Roman"/>
          <w:b/>
          <w:bCs/>
          <w:sz w:val="28"/>
          <w:szCs w:val="22"/>
        </w:rPr>
        <w:br/>
        <w:t xml:space="preserve">Ханты-Мансийского автономного округа – Югры</w:t>
      </w:r>
      <w:r>
        <w:rPr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2"/>
        </w:rPr>
        <w:t xml:space="preserve">Филиал БУ "Ветеринарный центр" г. Белоярский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8-950-532-14-88 Булатов Александр Александрович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2. Филиал БУ "Ветеринарный центр" в Березовском районе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8-908-884-89-28 Стасенко Оксана Владимировна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3. Филиал БУ "Ветеринарный центр" в Кондинском районе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8-996-445-71-88 </w:t>
      </w:r>
      <w:r>
        <w:rPr>
          <w:rFonts w:ascii="Times New Roman" w:hAnsi="Times New Roman" w:eastAsia="Times New Roman" w:cs="Times New Roman"/>
          <w:sz w:val="28"/>
          <w:szCs w:val="22"/>
        </w:rPr>
        <w:t xml:space="preserve">Фирулева</w:t>
      </w:r>
      <w:r>
        <w:rPr>
          <w:rFonts w:ascii="Times New Roman" w:hAnsi="Times New Roman" w:eastAsia="Times New Roman" w:cs="Times New Roman"/>
          <w:sz w:val="28"/>
          <w:szCs w:val="22"/>
        </w:rPr>
        <w:t xml:space="preserve"> Екатерина Аркадьевна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4. Филиал БУ "Ветеринарный центр" в г. Нефтеюганск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8-922-426-48-99 </w:t>
      </w:r>
      <w:r>
        <w:rPr>
          <w:rFonts w:ascii="Times New Roman" w:hAnsi="Times New Roman" w:eastAsia="Times New Roman" w:cs="Times New Roman"/>
          <w:sz w:val="28"/>
          <w:szCs w:val="22"/>
        </w:rPr>
        <w:t xml:space="preserve">Малюнкина</w:t>
      </w:r>
      <w:r>
        <w:rPr>
          <w:rFonts w:ascii="Times New Roman" w:hAnsi="Times New Roman" w:eastAsia="Times New Roman" w:cs="Times New Roman"/>
          <w:sz w:val="28"/>
          <w:szCs w:val="22"/>
        </w:rPr>
        <w:t xml:space="preserve"> Яна Сергеевна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5. Филиал БУ "Ветеринарный центр" в г. Нижневартовске </w:t>
        <w:br/>
        <w:t xml:space="preserve">и Нижневартовском районе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8-902-854-03-11 Антонов Виктор Зиновьевич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8-922-255-14-02 Никишин Юрий Николаевич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6. Филиал БУ "Ветеринарный центр" в г. Нягани и Октябрьском районе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8-908-887-83-80 Тарасова Елена Владимировна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7. Филиал БУ "Ветеринарный центр" в г. Сургуте и Сургутском районе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8-922-257-33-95 Феклистов Николай Николаевич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8. Филиал БУ "Ветеринарный центр" в г. Советском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8-922-792-91-93 Андрейко Надежда Юрьевна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2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9. Филиал БУ "Ветеринарный центр" в Ханты-Мансийском районе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2"/>
        </w:rPr>
        <w:t xml:space="preserve">8-902-828-42-54 Хлебников Николай Анатольевич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sz w:val="24"/>
          <w:szCs w:val="24"/>
        </w:rPr>
      </w:r>
      <w:r/>
    </w:p>
    <w:p>
      <w:pPr>
        <w:pStyle w:val="854"/>
        <w:ind w:left="0" w:right="0" w:firstLine="709"/>
        <w:jc w:val="both"/>
        <w:spacing w:before="0" w:beforeAutospacing="0" w:after="0" w:afterAutospacing="0" w:line="252" w:lineRule="atLeast"/>
        <w:shd w:val="clear" w:color="auto" w:fill="ffffff"/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55"/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417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1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1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1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1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1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1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1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1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1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1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1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>
    <w:name w:val="Strong"/>
    <w:basedOn w:val="851"/>
    <w:uiPriority w:val="22"/>
    <w:qFormat/>
    <w:rPr>
      <w:b/>
      <w:bCs/>
    </w:rPr>
  </w:style>
  <w:style w:type="paragraph" w:styleId="856">
    <w:name w:val="Balloon Text"/>
    <w:basedOn w:val="850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</dc:creator>
  <cp:revision>12</cp:revision>
  <dcterms:created xsi:type="dcterms:W3CDTF">2020-09-10T08:51:00Z</dcterms:created>
  <dcterms:modified xsi:type="dcterms:W3CDTF">2023-07-14T05:44:24Z</dcterms:modified>
</cp:coreProperties>
</file>