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56" w:rsidRDefault="00D31C56" w:rsidP="00D31C5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56" w:rsidRDefault="00D31C56" w:rsidP="00D31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31C56" w:rsidRDefault="00D31C56" w:rsidP="00D31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31C56" w:rsidRDefault="00D31C56" w:rsidP="00D31C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31C56" w:rsidRDefault="00D31C56" w:rsidP="00D31C56">
      <w:pPr>
        <w:pStyle w:val="3"/>
        <w:rPr>
          <w:sz w:val="16"/>
          <w:szCs w:val="16"/>
        </w:rPr>
      </w:pPr>
    </w:p>
    <w:p w:rsidR="00D31C56" w:rsidRDefault="00D31C56" w:rsidP="00D31C5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31C56" w:rsidRDefault="00D31C56" w:rsidP="00D31C56">
      <w:pPr>
        <w:jc w:val="center"/>
        <w:rPr>
          <w:sz w:val="16"/>
          <w:szCs w:val="16"/>
        </w:rPr>
      </w:pPr>
    </w:p>
    <w:p w:rsidR="00D31C56" w:rsidRDefault="00D31C56" w:rsidP="00D31C5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31C56" w:rsidRDefault="00D31C56" w:rsidP="00D31C56"/>
    <w:p w:rsidR="00D31C56" w:rsidRDefault="00D31C56" w:rsidP="00D31C56">
      <w:pPr>
        <w:rPr>
          <w:sz w:val="16"/>
          <w:szCs w:val="16"/>
        </w:rPr>
      </w:pPr>
    </w:p>
    <w:p w:rsidR="00D31C56" w:rsidRDefault="00D31C56" w:rsidP="00D31C56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26 марта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№19</w:t>
      </w:r>
    </w:p>
    <w:p w:rsidR="00D31C56" w:rsidRDefault="00D31C56" w:rsidP="00D31C56">
      <w:pPr>
        <w:pStyle w:val="5"/>
        <w:jc w:val="center"/>
        <w:rPr>
          <w:b w:val="0"/>
          <w:sz w:val="16"/>
          <w:szCs w:val="16"/>
        </w:rPr>
      </w:pPr>
    </w:p>
    <w:p w:rsidR="00D31C56" w:rsidRDefault="00D31C56" w:rsidP="00D31C56">
      <w:pPr>
        <w:jc w:val="center"/>
      </w:pPr>
      <w:r>
        <w:t>Ханты-Мансийск</w:t>
      </w:r>
    </w:p>
    <w:p w:rsidR="00D31C56" w:rsidRDefault="00D31C56" w:rsidP="00D31C56">
      <w:pPr>
        <w:rPr>
          <w:sz w:val="16"/>
          <w:szCs w:val="16"/>
        </w:rPr>
      </w:pPr>
    </w:p>
    <w:p w:rsidR="00D31C56" w:rsidRDefault="00D31C56" w:rsidP="00D31C56">
      <w:pPr>
        <w:rPr>
          <w:sz w:val="16"/>
          <w:szCs w:val="16"/>
        </w:rPr>
      </w:pPr>
    </w:p>
    <w:p w:rsidR="00895E59" w:rsidRDefault="00895E59" w:rsidP="00D31C56">
      <w:pPr>
        <w:rPr>
          <w:sz w:val="16"/>
          <w:szCs w:val="16"/>
        </w:rPr>
      </w:pPr>
    </w:p>
    <w:p w:rsidR="00C933F0" w:rsidRPr="00C933F0" w:rsidRDefault="00C933F0" w:rsidP="00C933F0">
      <w:pPr>
        <w:pStyle w:val="5"/>
        <w:rPr>
          <w:b w:val="0"/>
          <w:sz w:val="28"/>
          <w:szCs w:val="28"/>
        </w:rPr>
      </w:pPr>
      <w:r w:rsidRPr="00C933F0">
        <w:rPr>
          <w:b w:val="0"/>
          <w:sz w:val="28"/>
          <w:szCs w:val="28"/>
        </w:rPr>
        <w:t xml:space="preserve">О назначении публичных слушаний </w:t>
      </w:r>
    </w:p>
    <w:p w:rsidR="00C933F0" w:rsidRDefault="00C933F0" w:rsidP="00C933F0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C933F0" w:rsidRDefault="00C933F0" w:rsidP="00C933F0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C933F0" w:rsidRDefault="00C933F0" w:rsidP="00C933F0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C933F0" w:rsidRDefault="00C933F0" w:rsidP="00C933F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C933F0" w:rsidRDefault="00C933F0" w:rsidP="00C933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C933F0" w:rsidRDefault="00C933F0" w:rsidP="00C933F0">
      <w:pPr>
        <w:rPr>
          <w:sz w:val="28"/>
          <w:szCs w:val="28"/>
        </w:rPr>
      </w:pPr>
    </w:p>
    <w:p w:rsidR="00C933F0" w:rsidRDefault="00C933F0" w:rsidP="00C933F0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Администрации Ханты-Мансийского района  по вопросу предоставления разрешения на отклонение                 от предельных параметров разрешенного строительства объекта капитального строительства, представленные Администрацией города Ханты-Мансийска,                    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«О порядке организации и проведения публичных слушаний в городе Ханты-Мансийске»:</w:t>
      </w:r>
    </w:p>
    <w:p w:rsidR="00C933F0" w:rsidRDefault="00C933F0" w:rsidP="00C933F0">
      <w:pPr>
        <w:tabs>
          <w:tab w:val="left" w:pos="709"/>
        </w:tabs>
        <w:ind w:firstLine="709"/>
        <w:jc w:val="both"/>
        <w:rPr>
          <w:sz w:val="28"/>
          <w:szCs w:val="40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«Гараж в г. Ханты-Мансийске» в части  увеличения максимальной площади земельного участка              до 275 кв. м, высоты до 7,5 м, длины до 25 м, ширины до 11 м,  допустимого отклонения площади до 10 кв. м (зона автомобильного транспорта  ТЗ 502 планировочного квартала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02:02:05) с участием граждан, проживающих в пределах указанной территориальной зоны. </w:t>
      </w:r>
      <w:proofErr w:type="gramEnd"/>
    </w:p>
    <w:p w:rsidR="00C933F0" w:rsidRDefault="00C933F0" w:rsidP="00C933F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 xml:space="preserve">7 часов 00 минут </w:t>
      </w:r>
      <w:r>
        <w:rPr>
          <w:sz w:val="28"/>
          <w:szCs w:val="28"/>
        </w:rPr>
        <w:t>15 апреля</w:t>
      </w:r>
      <w:r>
        <w:rPr>
          <w:color w:val="000000"/>
          <w:sz w:val="28"/>
          <w:szCs w:val="28"/>
        </w:rPr>
        <w:t xml:space="preserve"> 2015 года по адресу: г. Ханты-Мансийск, ул. Калинина, 26, кабинет 305.</w:t>
      </w:r>
    </w:p>
    <w:p w:rsidR="00C933F0" w:rsidRDefault="00C933F0" w:rsidP="00C93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15 апреля</w:t>
      </w:r>
      <w:r>
        <w:rPr>
          <w:color w:val="000000"/>
          <w:sz w:val="28"/>
          <w:szCs w:val="28"/>
        </w:rPr>
        <w:t xml:space="preserve"> 2015 года                    с 18 часов 00 минут в малом зале муниципального бюджетного учреждения </w:t>
      </w:r>
      <w:r>
        <w:rPr>
          <w:color w:val="000000"/>
          <w:sz w:val="28"/>
          <w:szCs w:val="28"/>
        </w:rPr>
        <w:lastRenderedPageBreak/>
        <w:t>«Культурно-досуговый центр «Октябрь» по адресу: г. Ханты-Мансийск,                       ул. Дзержинского, 7</w:t>
      </w:r>
      <w:r>
        <w:rPr>
          <w:sz w:val="28"/>
          <w:szCs w:val="28"/>
        </w:rPr>
        <w:t>.</w:t>
      </w:r>
    </w:p>
    <w:p w:rsidR="00C933F0" w:rsidRDefault="00C933F0" w:rsidP="00C93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  по результатам проведения публичных слушаний возложить на комиссию                    по землепользованию и застройке территории города Ханты-Мансийска. </w:t>
      </w:r>
    </w:p>
    <w:p w:rsidR="00C933F0" w:rsidRDefault="00C933F0" w:rsidP="00C933F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C933F0" w:rsidRDefault="00C933F0" w:rsidP="00C933F0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C933F0" w:rsidRDefault="00C933F0" w:rsidP="00C933F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C933F0" w:rsidRDefault="00C933F0" w:rsidP="00C93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C933F0" w:rsidRDefault="00C933F0" w:rsidP="00C933F0">
      <w:pPr>
        <w:tabs>
          <w:tab w:val="left" w:pos="0"/>
        </w:tabs>
        <w:jc w:val="both"/>
        <w:rPr>
          <w:sz w:val="28"/>
          <w:szCs w:val="28"/>
        </w:rPr>
      </w:pPr>
    </w:p>
    <w:p w:rsidR="00D31C56" w:rsidRDefault="00D31C56" w:rsidP="00D31C56">
      <w:pPr>
        <w:rPr>
          <w:sz w:val="16"/>
          <w:szCs w:val="16"/>
        </w:rPr>
      </w:pPr>
    </w:p>
    <w:p w:rsidR="00D31C56" w:rsidRDefault="00D31C56" w:rsidP="00D31C56">
      <w:pPr>
        <w:rPr>
          <w:sz w:val="16"/>
          <w:szCs w:val="16"/>
        </w:rPr>
      </w:pPr>
    </w:p>
    <w:p w:rsidR="00C933F0" w:rsidRDefault="00C933F0" w:rsidP="00D31C56">
      <w:pPr>
        <w:rPr>
          <w:sz w:val="16"/>
          <w:szCs w:val="16"/>
        </w:rPr>
      </w:pPr>
    </w:p>
    <w:p w:rsidR="00D31C56" w:rsidRDefault="00D31C56" w:rsidP="00D31C56">
      <w:pPr>
        <w:rPr>
          <w:sz w:val="16"/>
          <w:szCs w:val="16"/>
        </w:rPr>
      </w:pPr>
    </w:p>
    <w:p w:rsidR="00D31C56" w:rsidRDefault="00D31C56" w:rsidP="00D31C56">
      <w:pPr>
        <w:rPr>
          <w:sz w:val="16"/>
          <w:szCs w:val="16"/>
        </w:rPr>
      </w:pPr>
    </w:p>
    <w:p w:rsidR="00895E59" w:rsidRDefault="00895E59" w:rsidP="00D31C56">
      <w:pPr>
        <w:rPr>
          <w:sz w:val="16"/>
          <w:szCs w:val="16"/>
        </w:rPr>
      </w:pPr>
      <w:bookmarkStart w:id="0" w:name="_GoBack"/>
      <w:bookmarkEnd w:id="0"/>
    </w:p>
    <w:p w:rsidR="00D31C56" w:rsidRDefault="00D31C56" w:rsidP="00D31C56">
      <w:pPr>
        <w:pStyle w:val="31"/>
        <w:spacing w:after="0"/>
        <w:jc w:val="both"/>
        <w:rPr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D31C56" w:rsidRDefault="00D31C56" w:rsidP="00D31C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>
      <w:pPr>
        <w:ind w:firstLine="708"/>
        <w:rPr>
          <w:sz w:val="28"/>
          <w:szCs w:val="28"/>
        </w:rPr>
      </w:pPr>
    </w:p>
    <w:p w:rsidR="00D31C56" w:rsidRDefault="00D31C56" w:rsidP="00D31C56"/>
    <w:p w:rsidR="00E80536" w:rsidRDefault="00E80536"/>
    <w:sectPr w:rsidR="00E80536" w:rsidSect="005F1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7E" w:rsidRDefault="0088077E" w:rsidP="005F1DB5">
      <w:r>
        <w:separator/>
      </w:r>
    </w:p>
  </w:endnote>
  <w:endnote w:type="continuationSeparator" w:id="0">
    <w:p w:rsidR="0088077E" w:rsidRDefault="0088077E" w:rsidP="005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B5" w:rsidRDefault="005F1DB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B5" w:rsidRDefault="005F1DB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B5" w:rsidRDefault="005F1D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7E" w:rsidRDefault="0088077E" w:rsidP="005F1DB5">
      <w:r>
        <w:separator/>
      </w:r>
    </w:p>
  </w:footnote>
  <w:footnote w:type="continuationSeparator" w:id="0">
    <w:p w:rsidR="0088077E" w:rsidRDefault="0088077E" w:rsidP="005F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B5" w:rsidRDefault="005F1D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791964"/>
      <w:docPartObj>
        <w:docPartGallery w:val="Page Numbers (Top of Page)"/>
        <w:docPartUnique/>
      </w:docPartObj>
    </w:sdtPr>
    <w:sdtEndPr/>
    <w:sdtContent>
      <w:p w:rsidR="005F1DB5" w:rsidRDefault="005F1D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E59">
          <w:rPr>
            <w:noProof/>
          </w:rPr>
          <w:t>2</w:t>
        </w:r>
        <w:r>
          <w:fldChar w:fldCharType="end"/>
        </w:r>
      </w:p>
    </w:sdtContent>
  </w:sdt>
  <w:p w:rsidR="005F1DB5" w:rsidRDefault="005F1DB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DB5" w:rsidRDefault="005F1D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7"/>
    <w:rsid w:val="005F1DB5"/>
    <w:rsid w:val="00635B37"/>
    <w:rsid w:val="0088077E"/>
    <w:rsid w:val="00895E59"/>
    <w:rsid w:val="00C933F0"/>
    <w:rsid w:val="00D31C56"/>
    <w:rsid w:val="00DC7372"/>
    <w:rsid w:val="00E22EB8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D31C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31C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C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1D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1D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D31C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31C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C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1D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1D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2015-03-26T12:08:00Z</dcterms:created>
  <dcterms:modified xsi:type="dcterms:W3CDTF">2015-03-26T12:12:00Z</dcterms:modified>
</cp:coreProperties>
</file>