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борот табачной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никотинсодержащей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продукции без обязательной маркировки средствами идентификации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его осуществление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маркировки табачной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никотинсодержащей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продукции средствами идентификации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Федерации от 28.02.2019 № 224. 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01 июля 2020 года не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оборот немаркированн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средствами идентификации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сигарет и папирос. 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июля 2021 года не допускается оборот немаркированной средствами идентификации следующей табачной продукции: табак для кальяна, сигары, сигары с обрезанными концами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черуты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сигариллы (сигары тонкие),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кретек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табак курительный, трубочный табак, табак жевательный, табак нюхательный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(«иная табачная продукция»)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марта 2022 года вступила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силу норма об обязательной маркировке средствами идентификации отдельных видов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никотинсодержащей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(табачны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предназначенны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потребления путем нагревания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урительны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смес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кальяна, не содержащи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табак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 15 марта 2022 года все участники оборота данной группы товаров обязаны вносить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мониторинга за оборотом товаров, подлежащих обязательной маркировке средствами идентификации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сведения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действиях по обороту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маркированных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товаров.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аркировка участниками оборота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(табачны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предназначенны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потребления путем нагревания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урительны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смес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кальяна, не содержащи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табак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находившихся в обороте по состоянию 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марта 2022 г., в порядке, установленном для маркировки остатков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табачной продукции,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1 октября 2023 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борот немаркированных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(табачны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предназначенны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потребления путем нагревания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урительны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смес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кальяна, не содержащи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табак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допускается до 1 октября 2023 г.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022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введена обязательная маркировка жидкостей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электронных систем доставки никотина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безникотиновые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картриджах, капсулах, а также в составе электронных систем доставки никотина одноразового использования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участники оборота данной группы товаров обязаны вносить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всех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действиях по обороту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маркированных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товаров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аркировка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участниками оборота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товаров, находившихся в обороте по состоянию на 15 декабря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порядке, установленном для маркировки остатков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табачной продукции,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допускается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декабря 2023 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птовый оборот не маркированн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средствами идентификации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товаров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допускается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 апреля 2023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озничная продажа немаркированных товаров допускается до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декабря 2023 г.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Статья 15.12 КоАП РФ, часть 4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табачных изделий без маркировки и (или) нанесения информации, предусмотренной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такая маркировка и (или) нанесение такой информации обязательны, влечет наложение административного штрафа 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десяти тысяч до двадцати тысяч рублей с конфискацией предметов административного правонарушения; 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- от тридцати тысяч до пятидесяти тысяч рублей с конфискацией предметов административного правонарушения; 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юридических лиц - от трехсот тысяч до пятисот тысяч рублей с конфискацией предметов административного правонарушения.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Примечание. Под товаром, продукцией, изделием без марк</w:t>
      </w:r>
      <w:r>
        <w:rPr>
          <w:rFonts w:ascii="Times New Roman" w:hAnsi="Times New Roman" w:cs="Times New Roman"/>
          <w:i/>
          <w:sz w:val="28"/>
          <w:szCs w:val="28"/>
        </w:rPr>
        <w:t xml:space="preserve">ировки в настоящей статье понимаются товар, продукция, изделие без того вида маркировки (средства идентификации, специальной (акцизной) марки, другого способа маркировки), требование о нанесении которого предусмотрено законодательством Российской Федерации</w:t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оборот табачной и </w:t>
      </w:r>
      <w:r>
        <w:rPr>
          <w:rFonts w:ascii="Times New Roman" w:hAnsi="Times New Roman" w:cs="Times New Roman"/>
          <w:sz w:val="28"/>
          <w:szCs w:val="28"/>
        </w:rPr>
        <w:t xml:space="preserve">никотинсодержащей</w:t>
      </w:r>
      <w:r>
        <w:rPr>
          <w:rFonts w:ascii="Times New Roman" w:hAnsi="Times New Roman" w:cs="Times New Roman"/>
          <w:sz w:val="28"/>
          <w:szCs w:val="28"/>
        </w:rPr>
        <w:t xml:space="preserve"> продукции без обязательной маркировки средствами идентификации в крупном и особо крупном размере предусмотрена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ст</w:t>
      </w:r>
      <w:r>
        <w:rPr>
          <w:rFonts w:ascii="Times New Roman" w:hAnsi="Times New Roman" w:cs="Times New Roman"/>
          <w:sz w:val="28"/>
          <w:szCs w:val="28"/>
        </w:rPr>
        <w:t xml:space="preserve">атья</w:t>
      </w:r>
      <w:r>
        <w:rPr>
          <w:rFonts w:ascii="Times New Roman" w:hAnsi="Times New Roman" w:cs="Times New Roman"/>
          <w:sz w:val="28"/>
          <w:szCs w:val="28"/>
        </w:rPr>
        <w:t xml:space="preserve"> 171.1 Уголовного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Revision"/>
    <w:hidden/>
    <w:uiPriority w:val="99"/>
    <w:semiHidden/>
    <w:pPr>
      <w:spacing w:after="0" w:line="240" w:lineRule="auto"/>
    </w:pPr>
  </w:style>
  <w:style w:type="character" w:styleId="604">
    <w:name w:val="Hyperlink"/>
    <w:basedOn w:val="60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revision>3</cp:revision>
  <dcterms:created xsi:type="dcterms:W3CDTF">2023-07-14T06:37:00Z</dcterms:created>
  <dcterms:modified xsi:type="dcterms:W3CDTF">2023-07-14T11:54:11Z</dcterms:modified>
</cp:coreProperties>
</file>