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85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Типичные нарушения при разработке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0" w:right="0" w:firstLine="85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паспорта безопасности торгового объекта (территории)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/>
    </w:p>
    <w:p>
      <w:pPr>
        <w:pStyle w:val="864"/>
        <w:numPr>
          <w:ilvl w:val="0"/>
          <w:numId w:val="2"/>
        </w:numPr>
        <w:ind w:left="0" w:right="0" w:firstLine="88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ru-RU" w:bidi="ru-RU"/>
        </w:rPr>
        <w:t xml:space="preserve">Ошибка: не заполнены какие-либо отметки о согласовании на титульном листе паспорта безопасности и отметка об утверждении, не соблюдена очередность направления паспорта безопасности на согласование.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 соответствии с п. 21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Требований к антитеррористической защищенности торговых объектов (территорий), утвержденных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постановлением Правительства Российской Федерации от 19.10.2017 № 1273 (далее – Требования, Постановление № 1273)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паспорт безопасности составляется руководителем объекта на основании акта обследования и категорирования торгового объекта (территории) с учетом данных, предоставляемых членами комиссии в соответствии с их компетенцией, и утверждается правообладателем торг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ового объекта (территории) либо уполномоченным им должностным лицом.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Паспорт безопасности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</w:rPr>
        <w:t xml:space="preserve">в течение 30 дней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со дня его составления подлежит согласованию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идации последствий стихийных бедствий,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ссийской Федерации по месту нахождения торгового объекта (территории) или уполномоченными ими должностными лицами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(далее – уполномоченные органы).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 соответствии с п. 22 Требований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паспорт безопасности составляется в 2 экземплярах.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Один экземпляр паспорта безопасности хранится в уполномоченном органе субъекта Российской Федерации, на территории которого расположен торговый объект (территория)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, т.е. в Департаменте экономического развития Ханты-Мансийского автономного округа – Югры.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Таким образом,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для согласования в Депэкономики Югры принимается паспорт после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</w:rPr>
        <w:t xml:space="preserve">утверждения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правообладателем 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</w:rPr>
        <w:t xml:space="preserve">согласования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с руководителями территориального органа безопасности, территориального органа Министерства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Федерации или подразделения вневедомственной охраны вой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ск национальной гвардии Российской Федерации.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Информацию, подт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верждающую дату направления паспорта безопасности на согласование (трек номер почтового отправления, сообщение о доставке по электронной почте и др.) необходимо сохранять в течение трех лет в целях подтверждения исполнения указанных требований проверяющим.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t xml:space="preserve">После согласования первый экземпляр паспорта остаётся в Депэкономики Югры, второй – направляется обратно правообладателю.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t xml:space="preserve"> Паспорт направляется почтовым направлением с уведомлением о вручении. В связи с чем, при направлении паспортов безопасности в Депэкономики Югры в сопроводительном письме необходимо указать получателя и его адрес.</w:t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 соответствии с п. 22 Требований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заверенные правообладателем коп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ии (электронные копии) согласованного и утверждённого паспорта безопасности направляются в территориальный орган безопасности, территориальный орган Министерства Российской Федерации по делам гражданской обороны, чрезвычайным ситуациям и ликвидации последс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(территории).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Информацию, подтверждающую направление копий паспортов (трек номер почтового отправления, сообщение о доставке по электронной почте и др.) необходимо сохранять в течение трех лет в целях подтверждения исполнения указанных требований проверяющим.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2. Ошибка: дата утверждения паспорта правообладателем позднее чем дата согласования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уполномоченными органами.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 соответствии с п. 21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Требований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паспорт безопасности сначала утверждается правообладате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лем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, после чего направляется на согласование.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 связи с изложенным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дата утверждения паспорта не может быть позднее даты согласования.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2.1. Ошибка: паспорт направлен на согласование с заранее проставленными датами согласования уполномоченными органами.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>
        <w:rPr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Не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допускается самостоятельное проставление дат правообладателем при направлении на согласование, дата указывается непосредственно согласующим должностным лицом уполномоченного органа в момент согласования.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3. Ошибка: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установлен срок действия паспорта безопасности.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Требованиями к форме паспорта безопасности, 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1273,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установлен срок действия паспорта безопасности.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Паспорт безопасности подлежит актуализации по причинам, указанным в п. 25 Требований, либо корректировке. 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связи с изложенным проставление срока действия паспорта противоречит Постановлению № 1273.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Ошибка: в качестве правообладателей торгового объекта указаны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лица, которые не являются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собственником или арендатором, а, например,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отвечают за безопасность в торговом объекте и (или) включены в состав комиссии по обследованию и категорированию торгового объекта,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либо иные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лица, не указанные в акте обследовани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я в качестве правообладателей.</w:t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В соответствии с п.п. 17, 18 Требований в ходе своей работы комиссия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осуществляет сбор и анализ исходных данных о торговом объекте (территории), в том числе сведений из выписок из Единого государственного реестра недвижимости, договоров аренды, других документов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о собственниках торгового объекта,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его арендаторах и полномочиях по обеспечению антитеррористической защищенности торгового объекта.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Результаты работы комиссии оформляются актом обследования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Таким образом, информация о правообладателе торгового объекта в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паспорте безопасности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указывается в соответствии с актом обследования.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Обращаю внимание, что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в случаях, когда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земельный участок,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здание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, строение и сооружение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используются для размещения торговых объектов (территорий), принадлежащих нескольким правообладателям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торговых объектов (территорий),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составление паспорта безопасности осуществляется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совместно всеми руководителями объектов или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по соглашению между правообладателями торговых объектов (территорий) одним из руководителей объекта (п. 24 Требований)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В соответствии с пунктом 3 Требован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ий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(далее - правообладатели торговых объектов (те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 То есть к правообладателям относятся также и арендаторы помещений в торговом объекте.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Таким образом,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в случаях, когда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торговый объект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принадлежит нескольким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собственникам, в целях обеспечения антитеррористической защищенности в торговом объекте, собстве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нникам торгового объекта целесообразно принять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совместное решение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, на кого из собственников возлагается ответственность за обеспечение антитеррористической защищенности торговых объектов (территорий), т.е. кто будет указан правообладателями в акте обследов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ания и в паспорте, а также назначить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должностное лицо, осуществляющее непосредственное руководство деятельностью работников торговых объектов.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i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t xml:space="preserve">Кроме того в договорах с арендаторами помещений необходимо отражать, на кого возлагается ответственность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за обеспечение антитеррористической защищенности торгового объекта, т.е. включены ли расходы на эти цели в арендную плату. В случае, если такие обязанности между арендаторами и арендодателями не распределены, арендаторы также должны участвовать в принятии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совместного решения.</w:t>
      </w:r>
      <w:r>
        <w:rPr>
          <w:highlight w:val="none"/>
        </w:rPr>
      </w:r>
      <w:r/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t xml:space="preserve">Подтверждающий </w:t>
      </w:r>
      <w:r>
        <w:rPr>
          <w:rFonts w:ascii="Times New Roman" w:hAnsi="Times New Roman" w:eastAsia="Times New Roman" w:cs="Times New Roman"/>
          <w:b/>
          <w:bCs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t xml:space="preserve">совместное решение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t xml:space="preserve"> документ (протокол общего собрания (соглашение), подписанный всеми участниками) необходимо предоставить комиссии в ходе обследования.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</w:r>
      <w:r/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5. Ошибка: раздел 2 формы паспорта безопасности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«Сведения об объектах, расположенных на торговом объекте (территории)»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, утвержденной Постановлением № 1273, либо не заполнен, либо в него включен только один магазин, занимающий большую часть площади торгового объекта.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Раздел 2 паспорта безопасности должен содержать информацию о всех объектах, осуществляющих какую-либо деятельность в торговом объекте.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6. Ошибка: не указываются сведения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о потенциально опасных участках торгового объекта (Раздел 6 формы паспорта безопасности).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К потенциально опасным участкам можно отнести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ru-RU" w:bidi="ru-RU"/>
        </w:rPr>
        <w:t xml:space="preserve">уч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астки объекта (территории), совершение террористического акта на которых может привести к возникновению ситуаций с социально-экономическими последствиями, например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расходы на аварийно-восстановительные работы, эвакуацию и расселение, питание и обслуживание пострадавших, выплаты им единовременной материальной помощи и т.п.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Таким образом,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качестве </w:t>
      </w:r>
      <w:r>
        <w:rPr>
          <w:rFonts w:ascii="Times New Roman" w:hAnsi="Times New Roman" w:cs="Times New Roman"/>
          <w:sz w:val="28"/>
          <w:szCs w:val="28"/>
        </w:rPr>
        <w:t xml:space="preserve">потенциально опасных участков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рассматриваются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зоны наибольшего скопления людей на объекте (парковки, коридоры, залы или зоны ожидания, торговые залы, зрит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ельские трибуны, средства временного размещения людей и т.п.)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Ошибка: 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план-схема торгового объекта (территории)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являющаяся приложением к паспорту безопасности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выполнена без привязки к местности, т.е. на схеме схематично нанесены только контуры торгового объекта.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Согласно приложению 2 к форме паспорта безопасности на план схеме торговый объект должен быть указан в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 привязке к местности. 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Таким образом, при указании на 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План-схеме торгового объекта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 необходимо также указывать местность в которой расположен торговый объект (улицы, проспекты и т.д.), а также прилегающие территории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(площади, скверы, здание). Возможно использование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поисково-информационны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х картографических сервисов в информационно-коммуникационной сети «Интернет» (схемы, спутниковые снимки, спутниковые снимки с надписями и условными обозначениями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).</w:t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8. Ошибка: на 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План-схеме торгового объекта (территории)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являющейся приложением к паспорту безопасности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не указана информация о 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находящихся на территории торгового 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объекта (территории) 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мусорны</w:t>
      </w:r>
      <w:r>
        <w:rPr>
          <w:rFonts w:ascii="Times New Roman" w:hAnsi="Times New Roman" w:cs="Times New Roman"/>
          <w:sz w:val="28"/>
          <w:szCs w:val="28"/>
          <w:highlight w:val="none"/>
          <w:lang w:val="ru-RU" w:bidi="ru-RU"/>
        </w:rPr>
        <w:t xml:space="preserve">х контейнеров.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Допускается нанесение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план-схему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отметки нахождения мусорных контейнеров от руки.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Ошибка: к паспорту безопасности не прикладывается инструкция по эвакуации людей (приложение 4 к форме паспорта безопасности).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Приложение: порядок разработки (заполнения) паспорта безопасности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>
        <w:pos w:val="pageBottom"/>
      </w:footnotePr>
      <w:endnotePr/>
      <w:type w:val="nextPage"/>
      <w:pgSz w:w="11907" w:h="16840" w:orient="portrait"/>
      <w:pgMar w:top="1418" w:right="1418" w:bottom="1418" w:left="1588" w:header="397" w:footer="39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separator/>
      </w:r>
      <w:r/>
    </w:p>
  </w:endnote>
  <w:endnote w:type="continuationSeparator" w:id="0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,">
    <w:panose1 w:val="020B0603030804020204"/>
  </w:font>
  <w:font w:name="Liberation Serif">
    <w:panose1 w:val="02020603050405020304"/>
  </w:font>
  <w:font w:name="Courier New">
    <w:panose1 w:val="020704090202050204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separator/>
      </w:r>
      <w:r/>
    </w:p>
  </w:footnote>
  <w:footnote w:type="continuationSeparator" w:id="0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jc w:val="center"/>
    </w:pPr>
    <w:fldSimple w:instr="PAGE \* MERGEFORMAT">
      <w:r>
        <w:t xml:space="preserve">2</w:t>
      </w:r>
    </w:fldSimple>
    <w:r/>
    <w:r/>
  </w:p>
  <w:p>
    <w:pPr>
      <w:pStyle w:val="8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zh-CN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47"/>
    <w:link w:val="86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47"/>
    <w:link w:val="86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47"/>
    <w:link w:val="86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47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49"/>
    <w:uiPriority w:val="99"/>
  </w:style>
  <w:style w:type="character" w:styleId="698">
    <w:name w:val="Footer Char"/>
    <w:basedOn w:val="847"/>
    <w:link w:val="850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0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846">
    <w:name w:val="Heading 1"/>
    <w:basedOn w:val="845"/>
    <w:pPr>
      <w:ind w:left="0" w:right="0"/>
      <w:jc w:val="center"/>
      <w:spacing w:before="108" w:after="108" w:line="240" w:lineRule="auto"/>
      <w:outlineLvl w:val="0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ru-RU" w:bidi="ru-RU"/>
    </w:rPr>
  </w:style>
  <w:style w:type="character" w:styleId="847" w:default="1">
    <w:name w:val="Default Paragraph Font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848" w:default="1">
    <w:name w:val="Normal Table"/>
    <w:semiHidden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paragraph" w:styleId="849">
    <w:name w:val="Header"/>
    <w:basedOn w:val="845"/>
    <w:pPr>
      <w:ind w:left="0" w:right="0"/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850">
    <w:name w:val="Footer"/>
    <w:basedOn w:val="845"/>
    <w:pPr>
      <w:ind w:left="0" w:right="0"/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851">
    <w:name w:val="Заголовок №1 + Интервал -1 pt"/>
    <w:basedOn w:val="847"/>
    <w:rPr>
      <w:rFonts w:ascii="Times New Roman" w:hAnsi="Times New Roman" w:eastAsia="Times New Roman" w:cs="Times New Roman"/>
      <w:spacing w:val="-20"/>
      <w:sz w:val="21"/>
      <w:szCs w:val="21"/>
      <w:lang w:val="ru-RU" w:bidi="ru-RU"/>
    </w:rPr>
  </w:style>
  <w:style w:type="character" w:styleId="852">
    <w:name w:val="Основной текст (11)"/>
    <w:basedOn w:val="847"/>
    <w:rPr>
      <w:rFonts w:ascii="Times New Roman" w:hAnsi="Times New Roman" w:eastAsia="Times New Roman" w:cs="Times New Roman"/>
      <w:sz w:val="14"/>
      <w:szCs w:val="14"/>
      <w:lang w:val="ru-RU" w:bidi="ru-RU"/>
    </w:rPr>
  </w:style>
  <w:style w:type="paragraph" w:styleId="853">
    <w:name w:val="Основной текст (2)"/>
    <w:basedOn w:val="845"/>
    <w:pPr>
      <w:ind w:left="0" w:right="0"/>
      <w:jc w:val="center"/>
      <w:spacing w:before="0" w:after="360" w:line="254" w:lineRule="exact"/>
      <w:shd w:val="clear" w:color="auto" w:fill="ffffff"/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854">
    <w:name w:val="Основной текст (3)"/>
    <w:basedOn w:val="845"/>
    <w:pPr>
      <w:ind w:left="0" w:right="0"/>
      <w:jc w:val="center"/>
      <w:spacing w:before="360" w:after="2520" w:line="24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8"/>
      <w:szCs w:val="18"/>
      <w:lang w:val="ru-RU" w:bidi="ru-RU"/>
    </w:rPr>
  </w:style>
  <w:style w:type="paragraph" w:styleId="855">
    <w:name w:val="Основной текст (11)1"/>
    <w:basedOn w:val="845"/>
    <w:pPr>
      <w:ind w:left="0" w:right="0" w:hanging="1720"/>
      <w:jc w:val="right"/>
      <w:spacing w:before="0" w:after="420" w:line="187" w:lineRule="exact"/>
      <w:shd w:val="clear" w:color="auto" w:fill="ffffff"/>
    </w:pPr>
    <w:rPr>
      <w:rFonts w:ascii="Times New Roman" w:hAnsi="Times New Roman" w:eastAsia="Times New Roman" w:cs="Times New Roman"/>
      <w:sz w:val="14"/>
      <w:szCs w:val="14"/>
      <w:lang w:val="ru-RU" w:bidi="ru-RU"/>
    </w:rPr>
  </w:style>
  <w:style w:type="paragraph" w:styleId="856">
    <w:name w:val="Заголовок №1"/>
    <w:basedOn w:val="845"/>
    <w:pPr>
      <w:ind w:left="0" w:right="0"/>
      <w:jc w:val="left"/>
      <w:spacing w:before="60" w:after="240" w:line="240" w:lineRule="atLeast"/>
      <w:shd w:val="clear" w:color="auto" w:fill="ffffff"/>
      <w:outlineLvl w:val="0"/>
    </w:pPr>
    <w:rPr>
      <w:rFonts w:ascii="Times New Roman" w:hAnsi="Times New Roman" w:eastAsia="Times New Roman" w:cs="Times New Roman"/>
      <w:spacing w:val="10"/>
      <w:sz w:val="21"/>
      <w:szCs w:val="21"/>
      <w:lang w:val="ru-RU" w:bidi="ru-RU"/>
    </w:rPr>
  </w:style>
  <w:style w:type="paragraph" w:styleId="857">
    <w:name w:val="ConsPlusCell"/>
    <w:pPr>
      <w:ind w:left="0" w:right="0"/>
      <w:jc w:val="left"/>
      <w:spacing w:before="0" w:after="0" w:line="240" w:lineRule="auto"/>
    </w:pPr>
    <w:rPr>
      <w:rFonts w:ascii="Arial" w:hAnsi="Arial" w:eastAsia="Arial" w:cs="Arial"/>
      <w:sz w:val="20"/>
      <w:szCs w:val="20"/>
      <w:lang w:val="ru-RU" w:bidi="ru-RU"/>
    </w:rPr>
  </w:style>
  <w:style w:type="paragraph" w:styleId="858">
    <w:name w:val="ConsPlusNonformat"/>
    <w:pPr>
      <w:ind w:left="0" w:right="0"/>
      <w:jc w:val="left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59">
    <w:name w:val="Body Text"/>
    <w:basedOn w:val="845"/>
    <w:pPr>
      <w:ind w:left="125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7"/>
      <w:szCs w:val="27"/>
      <w:lang w:val="ru-RU" w:bidi="ru-RU"/>
    </w:rPr>
  </w:style>
  <w:style w:type="paragraph" w:styleId="860">
    <w:name w:val="Heading 1"/>
    <w:basedOn w:val="845"/>
    <w:pPr>
      <w:ind w:left="0" w:right="0"/>
      <w:jc w:val="left"/>
      <w:spacing w:before="0" w:after="0" w:line="240" w:lineRule="auto"/>
      <w:outlineLvl w:val="0"/>
    </w:pPr>
    <w:rPr>
      <w:rFonts w:ascii="Courier New" w:hAnsi="Courier New" w:eastAsia="Courier New" w:cs="Courier New"/>
      <w:b/>
      <w:bCs/>
      <w:sz w:val="31"/>
      <w:szCs w:val="31"/>
      <w:lang w:val="ru-RU" w:bidi="ru-RU"/>
    </w:rPr>
  </w:style>
  <w:style w:type="paragraph" w:styleId="861">
    <w:name w:val="Heading 2"/>
    <w:basedOn w:val="845"/>
    <w:pPr>
      <w:ind w:left="0" w:right="0"/>
      <w:jc w:val="left"/>
      <w:spacing w:before="0" w:after="0" w:line="240" w:lineRule="auto"/>
      <w:outlineLvl w:val="1"/>
    </w:pPr>
    <w:rPr>
      <w:rFonts w:ascii="Courier New" w:hAnsi="Courier New" w:eastAsia="Courier New" w:cs="Courier New"/>
      <w:sz w:val="31"/>
      <w:szCs w:val="31"/>
      <w:lang w:val="ru-RU" w:bidi="ru-RU"/>
    </w:rPr>
  </w:style>
  <w:style w:type="paragraph" w:styleId="862">
    <w:name w:val="Heading 3"/>
    <w:basedOn w:val="845"/>
    <w:pPr>
      <w:ind w:left="42" w:right="0"/>
      <w:jc w:val="left"/>
      <w:spacing w:before="0" w:after="0" w:line="240" w:lineRule="auto"/>
      <w:outlineLvl w:val="2"/>
    </w:pPr>
    <w:rPr>
      <w:rFonts w:ascii="Courier New" w:hAnsi="Courier New" w:eastAsia="Courier New" w:cs="Courier New"/>
      <w:sz w:val="29"/>
      <w:szCs w:val="29"/>
      <w:lang w:val="ru-RU" w:bidi="ru-RU"/>
    </w:rPr>
  </w:style>
  <w:style w:type="paragraph" w:styleId="863">
    <w:name w:val="Heading 4"/>
    <w:basedOn w:val="845"/>
    <w:pPr>
      <w:ind w:left="111" w:right="0"/>
      <w:jc w:val="left"/>
      <w:spacing w:before="0" w:after="0" w:line="240" w:lineRule="auto"/>
      <w:outlineLvl w:val="3"/>
    </w:pPr>
    <w:rPr>
      <w:rFonts w:ascii="Times New Roman" w:hAnsi="Times New Roman" w:eastAsia="Times New Roman" w:cs="Times New Roman"/>
      <w:b/>
      <w:bCs/>
      <w:sz w:val="27"/>
      <w:szCs w:val="27"/>
      <w:lang w:val="ru-RU" w:bidi="ru-RU"/>
    </w:rPr>
  </w:style>
  <w:style w:type="paragraph" w:styleId="864">
    <w:name w:val="List Paragraph"/>
    <w:basedOn w:val="845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65">
    <w:name w:val="Table Paragraph"/>
    <w:basedOn w:val="845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866">
    <w:name w:val="Font Style32"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867">
    <w:name w:val="Body Text Indent 2"/>
    <w:basedOn w:val="845"/>
    <w:pPr>
      <w:ind w:left="0" w:right="0" w:firstLine="708"/>
      <w:jc w:val="both"/>
      <w:spacing w:before="0" w:after="0" w:line="240" w:lineRule="auto"/>
      <w:tabs>
        <w:tab w:val="left" w:pos="1120" w:leader="none"/>
      </w:tabs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868">
    <w:name w:val="Таблицы (моноширинный)"/>
    <w:basedOn w:val="845"/>
    <w:pPr>
      <w:ind w:left="0" w:right="0"/>
      <w:jc w:val="both"/>
      <w:spacing w:before="0" w:after="0" w:line="240" w:lineRule="auto"/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character" w:styleId="869">
    <w:name w:val="Цветовое выделение"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870">
    <w:name w:val="Нормальный (таблица)"/>
    <w:basedOn w:val="845"/>
    <w:pPr>
      <w:ind w:left="0" w:right="0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71">
    <w:name w:val="Прижатый влево"/>
    <w:basedOn w:val="845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72">
    <w:name w:val="Style18"/>
    <w:basedOn w:val="845"/>
    <w:pPr>
      <w:ind w:left="0" w:right="0"/>
      <w:jc w:val="left"/>
      <w:spacing w:before="0" w:after="0" w:line="325" w:lineRule="exact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73">
    <w:name w:val="ConsNormal"/>
    <w:pPr>
      <w:ind w:left="0" w:right="19772"/>
      <w:jc w:val="both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74">
    <w:name w:val="ConsDTNormal"/>
    <w:pPr>
      <w:ind w:left="0" w:right="0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75">
    <w:name w:val="ConsNonformat"/>
    <w:pPr>
      <w:ind w:left="0" w:right="0"/>
      <w:jc w:val="both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76">
    <w:name w:val="ConsPlusTitle"/>
    <w:pPr>
      <w:ind w:left="0" w:right="0"/>
      <w:jc w:val="left"/>
      <w:spacing w:before="0" w:after="0" w:line="240" w:lineRule="auto"/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877">
    <w:name w:val="ConsPlusNormal"/>
    <w:pPr>
      <w:ind w:left="0" w:right="0"/>
      <w:jc w:val="left"/>
      <w:spacing w:before="0" w:after="0" w:line="240" w:lineRule="auto"/>
    </w:pPr>
    <w:rPr>
      <w:rFonts w:ascii="Arial" w:hAnsi="Arial" w:eastAsia="Arial" w:cs="Arial"/>
      <w:sz w:val="24"/>
      <w:szCs w:val="24"/>
      <w:lang w:val="ru-RU" w:bidi="ru-RU"/>
    </w:rPr>
  </w:style>
  <w:style w:type="numbering" w:styleId="878" w:default="1">
    <w:name w:val="No List"/>
    <w:uiPriority w:val="99"/>
    <w:semiHidden/>
    <w:unhideWhenUsed/>
  </w:style>
  <w:style w:type="paragraph" w:styleId="879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Mangal,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Белозерцева Татьяна Сергеевна</cp:lastModifiedBy>
  <cp:revision>11</cp:revision>
  <dcterms:modified xsi:type="dcterms:W3CDTF">2024-09-12T10:28:00Z</dcterms:modified>
</cp:coreProperties>
</file>