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1" w:rsidRPr="00A75E59" w:rsidRDefault="002823D1" w:rsidP="002823D1">
      <w:pPr>
        <w:spacing w:after="60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2823D1" w:rsidRPr="009E4F43" w:rsidRDefault="002823D1" w:rsidP="002823D1">
      <w:pPr>
        <w:spacing w:after="60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E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 w:rsidRPr="009E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города Ханты-Мансийска</w:t>
      </w:r>
    </w:p>
    <w:p w:rsidR="00F40B56" w:rsidRDefault="00F40B56" w:rsidP="00F40B5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E59" w:rsidRDefault="00A75E59" w:rsidP="00F40B5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B56" w:rsidRPr="009E4F43" w:rsidRDefault="00F40B56" w:rsidP="00F40B5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9E4F43">
        <w:rPr>
          <w:rFonts w:ascii="Times New Roman" w:eastAsia="Times New Roman" w:hAnsi="Times New Roman" w:cs="Times New Roman"/>
          <w:b/>
          <w:bCs/>
          <w:sz w:val="28"/>
          <w:szCs w:val="28"/>
        </w:rPr>
        <w:t>ородской округ Ханты-Мансийск</w:t>
      </w:r>
    </w:p>
    <w:p w:rsidR="002823D1" w:rsidRPr="009E4F43" w:rsidRDefault="002823D1" w:rsidP="002823D1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F43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A80550" w:rsidRPr="009E4F43" w:rsidRDefault="00A80550" w:rsidP="00282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F43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823D1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____ - </w:t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9E4F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FD3DB7" w:rsidRDefault="00FD3DB7" w:rsidP="002823D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D3DB7" w:rsidRDefault="00FD3DB7" w:rsidP="00FD3D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Принято</w:t>
      </w:r>
    </w:p>
    <w:p w:rsidR="00FD3DB7" w:rsidRDefault="00FD3DB7" w:rsidP="00FD3D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FD3DB7" w:rsidRPr="00FD3DB7" w:rsidRDefault="00FD3DB7" w:rsidP="00FD3DB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                                                                               </w:t>
      </w:r>
      <w:r w:rsidRPr="00FD3DB7">
        <w:rPr>
          <w:rFonts w:ascii="Times New Roman" w:hAnsi="Times New Roman" w:cs="Times New Roman"/>
          <w:bCs/>
          <w:sz w:val="20"/>
          <w:szCs w:val="28"/>
        </w:rPr>
        <w:t>(дата принятия)</w:t>
      </w:r>
    </w:p>
    <w:p w:rsidR="00FD3DB7" w:rsidRDefault="00FD3DB7" w:rsidP="00FD3D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3DB7" w:rsidRPr="009E4F43" w:rsidRDefault="00747D6F" w:rsidP="00D6746C">
      <w:pPr>
        <w:spacing w:after="0" w:line="240" w:lineRule="auto"/>
        <w:ind w:right="510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</w:t>
      </w:r>
      <w:r w:rsidR="00277DA4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ешение </w:t>
      </w:r>
      <w:r w:rsidR="00FD3D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FD3DB7" w:rsidRPr="00FD3D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FD3DB7" w:rsidRDefault="00FD3DB7" w:rsidP="00D6746C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Думы 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 xml:space="preserve">города Ханты-Мансийска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</w:t>
      </w:r>
    </w:p>
    <w:p w:rsidR="00D6746C" w:rsidRDefault="0001395E" w:rsidP="00D6746C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28 мая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982</w:t>
      </w:r>
      <w:r w:rsidR="00747D6F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74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D3DB7" w:rsidRDefault="00747D6F" w:rsidP="00D6746C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  <w:r w:rsidRPr="00747D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proofErr w:type="gramStart"/>
      <w:r w:rsidR="00277DA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40B56">
        <w:rPr>
          <w:rFonts w:ascii="Times New Roman" w:hAnsi="Times New Roman" w:cs="Times New Roman"/>
          <w:sz w:val="28"/>
          <w:szCs w:val="28"/>
        </w:rPr>
        <w:t>оложении</w:t>
      </w:r>
      <w:proofErr w:type="gramEnd"/>
      <w:r w:rsidR="00F40B56">
        <w:rPr>
          <w:rFonts w:ascii="Times New Roman" w:hAnsi="Times New Roman" w:cs="Times New Roman"/>
          <w:sz w:val="28"/>
          <w:szCs w:val="28"/>
        </w:rPr>
        <w:t xml:space="preserve"> о гарантиях и </w:t>
      </w:r>
    </w:p>
    <w:p w:rsidR="00FD3DB7" w:rsidRDefault="00F40B56" w:rsidP="00D6746C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компенсациях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лиц, проживающих</w:t>
      </w:r>
      <w:r w:rsidR="00D674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городе Ханты-Мансийске </w:t>
      </w:r>
    </w:p>
    <w:p w:rsidR="00F40B56" w:rsidRDefault="00F40B56" w:rsidP="00D6746C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работающих в организациях, </w:t>
      </w:r>
      <w:proofErr w:type="gramEnd"/>
    </w:p>
    <w:p w:rsidR="00FD3DB7" w:rsidRDefault="00F40B56" w:rsidP="00D6746C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города </w:t>
      </w:r>
    </w:p>
    <w:p w:rsidR="00747D6F" w:rsidRPr="00747D6F" w:rsidRDefault="00F40B56" w:rsidP="00D6746C">
      <w:pPr>
        <w:autoSpaceDE w:val="0"/>
        <w:autoSpaceDN w:val="0"/>
        <w:adjustRightInd w:val="0"/>
        <w:spacing w:after="0" w:line="240" w:lineRule="auto"/>
        <w:ind w:right="510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</w:t>
      </w:r>
      <w:r w:rsidR="008A78B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47D6F" w:rsidRDefault="00747D6F" w:rsidP="0074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E59" w:rsidRPr="00747D6F" w:rsidRDefault="00A75E59" w:rsidP="0074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D6F" w:rsidRPr="00747D6F" w:rsidRDefault="00747D6F" w:rsidP="00FD3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Рассмотрев проект изменений в </w:t>
      </w:r>
      <w:r w:rsidR="00277DA4">
        <w:rPr>
          <w:rFonts w:ascii="Times New Roman" w:eastAsia="Calibri" w:hAnsi="Times New Roman" w:cs="Times New Roman"/>
          <w:sz w:val="28"/>
          <w:szCs w:val="28"/>
        </w:rPr>
        <w:t>Р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ешение Думы города </w:t>
      </w:r>
      <w:r w:rsidR="00FD3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</w:t>
      </w:r>
      <w:r w:rsidR="00013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от 28 мая 2010 года №982</w:t>
      </w:r>
      <w:r w:rsidR="00F40B56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proofErr w:type="gramStart"/>
      <w:r w:rsidR="00277DA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40B56">
        <w:rPr>
          <w:rFonts w:ascii="Times New Roman" w:hAnsi="Times New Roman" w:cs="Times New Roman"/>
          <w:sz w:val="28"/>
          <w:szCs w:val="28"/>
        </w:rPr>
        <w:t>оложении</w:t>
      </w:r>
      <w:proofErr w:type="gramEnd"/>
      <w:r w:rsidR="00F40B56">
        <w:rPr>
          <w:rFonts w:ascii="Times New Roman" w:hAnsi="Times New Roman" w:cs="Times New Roman"/>
          <w:sz w:val="28"/>
          <w:szCs w:val="28"/>
        </w:rPr>
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</w:t>
      </w:r>
      <w:r w:rsidR="00D6746C">
        <w:rPr>
          <w:rFonts w:ascii="Times New Roman" w:hAnsi="Times New Roman" w:cs="Times New Roman"/>
          <w:sz w:val="28"/>
          <w:szCs w:val="28"/>
        </w:rPr>
        <w:t xml:space="preserve"> </w:t>
      </w:r>
      <w:r w:rsidR="00F40B56">
        <w:rPr>
          <w:rFonts w:ascii="Times New Roman" w:hAnsi="Times New Roman" w:cs="Times New Roman"/>
          <w:sz w:val="28"/>
          <w:szCs w:val="28"/>
        </w:rPr>
        <w:t>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</w:t>
      </w:r>
      <w:r w:rsidR="00F40B56" w:rsidRPr="00747D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747D6F">
          <w:rPr>
            <w:rFonts w:ascii="Times New Roman" w:eastAsia="Calibri" w:hAnsi="Times New Roman" w:cs="Times New Roman"/>
            <w:sz w:val="28"/>
            <w:szCs w:val="28"/>
          </w:rPr>
          <w:t xml:space="preserve">частью </w:t>
        </w:r>
        <w:r w:rsidR="00D6746C">
          <w:rPr>
            <w:rFonts w:ascii="Times New Roman" w:eastAsia="Calibri" w:hAnsi="Times New Roman" w:cs="Times New Roman"/>
            <w:sz w:val="28"/>
            <w:szCs w:val="28"/>
          </w:rPr>
          <w:t xml:space="preserve">                  </w:t>
        </w:r>
        <w:r w:rsidRPr="00747D6F">
          <w:rPr>
            <w:rFonts w:ascii="Times New Roman" w:eastAsia="Calibri" w:hAnsi="Times New Roman" w:cs="Times New Roman"/>
            <w:sz w:val="28"/>
            <w:szCs w:val="28"/>
          </w:rPr>
          <w:t>1 статьи 69</w:t>
        </w:r>
      </w:hyperlink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 Устава города Ханты-Мансийска, </w:t>
      </w:r>
    </w:p>
    <w:p w:rsidR="00D6746C" w:rsidRDefault="00D6746C" w:rsidP="002823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823D1" w:rsidRDefault="002823D1" w:rsidP="00282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E6F71" w:rsidRDefault="0001395E" w:rsidP="00FD3DB7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277DA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Р</w:t>
      </w:r>
      <w:r w:rsidR="00F40B56" w:rsidRPr="000E6F71">
        <w:rPr>
          <w:rFonts w:ascii="Times New Roman" w:eastAsia="Calibri" w:hAnsi="Times New Roman" w:cs="Times New Roman"/>
          <w:sz w:val="28"/>
          <w:szCs w:val="28"/>
        </w:rPr>
        <w:t xml:space="preserve">ешение Думы города Ханты-Мансийска </w:t>
      </w:r>
      <w:r w:rsidR="00FD3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F40B56" w:rsidRPr="000E6F71">
        <w:rPr>
          <w:rFonts w:ascii="Times New Roman" w:eastAsia="Calibri" w:hAnsi="Times New Roman" w:cs="Times New Roman"/>
          <w:bCs/>
          <w:sz w:val="28"/>
          <w:szCs w:val="28"/>
        </w:rPr>
        <w:t>от 28 мая</w:t>
      </w:r>
      <w:r w:rsidR="00FD3D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0B56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2010 года №982 «О </w:t>
      </w:r>
      <w:proofErr w:type="gramStart"/>
      <w:r w:rsidR="00277DA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40B56" w:rsidRPr="000E6F71">
        <w:rPr>
          <w:rFonts w:ascii="Times New Roman" w:hAnsi="Times New Roman" w:cs="Times New Roman"/>
          <w:sz w:val="28"/>
          <w:szCs w:val="28"/>
        </w:rPr>
        <w:t>оложении</w:t>
      </w:r>
      <w:proofErr w:type="gramEnd"/>
      <w:r w:rsidR="00F40B56" w:rsidRPr="000E6F71">
        <w:rPr>
          <w:rFonts w:ascii="Times New Roman" w:hAnsi="Times New Roman" w:cs="Times New Roman"/>
          <w:sz w:val="28"/>
          <w:szCs w:val="28"/>
        </w:rPr>
        <w:t xml:space="preserve"> о гарантиях и компенсациях для лиц, </w:t>
      </w:r>
      <w:r w:rsidR="00F40B56" w:rsidRPr="000E6F71">
        <w:rPr>
          <w:rFonts w:ascii="Times New Roman" w:hAnsi="Times New Roman" w:cs="Times New Roman"/>
          <w:sz w:val="28"/>
          <w:szCs w:val="28"/>
        </w:rPr>
        <w:lastRenderedPageBreak/>
        <w:t>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</w:t>
      </w:r>
      <w:r w:rsidR="00F40B56" w:rsidRPr="000E6F7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5359A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Решение)</w:t>
      </w:r>
      <w:r w:rsidR="00F40B56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6F71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следующие </w:t>
      </w:r>
      <w:r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изменения</w:t>
      </w:r>
      <w:r w:rsidR="000E6F71"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:</w:t>
      </w:r>
    </w:p>
    <w:p w:rsidR="000E6F71" w:rsidRPr="000E6F71" w:rsidRDefault="000E6F71" w:rsidP="00FD3DB7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1.1.</w:t>
      </w:r>
      <w:r w:rsidRPr="000E6F71">
        <w:rPr>
          <w:rFonts w:ascii="Times New Roman" w:hAnsi="Times New Roman" w:cs="Times New Roman"/>
          <w:sz w:val="28"/>
          <w:szCs w:val="28"/>
        </w:rPr>
        <w:t>П</w:t>
      </w:r>
      <w:r w:rsidR="00277DA4">
        <w:rPr>
          <w:rFonts w:ascii="Times New Roman" w:hAnsi="Times New Roman" w:cs="Times New Roman"/>
          <w:sz w:val="28"/>
          <w:szCs w:val="28"/>
        </w:rPr>
        <w:t>одп</w:t>
      </w:r>
      <w:r w:rsidRPr="000E6F71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6F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6F71">
        <w:rPr>
          <w:rFonts w:ascii="Times New Roman" w:hAnsi="Times New Roman" w:cs="Times New Roman"/>
          <w:sz w:val="28"/>
          <w:szCs w:val="28"/>
        </w:rPr>
        <w:t xml:space="preserve"> </w:t>
      </w:r>
      <w:r w:rsidR="00277DA4">
        <w:rPr>
          <w:rFonts w:ascii="Times New Roman" w:hAnsi="Times New Roman" w:cs="Times New Roman"/>
          <w:sz w:val="28"/>
          <w:szCs w:val="28"/>
        </w:rPr>
        <w:t>пункта</w:t>
      </w:r>
      <w:r w:rsidRPr="000E6F71">
        <w:rPr>
          <w:rFonts w:ascii="Times New Roman" w:hAnsi="Times New Roman" w:cs="Times New Roman"/>
          <w:sz w:val="28"/>
          <w:szCs w:val="28"/>
        </w:rPr>
        <w:t xml:space="preserve"> 4.1 статьи 4 </w:t>
      </w:r>
      <w:r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приложения к Решению </w:t>
      </w:r>
      <w:r w:rsidR="0017102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                         </w:t>
      </w:r>
      <w:r w:rsidRPr="000E6F71">
        <w:rPr>
          <w:rFonts w:ascii="Times New Roman" w:eastAsia="Calibri" w:hAnsi="Times New Roman" w:cs="Times New Roman"/>
          <w:bCs/>
          <w:sz w:val="28"/>
          <w:szCs w:val="28"/>
        </w:rPr>
        <w:t>в следующей редакции:</w:t>
      </w:r>
    </w:p>
    <w:p w:rsidR="000E6F71" w:rsidRPr="000E6F71" w:rsidRDefault="0017102E" w:rsidP="00FD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2E">
        <w:rPr>
          <w:rFonts w:ascii="Times New Roman" w:hAnsi="Times New Roman" w:cs="Times New Roman"/>
          <w:sz w:val="28"/>
          <w:szCs w:val="28"/>
        </w:rPr>
        <w:t xml:space="preserve"> </w:t>
      </w:r>
      <w:r w:rsidR="00AF6A62" w:rsidRPr="0017102E">
        <w:rPr>
          <w:rFonts w:ascii="Times New Roman" w:hAnsi="Times New Roman" w:cs="Times New Roman"/>
          <w:sz w:val="28"/>
          <w:szCs w:val="28"/>
        </w:rPr>
        <w:t>«</w:t>
      </w:r>
      <w:r w:rsidRPr="0017102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F71" w:rsidRPr="000E6F71">
        <w:rPr>
          <w:rFonts w:ascii="Times New Roman" w:hAnsi="Times New Roman" w:cs="Times New Roman"/>
          <w:sz w:val="28"/>
          <w:szCs w:val="28"/>
        </w:rPr>
        <w:t xml:space="preserve">супруг (супруга) работника, ищущий работу через органы службы занятости населения и зарегистрированный в службе занятости в качестве безработного, не являющийся неработающим пенсионером. </w:t>
      </w:r>
      <w:proofErr w:type="gramStart"/>
      <w:r w:rsidR="000E6F71" w:rsidRPr="000E6F71">
        <w:rPr>
          <w:rFonts w:ascii="Times New Roman" w:hAnsi="Times New Roman" w:cs="Times New Roman"/>
          <w:sz w:val="28"/>
          <w:szCs w:val="28"/>
        </w:rPr>
        <w:t>При этом документами, удостоверяющими отсутствие трудоустройства, являются трудовая книжка с последней записью об увольнении и (или) сведения о трудовой деятельности</w:t>
      </w:r>
      <w:r w:rsidR="00277DA4">
        <w:rPr>
          <w:rFonts w:ascii="Times New Roman" w:hAnsi="Times New Roman" w:cs="Times New Roman"/>
          <w:sz w:val="28"/>
          <w:szCs w:val="28"/>
        </w:rPr>
        <w:t xml:space="preserve"> в соответствии со статьей 66.1 Трудового кодекса Российской Федерации (далее – сведения о трудовой деятельности)</w:t>
      </w:r>
      <w:r w:rsidR="000E6F71" w:rsidRPr="000E6F71">
        <w:rPr>
          <w:rFonts w:ascii="Times New Roman" w:hAnsi="Times New Roman" w:cs="Times New Roman"/>
          <w:sz w:val="28"/>
          <w:szCs w:val="28"/>
        </w:rPr>
        <w:t>, справка из Федеральной налоговой службы, свидетельствующая</w:t>
      </w:r>
      <w:r w:rsidR="00277DA4">
        <w:rPr>
          <w:rFonts w:ascii="Times New Roman" w:hAnsi="Times New Roman" w:cs="Times New Roman"/>
          <w:sz w:val="28"/>
          <w:szCs w:val="28"/>
        </w:rPr>
        <w:t xml:space="preserve"> </w:t>
      </w:r>
      <w:r w:rsidR="000E6F71" w:rsidRPr="000E6F71">
        <w:rPr>
          <w:rFonts w:ascii="Times New Roman" w:hAnsi="Times New Roman" w:cs="Times New Roman"/>
          <w:sz w:val="28"/>
          <w:szCs w:val="28"/>
        </w:rPr>
        <w:t xml:space="preserve">об отсутствии регистрации гражданина </w:t>
      </w:r>
      <w:r w:rsidR="00277D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6F71" w:rsidRPr="000E6F71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предпринимателя, справка из центра занятости, подтверждающая регистрацию гражданина в качестве безработного.</w:t>
      </w:r>
      <w:proofErr w:type="gramEnd"/>
      <w:r w:rsidR="000E6F71" w:rsidRPr="000E6F71">
        <w:rPr>
          <w:rFonts w:ascii="Times New Roman" w:hAnsi="Times New Roman" w:cs="Times New Roman"/>
          <w:sz w:val="28"/>
          <w:szCs w:val="28"/>
        </w:rPr>
        <w:t xml:space="preserve"> В случае отсутствия у супруга (супруги) работника трудовой книжки и (или) сведений </w:t>
      </w:r>
      <w:r w:rsidR="00277D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6F71" w:rsidRPr="000E6F71">
        <w:rPr>
          <w:rFonts w:ascii="Times New Roman" w:hAnsi="Times New Roman" w:cs="Times New Roman"/>
          <w:sz w:val="28"/>
          <w:szCs w:val="28"/>
        </w:rPr>
        <w:t>о трудовой деятельности, работником представляется справка, выданная</w:t>
      </w:r>
      <w:r w:rsidR="00D6746C">
        <w:rPr>
          <w:rFonts w:ascii="Times New Roman" w:hAnsi="Times New Roman" w:cs="Times New Roman"/>
          <w:sz w:val="28"/>
          <w:szCs w:val="28"/>
        </w:rPr>
        <w:t xml:space="preserve"> </w:t>
      </w:r>
      <w:r w:rsidR="000E6F71" w:rsidRPr="000E6F71">
        <w:rPr>
          <w:rFonts w:ascii="Times New Roman" w:hAnsi="Times New Roman" w:cs="Times New Roman"/>
          <w:sz w:val="28"/>
          <w:szCs w:val="28"/>
        </w:rPr>
        <w:t>на имя супруга (супруги) работника территориальным органом Пенсионного фонда Российской Федерации, об уплате страховых взносов на обязательное пенсионное страхование, подтверждающая наличие или отсутствие трудовой деятельности супруга (супруги) работника и пенсионное удостоверение</w:t>
      </w:r>
      <w:proofErr w:type="gramStart"/>
      <w:r w:rsidR="000E6F71" w:rsidRPr="000E6F7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E6F71" w:rsidRPr="000E6F71">
        <w:rPr>
          <w:rFonts w:ascii="Times New Roman" w:hAnsi="Times New Roman" w:cs="Times New Roman"/>
          <w:sz w:val="28"/>
          <w:szCs w:val="28"/>
        </w:rPr>
        <w:t>.</w:t>
      </w:r>
    </w:p>
    <w:p w:rsidR="000E6F71" w:rsidRDefault="000E6F71" w:rsidP="00FD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71">
        <w:rPr>
          <w:rFonts w:ascii="Times New Roman" w:eastAsia="Calibri" w:hAnsi="Times New Roman" w:cs="Times New Roman"/>
          <w:bCs/>
          <w:sz w:val="28"/>
          <w:szCs w:val="28"/>
        </w:rPr>
        <w:t>1.2.</w:t>
      </w:r>
      <w:r w:rsidRPr="000E6F71">
        <w:rPr>
          <w:rFonts w:ascii="Times New Roman" w:hAnsi="Times New Roman" w:cs="Times New Roman"/>
          <w:sz w:val="28"/>
          <w:szCs w:val="28"/>
        </w:rPr>
        <w:t>П</w:t>
      </w:r>
      <w:r w:rsidR="00277DA4">
        <w:rPr>
          <w:rFonts w:ascii="Times New Roman" w:hAnsi="Times New Roman" w:cs="Times New Roman"/>
          <w:sz w:val="28"/>
          <w:szCs w:val="28"/>
        </w:rPr>
        <w:t>одп</w:t>
      </w:r>
      <w:r w:rsidRPr="000E6F71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6F7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6F71">
        <w:rPr>
          <w:rFonts w:ascii="Times New Roman" w:hAnsi="Times New Roman" w:cs="Times New Roman"/>
          <w:sz w:val="28"/>
          <w:szCs w:val="28"/>
        </w:rPr>
        <w:t xml:space="preserve"> </w:t>
      </w:r>
      <w:r w:rsidR="00277DA4">
        <w:rPr>
          <w:rFonts w:ascii="Times New Roman" w:hAnsi="Times New Roman" w:cs="Times New Roman"/>
          <w:sz w:val="28"/>
          <w:szCs w:val="28"/>
        </w:rPr>
        <w:t>пункта</w:t>
      </w:r>
      <w:r w:rsidRPr="000E6F71">
        <w:rPr>
          <w:rFonts w:ascii="Times New Roman" w:hAnsi="Times New Roman" w:cs="Times New Roman"/>
          <w:sz w:val="28"/>
          <w:szCs w:val="28"/>
        </w:rPr>
        <w:t xml:space="preserve"> 4.1 статьи 4 </w:t>
      </w:r>
      <w:r w:rsidRPr="000E6F71">
        <w:rPr>
          <w:rFonts w:ascii="Times New Roman" w:eastAsia="Calibri" w:hAnsi="Times New Roman" w:cs="Times New Roman"/>
          <w:bCs/>
          <w:sz w:val="28"/>
          <w:szCs w:val="28"/>
        </w:rPr>
        <w:t>приложения к Решению</w:t>
      </w:r>
      <w:r w:rsidR="0017102E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                        </w:t>
      </w:r>
      <w:r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редакции:</w:t>
      </w:r>
      <w:r w:rsidRPr="000E6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71" w:rsidRPr="000E6F71" w:rsidRDefault="000E6F71" w:rsidP="00277D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71">
        <w:rPr>
          <w:rFonts w:ascii="Times New Roman" w:hAnsi="Times New Roman" w:cs="Times New Roman"/>
          <w:sz w:val="28"/>
          <w:szCs w:val="28"/>
        </w:rPr>
        <w:t>«</w:t>
      </w:r>
      <w:r w:rsidR="0017102E">
        <w:rPr>
          <w:rFonts w:ascii="Times New Roman" w:hAnsi="Times New Roman" w:cs="Times New Roman"/>
          <w:sz w:val="28"/>
          <w:szCs w:val="28"/>
        </w:rPr>
        <w:t xml:space="preserve">б) </w:t>
      </w:r>
      <w:r w:rsidRPr="000E6F71">
        <w:rPr>
          <w:rFonts w:ascii="Times New Roman" w:hAnsi="Times New Roman" w:cs="Times New Roman"/>
          <w:sz w:val="28"/>
          <w:szCs w:val="28"/>
        </w:rPr>
        <w:t xml:space="preserve">супруг (супруга) работника, осуществляющий уход </w:t>
      </w:r>
      <w:r w:rsidRPr="000E6F71">
        <w:rPr>
          <w:rFonts w:ascii="Times New Roman" w:hAnsi="Times New Roman" w:cs="Times New Roman"/>
          <w:sz w:val="28"/>
          <w:szCs w:val="28"/>
        </w:rPr>
        <w:br/>
        <w:t xml:space="preserve">за несовершеннолетними детьми в возрасте до 14 лет, детьми-инвалидами </w:t>
      </w:r>
      <w:r w:rsidR="00FD3D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6F71">
        <w:rPr>
          <w:rFonts w:ascii="Times New Roman" w:hAnsi="Times New Roman" w:cs="Times New Roman"/>
          <w:sz w:val="28"/>
          <w:szCs w:val="28"/>
        </w:rPr>
        <w:t xml:space="preserve">до 18 лет, не </w:t>
      </w:r>
      <w:r w:rsidRPr="00A80550">
        <w:rPr>
          <w:rFonts w:ascii="Times New Roman" w:hAnsi="Times New Roman" w:cs="Times New Roman"/>
          <w:sz w:val="28"/>
          <w:szCs w:val="28"/>
        </w:rPr>
        <w:t xml:space="preserve">занимающийся предпринимательской деятельностью и иной оплачиваемой работой. </w:t>
      </w:r>
      <w:proofErr w:type="gramStart"/>
      <w:r w:rsidRPr="00A80550">
        <w:rPr>
          <w:rFonts w:ascii="Times New Roman" w:hAnsi="Times New Roman" w:cs="Times New Roman"/>
          <w:sz w:val="28"/>
          <w:szCs w:val="28"/>
        </w:rPr>
        <w:t>При этом документами, подтверждающими указанные факты, являются трудовая книжка с последней записью</w:t>
      </w:r>
      <w:r w:rsidR="00FD3DB7">
        <w:rPr>
          <w:rFonts w:ascii="Times New Roman" w:hAnsi="Times New Roman" w:cs="Times New Roman"/>
          <w:sz w:val="28"/>
          <w:szCs w:val="28"/>
        </w:rPr>
        <w:t xml:space="preserve"> </w:t>
      </w:r>
      <w:r w:rsidRPr="00A80550">
        <w:rPr>
          <w:rFonts w:ascii="Times New Roman" w:hAnsi="Times New Roman" w:cs="Times New Roman"/>
          <w:sz w:val="28"/>
          <w:szCs w:val="28"/>
        </w:rPr>
        <w:t xml:space="preserve">об увольнении, </w:t>
      </w:r>
      <w:r w:rsidR="00D674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0550">
        <w:rPr>
          <w:rFonts w:ascii="Times New Roman" w:hAnsi="Times New Roman" w:cs="Times New Roman"/>
          <w:sz w:val="28"/>
          <w:szCs w:val="28"/>
        </w:rPr>
        <w:t xml:space="preserve">и (или) сведения о трудовой деятельности, а при отсутствии трудовой книжки </w:t>
      </w:r>
      <w:r w:rsidR="00D674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0550">
        <w:rPr>
          <w:rFonts w:ascii="Times New Roman" w:hAnsi="Times New Roman" w:cs="Times New Roman"/>
          <w:sz w:val="28"/>
          <w:szCs w:val="28"/>
        </w:rPr>
        <w:t xml:space="preserve">и (или) сведений о трудовой деятельности - выписка </w:t>
      </w:r>
      <w:r w:rsidR="00D6746C">
        <w:rPr>
          <w:rFonts w:ascii="Times New Roman" w:hAnsi="Times New Roman" w:cs="Times New Roman"/>
          <w:sz w:val="28"/>
          <w:szCs w:val="28"/>
        </w:rPr>
        <w:t>и</w:t>
      </w:r>
      <w:r w:rsidRPr="00A80550">
        <w:rPr>
          <w:rFonts w:ascii="Times New Roman" w:hAnsi="Times New Roman" w:cs="Times New Roman"/>
          <w:sz w:val="28"/>
          <w:szCs w:val="28"/>
        </w:rPr>
        <w:t>з индивидуального лицевого счета застрахованного лица, выдаваемая</w:t>
      </w:r>
      <w:r w:rsidR="009258E3">
        <w:rPr>
          <w:rFonts w:ascii="Times New Roman" w:hAnsi="Times New Roman" w:cs="Times New Roman"/>
          <w:sz w:val="28"/>
          <w:szCs w:val="28"/>
        </w:rPr>
        <w:t xml:space="preserve"> </w:t>
      </w:r>
      <w:r w:rsidRPr="00A80550">
        <w:rPr>
          <w:rFonts w:ascii="Times New Roman" w:hAnsi="Times New Roman" w:cs="Times New Roman"/>
          <w:sz w:val="28"/>
          <w:szCs w:val="28"/>
        </w:rPr>
        <w:t>в установленном порядке территориальным органом Пенсионного фонда Российской Федерации, свидетельство о рождении ребенка, пенсионное удостоверение;».</w:t>
      </w:r>
      <w:proofErr w:type="gramEnd"/>
    </w:p>
    <w:p w:rsidR="00A80550" w:rsidRPr="000E6F71" w:rsidRDefault="00E5359A" w:rsidP="00FD3DB7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0550" w:rsidRPr="00A80550">
        <w:rPr>
          <w:rFonts w:ascii="Times New Roman" w:hAnsi="Times New Roman" w:cs="Times New Roman"/>
          <w:sz w:val="28"/>
          <w:szCs w:val="28"/>
        </w:rPr>
        <w:t>3.П</w:t>
      </w:r>
      <w:r w:rsidR="00277DA4">
        <w:rPr>
          <w:rFonts w:ascii="Times New Roman" w:hAnsi="Times New Roman" w:cs="Times New Roman"/>
          <w:sz w:val="28"/>
          <w:szCs w:val="28"/>
        </w:rPr>
        <w:t>одп</w:t>
      </w:r>
      <w:r w:rsidR="00A80550" w:rsidRPr="00A80550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277DA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80550" w:rsidRPr="00A80550">
        <w:rPr>
          <w:rFonts w:ascii="Times New Roman" w:hAnsi="Times New Roman" w:cs="Times New Roman"/>
          <w:sz w:val="28"/>
          <w:szCs w:val="28"/>
        </w:rPr>
        <w:t xml:space="preserve">4.18 статьи 4 </w:t>
      </w:r>
      <w:r w:rsidR="00A80550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приложения к Решению </w:t>
      </w:r>
      <w:r w:rsidR="0017102E">
        <w:rPr>
          <w:rFonts w:ascii="Times New Roman" w:eastAsia="Calibri" w:hAnsi="Times New Roman" w:cs="Times New Roman"/>
          <w:bCs/>
          <w:sz w:val="28"/>
          <w:szCs w:val="28"/>
        </w:rPr>
        <w:t>изложить</w:t>
      </w:r>
      <w:r w:rsidR="0017102E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102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</w:t>
      </w:r>
      <w:r w:rsidR="00A80550" w:rsidRPr="000E6F71">
        <w:rPr>
          <w:rFonts w:ascii="Times New Roman" w:eastAsia="Calibri" w:hAnsi="Times New Roman" w:cs="Times New Roman"/>
          <w:bCs/>
          <w:sz w:val="28"/>
          <w:szCs w:val="28"/>
        </w:rPr>
        <w:t>в следующей редакции:</w:t>
      </w:r>
    </w:p>
    <w:p w:rsidR="00A80550" w:rsidRPr="00A80550" w:rsidRDefault="00A80550" w:rsidP="00FD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50">
        <w:rPr>
          <w:rFonts w:ascii="Times New Roman" w:hAnsi="Times New Roman" w:cs="Times New Roman"/>
          <w:sz w:val="28"/>
          <w:szCs w:val="28"/>
        </w:rPr>
        <w:t xml:space="preserve">«1) фамилия, имя, отчество членов семьи работника, имеющих право </w:t>
      </w:r>
      <w:r w:rsidRPr="00A80550">
        <w:rPr>
          <w:rFonts w:ascii="Times New Roman" w:hAnsi="Times New Roman" w:cs="Times New Roman"/>
          <w:sz w:val="28"/>
          <w:szCs w:val="28"/>
        </w:rPr>
        <w:br/>
        <w:t xml:space="preserve">на компенсацию расходов, с приложением копий документов, подтверждающих степень родства (свидетельства о заключении брака, рождении, установлении отцовства или о перемене фамилии, а также копии трудовой книжки </w:t>
      </w:r>
      <w:r w:rsidR="00D674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0550">
        <w:rPr>
          <w:rFonts w:ascii="Times New Roman" w:hAnsi="Times New Roman" w:cs="Times New Roman"/>
          <w:sz w:val="28"/>
          <w:szCs w:val="28"/>
        </w:rPr>
        <w:t>и (или) сведени</w:t>
      </w:r>
      <w:r w:rsidR="009258E3">
        <w:rPr>
          <w:rFonts w:ascii="Times New Roman" w:hAnsi="Times New Roman" w:cs="Times New Roman"/>
          <w:sz w:val="28"/>
          <w:szCs w:val="28"/>
        </w:rPr>
        <w:t>й</w:t>
      </w:r>
      <w:r w:rsidRPr="00A80550">
        <w:rPr>
          <w:rFonts w:ascii="Times New Roman" w:hAnsi="Times New Roman" w:cs="Times New Roman"/>
          <w:sz w:val="28"/>
          <w:szCs w:val="28"/>
        </w:rPr>
        <w:t xml:space="preserve"> о трудовой деятельности неработающего члена семьи)</w:t>
      </w:r>
      <w:proofErr w:type="gramStart"/>
      <w:r w:rsidRPr="00A8055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0550">
        <w:rPr>
          <w:rFonts w:ascii="Times New Roman" w:hAnsi="Times New Roman" w:cs="Times New Roman"/>
          <w:sz w:val="28"/>
          <w:szCs w:val="28"/>
        </w:rPr>
        <w:t>.</w:t>
      </w:r>
    </w:p>
    <w:p w:rsidR="00A75E59" w:rsidRDefault="00A75E59" w:rsidP="00FD3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A75E59" w:rsidRDefault="00A75E59" w:rsidP="00FD3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A75E59" w:rsidRDefault="00A75E59" w:rsidP="00FD3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A75E59" w:rsidRDefault="00A75E59" w:rsidP="00FD3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01395E" w:rsidRPr="0001395E" w:rsidRDefault="0001395E" w:rsidP="00FD3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2.</w:t>
      </w: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Решение вступает в силу</w:t>
      </w:r>
      <w:r w:rsidR="00A8055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после его официального опубликования</w:t>
      </w:r>
      <w:r w:rsidRPr="0001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D1" w:rsidRDefault="002823D1" w:rsidP="002823D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75E59" w:rsidRDefault="00A75E59" w:rsidP="002823D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</w:t>
      </w:r>
      <w:r w:rsidR="00925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</w:t>
      </w: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города Ханты-Мансийска</w:t>
      </w: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Пенчуков                          ______________</w:t>
      </w:r>
      <w:proofErr w:type="spellStart"/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М.П.Ряшин</w:t>
      </w:r>
      <w:proofErr w:type="spellEnd"/>
    </w:p>
    <w:p w:rsidR="002823D1" w:rsidRPr="009E4F43" w:rsidRDefault="002823D1" w:rsidP="002823D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823D1" w:rsidRPr="00FD3DB7" w:rsidRDefault="002823D1" w:rsidP="002823D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3D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Подписано                                                              </w:t>
      </w:r>
      <w:proofErr w:type="spellStart"/>
      <w:proofErr w:type="gramStart"/>
      <w:r w:rsidRPr="00FD3D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823D1" w:rsidRDefault="002823D1" w:rsidP="002823D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_____________________                                       </w:t>
      </w:r>
      <w:r w:rsidR="009258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</w:t>
      </w:r>
      <w:r w:rsidRPr="009E4F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</w:t>
      </w:r>
    </w:p>
    <w:p w:rsidR="00FD3DB7" w:rsidRPr="00FD3DB7" w:rsidRDefault="00FD3DB7" w:rsidP="00FD3DB7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</w:t>
      </w:r>
      <w:r w:rsidRPr="00FD3DB7">
        <w:rPr>
          <w:rFonts w:ascii="Times New Roman" w:hAnsi="Times New Roman" w:cs="Times New Roman"/>
          <w:bCs/>
          <w:sz w:val="20"/>
          <w:szCs w:val="28"/>
        </w:rPr>
        <w:t>(дата принятия)</w:t>
      </w: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                                   </w:t>
      </w:r>
      <w:r w:rsidRPr="00FD3DB7">
        <w:rPr>
          <w:rFonts w:ascii="Times New Roman" w:hAnsi="Times New Roman" w:cs="Times New Roman"/>
          <w:bCs/>
          <w:sz w:val="20"/>
          <w:szCs w:val="28"/>
        </w:rPr>
        <w:t>(дата принятия)</w:t>
      </w:r>
    </w:p>
    <w:p w:rsidR="00FD3DB7" w:rsidRPr="00FD3DB7" w:rsidRDefault="00FD3DB7" w:rsidP="00FD3DB7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</w:p>
    <w:p w:rsidR="00FD3DB7" w:rsidRPr="009E4F43" w:rsidRDefault="00FD3DB7" w:rsidP="002823D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FD3DB7" w:rsidRPr="009E4F43" w:rsidSect="00D6746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E4" w:rsidRDefault="007F03E4" w:rsidP="00893270">
      <w:pPr>
        <w:spacing w:after="0" w:line="240" w:lineRule="auto"/>
      </w:pPr>
      <w:r>
        <w:separator/>
      </w:r>
    </w:p>
  </w:endnote>
  <w:endnote w:type="continuationSeparator" w:id="0">
    <w:p w:rsidR="007F03E4" w:rsidRDefault="007F03E4" w:rsidP="0089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E4" w:rsidRDefault="007F03E4" w:rsidP="00893270">
      <w:pPr>
        <w:spacing w:after="0" w:line="240" w:lineRule="auto"/>
      </w:pPr>
      <w:r>
        <w:separator/>
      </w:r>
    </w:p>
  </w:footnote>
  <w:footnote w:type="continuationSeparator" w:id="0">
    <w:p w:rsidR="007F03E4" w:rsidRDefault="007F03E4" w:rsidP="0089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68361"/>
      <w:docPartObj>
        <w:docPartGallery w:val="Page Numbers (Top of Page)"/>
        <w:docPartUnique/>
      </w:docPartObj>
    </w:sdtPr>
    <w:sdtEndPr/>
    <w:sdtContent>
      <w:p w:rsidR="00893270" w:rsidRDefault="00893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8BD">
          <w:rPr>
            <w:noProof/>
          </w:rPr>
          <w:t>2</w:t>
        </w:r>
        <w:r>
          <w:fldChar w:fldCharType="end"/>
        </w:r>
      </w:p>
    </w:sdtContent>
  </w:sdt>
  <w:p w:rsidR="00893270" w:rsidRDefault="00893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7446"/>
    <w:multiLevelType w:val="hybridMultilevel"/>
    <w:tmpl w:val="F096638C"/>
    <w:lvl w:ilvl="0" w:tplc="45C62286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44"/>
    <w:rsid w:val="0001395E"/>
    <w:rsid w:val="000455AD"/>
    <w:rsid w:val="000E3EC1"/>
    <w:rsid w:val="000E6F71"/>
    <w:rsid w:val="00113A22"/>
    <w:rsid w:val="0017102E"/>
    <w:rsid w:val="00277DA4"/>
    <w:rsid w:val="002823D1"/>
    <w:rsid w:val="0031500A"/>
    <w:rsid w:val="003B617D"/>
    <w:rsid w:val="003C1C4C"/>
    <w:rsid w:val="004432FE"/>
    <w:rsid w:val="004679A1"/>
    <w:rsid w:val="004952DA"/>
    <w:rsid w:val="0049699B"/>
    <w:rsid w:val="00507357"/>
    <w:rsid w:val="00510B29"/>
    <w:rsid w:val="00560E0B"/>
    <w:rsid w:val="005D1093"/>
    <w:rsid w:val="006E4188"/>
    <w:rsid w:val="00717A79"/>
    <w:rsid w:val="00747D6F"/>
    <w:rsid w:val="00776D80"/>
    <w:rsid w:val="0079653A"/>
    <w:rsid w:val="007B2555"/>
    <w:rsid w:val="007B2AB0"/>
    <w:rsid w:val="007F03E4"/>
    <w:rsid w:val="0089184A"/>
    <w:rsid w:val="00893270"/>
    <w:rsid w:val="008A78BD"/>
    <w:rsid w:val="008B0644"/>
    <w:rsid w:val="009258E3"/>
    <w:rsid w:val="00967429"/>
    <w:rsid w:val="009C4335"/>
    <w:rsid w:val="00A75E59"/>
    <w:rsid w:val="00A80550"/>
    <w:rsid w:val="00AF6A62"/>
    <w:rsid w:val="00B12A4A"/>
    <w:rsid w:val="00B34CDB"/>
    <w:rsid w:val="00B55E48"/>
    <w:rsid w:val="00BB6748"/>
    <w:rsid w:val="00C51F64"/>
    <w:rsid w:val="00C67CFA"/>
    <w:rsid w:val="00CB3975"/>
    <w:rsid w:val="00D0798A"/>
    <w:rsid w:val="00D13334"/>
    <w:rsid w:val="00D6746C"/>
    <w:rsid w:val="00E05BB3"/>
    <w:rsid w:val="00E5359A"/>
    <w:rsid w:val="00EA3CF6"/>
    <w:rsid w:val="00EA725B"/>
    <w:rsid w:val="00EE3F62"/>
    <w:rsid w:val="00F01144"/>
    <w:rsid w:val="00F40B56"/>
    <w:rsid w:val="00F6010C"/>
    <w:rsid w:val="00FB588A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AFF777D32FF8E3A8B522264B4080A17B5703C065DC69799A2D5C885A2CE0E1CDB3A9DDE5E4CA0FD9E0AF46i7Y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2945-F030-48D5-B9E8-C02EAE99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Разбойникова Анна Викторовна</cp:lastModifiedBy>
  <cp:revision>13</cp:revision>
  <cp:lastPrinted>2020-09-07T11:51:00Z</cp:lastPrinted>
  <dcterms:created xsi:type="dcterms:W3CDTF">2020-07-03T10:44:00Z</dcterms:created>
  <dcterms:modified xsi:type="dcterms:W3CDTF">2020-09-07T11:53:00Z</dcterms:modified>
</cp:coreProperties>
</file>